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0F2E4C"/>
          <w:spacing w:val="40"/>
          <w:sz w:val="40"/>
          <w:szCs w:val="40"/>
        </w:rPr>
        <w:t xml:space="preserve">ASHISH MANGTANI</w:t>
      </w:r>
    </w:p>
    <w:p>
      <w:pPr>
        <w:spacing w:after="60"/>
        <w:jc w:val="center"/>
      </w:pPr>
      <w:r>
        <w:rPr>
          <w:rFonts w:ascii="Calibri" w:cs="Calibri" w:eastAsia="Calibri" w:hAnsi="Calibri"/>
          <w:color w:val="1F6FEB"/>
          <w:sz w:val="20"/>
          <w:szCs w:val="20"/>
        </w:rPr>
        <w:t xml:space="preserve">Microsoft 365 &amp; Copilot Platform Architect  ·  AI Governance, Enablement &amp; Extensibility</w:t>
      </w:r>
    </w:p>
    <w:p>
      <w:pPr>
        <w:pBdr>
          <w:bottom w:val="single" w:color="0F2E4C" w:sz="12" w:space="4"/>
        </w:pBdr>
        <w:spacing w:after="40"/>
        <w:jc w:val="center"/>
      </w:pPr>
      <w:r>
        <w:rPr>
          <w:rFonts w:ascii="Calibri" w:cs="Calibri" w:eastAsia="Calibri" w:hAnsi="Calibri"/>
          <w:color w:val="444444"/>
          <w:sz w:val="19"/>
          <w:szCs w:val="19"/>
        </w:rPr>
        <w:t xml:space="preserve">+91 9785478946  ·  ashishmangtani1994@gmail.com  ·  Jaipur, India  ·  </w:t>
      </w:r>
      <w:hyperlink w:history="1" r:id="rId1k8nmy9tzmmzsci1yp8wb">
        <w:r>
          <w:rPr>
            <w:rFonts w:ascii="Calibri" w:cs="Calibri" w:eastAsia="Calibri" w:hAnsi="Calibri"/>
            <w:color w:val="1F6FEB"/>
            <w:sz w:val="19"/>
            <w:szCs w:val="19"/>
            <w:u w:val="single"/>
          </w:rPr>
          <w:t xml:space="preserve">linkedin.com/in/ashishmangtani</w:t>
        </w:r>
      </w:hyperlink>
      <w:r>
        <w:rPr>
          <w:rFonts w:ascii="Calibri" w:cs="Calibri" w:eastAsia="Calibri" w:hAnsi="Calibri"/>
          <w:color w:val="444444"/>
          <w:sz w:val="19"/>
          <w:szCs w:val="19"/>
        </w:rPr>
        <w:t xml:space="preserve">  ·  </w:t>
      </w:r>
      <w:hyperlink w:history="1" r:id="rIdli1alraqe_chl-njrcf8i">
        <w:r>
          <w:rPr>
            <w:rFonts w:ascii="Calibri" w:cs="Calibri" w:eastAsia="Calibri" w:hAnsi="Calibri"/>
            <w:color w:val="1F6FEB"/>
            <w:sz w:val="19"/>
            <w:szCs w:val="19"/>
            <w:u w:val="single"/>
          </w:rPr>
          <w:t xml:space="preserve">Automation Portfolio</w:t>
        </w:r>
      </w:hyperlink>
    </w:p>
    <w:p>
      <w:pPr>
        <w:pBdr>
          <w:bottom w:val="single" w:color="1F6FEB" w:sz="8" w:space="2"/>
        </w:pBdr>
        <w:spacing w:after="90" w:before="220"/>
      </w:pPr>
      <w:r>
        <w:rPr>
          <w:rFonts w:ascii="Calibri" w:cs="Calibri" w:eastAsia="Calibri" w:hAnsi="Calibri"/>
          <w:b/>
          <w:bCs/>
          <w:color w:val="0F2E4C"/>
          <w:spacing w:val="30"/>
          <w:sz w:val="22"/>
          <w:szCs w:val="22"/>
        </w:rPr>
        <w:t xml:space="preserve">PROFESSIONAL SUMMARY</w:t>
      </w:r>
    </w:p>
    <w:p>
      <w:pPr>
        <w:spacing w:after="100" w:line="250"/>
      </w:pPr>
      <w:r>
        <w:rPr>
          <w:rFonts w:ascii="Calibri" w:cs="Calibri" w:eastAsia="Calibri" w:hAnsi="Calibri"/>
          <w:color w:val="444444"/>
          <w:sz w:val="19"/>
          <w:szCs w:val="19"/>
        </w:rPr>
        <w:t xml:space="preserve">Microsoft 365 Architect with 12+ years of enterprise experience, now focused on owning the enablement, governance, and scaling of Microsoft Copilot and AI agents across the enterprise. I curate and prioritise what gets rolled out, drive capabilities through Security, Legal, Privacy, and Architecture approval, and enforce the guardrails, lifecycle controls, and cost discipline that keep Copilot trustworthy at scale. Designed and shipped production agents on Copilot Studio and Azure AI Foundry (~5,000 uses in 90 days, ~10% L1 ticket reduction) while running the Purview, DLP, Conditional Access, and Defender controls that govern how AI touches enterprise data. Comfortable balancing innovation velocity against risk — I have both built the agents and written the rules that release them.</w:t>
      </w:r>
    </w:p>
    <w:tbl>
      <w:tblPr>
        <w:tblW w:type="dxa" w:w="10080"/>
        <w:tblBorders>
          <w:top w:val="none"/>
          <w:left w:val="none"/>
          <w:bottom w:val="none"/>
          <w:right w:val="none"/>
          <w:insideH w:val="none"/>
          <w:insideV w:val="none"/>
        </w:tblBorders>
      </w:tblPr>
      <w:tblGrid>
        <w:gridCol w:w="2520"/>
        <w:gridCol w:w="2520"/>
        <w:gridCol w:w="2520"/>
        <w:gridCol w:w="2520"/>
      </w:tblGrid>
      <w:tr>
        <w:tc>
          <w:tcPr>
            <w:tcW w:type="dxa" w:w="2520"/>
            <w:shd w:fill="EAF1F8" w:color="auto" w:val="clear"/>
            <w:tcMar>
              <w:top w:type="dxa" w:w="100"/>
              <w:left w:type="dxa" w:w="100"/>
              <w:bottom w:type="dxa" w:w="100"/>
              <w:right w:type="dxa" w:w="100"/>
            </w:tcMar>
          </w:tcPr>
          <w:p>
            <w:pPr>
              <w:spacing w:after="20"/>
              <w:jc w:val="center"/>
            </w:pPr>
            <w:r>
              <w:rPr>
                <w:rFonts w:ascii="Calibri" w:cs="Calibri" w:eastAsia="Calibri" w:hAnsi="Calibri"/>
                <w:b/>
                <w:bCs/>
                <w:color w:val="0F2E4C"/>
                <w:sz w:val="24"/>
                <w:szCs w:val="24"/>
              </w:rPr>
              <w:t xml:space="preserve">~5,000</w:t>
            </w:r>
          </w:p>
          <w:p>
            <w:pPr>
              <w:jc w:val="center"/>
            </w:pPr>
            <w:r>
              <w:rPr>
                <w:rFonts w:ascii="Calibri" w:cs="Calibri" w:eastAsia="Calibri" w:hAnsi="Calibri"/>
                <w:color w:val="444444"/>
                <w:sz w:val="16"/>
                <w:szCs w:val="16"/>
              </w:rPr>
              <w:t xml:space="preserve">agent interactions in first 90 days</w:t>
            </w:r>
          </w:p>
        </w:tc>
        <w:tc>
          <w:tcPr>
            <w:tcW w:type="dxa" w:w="2520"/>
            <w:shd w:fill="EAF1F8" w:color="auto" w:val="clear"/>
            <w:tcMar>
              <w:top w:type="dxa" w:w="100"/>
              <w:left w:type="dxa" w:w="100"/>
              <w:bottom w:type="dxa" w:w="100"/>
              <w:right w:type="dxa" w:w="100"/>
            </w:tcMar>
          </w:tcPr>
          <w:p>
            <w:pPr>
              <w:spacing w:after="20"/>
              <w:jc w:val="center"/>
            </w:pPr>
            <w:r>
              <w:rPr>
                <w:rFonts w:ascii="Calibri" w:cs="Calibri" w:eastAsia="Calibri" w:hAnsi="Calibri"/>
                <w:b/>
                <w:bCs/>
                <w:color w:val="0F2E4C"/>
                <w:sz w:val="24"/>
                <w:szCs w:val="24"/>
              </w:rPr>
              <w:t xml:space="preserve">~10%</w:t>
            </w:r>
          </w:p>
          <w:p>
            <w:pPr>
              <w:jc w:val="center"/>
            </w:pPr>
            <w:r>
              <w:rPr>
                <w:rFonts w:ascii="Calibri" w:cs="Calibri" w:eastAsia="Calibri" w:hAnsi="Calibri"/>
                <w:color w:val="444444"/>
                <w:sz w:val="16"/>
                <w:szCs w:val="16"/>
              </w:rPr>
              <w:t xml:space="preserve">L1 ticket reduction via AI agent</w:t>
            </w:r>
          </w:p>
        </w:tc>
        <w:tc>
          <w:tcPr>
            <w:tcW w:type="dxa" w:w="2520"/>
            <w:shd w:fill="EAF1F8" w:color="auto" w:val="clear"/>
            <w:tcMar>
              <w:top w:type="dxa" w:w="100"/>
              <w:left w:type="dxa" w:w="100"/>
              <w:bottom w:type="dxa" w:w="100"/>
              <w:right w:type="dxa" w:w="100"/>
            </w:tcMar>
          </w:tcPr>
          <w:p>
            <w:pPr>
              <w:spacing w:after="20"/>
              <w:jc w:val="center"/>
            </w:pPr>
            <w:r>
              <w:rPr>
                <w:rFonts w:ascii="Calibri" w:cs="Calibri" w:eastAsia="Calibri" w:hAnsi="Calibri"/>
                <w:b/>
                <w:bCs/>
                <w:color w:val="0F2E4C"/>
                <w:sz w:val="24"/>
                <w:szCs w:val="24"/>
              </w:rPr>
              <w:t xml:space="preserve">~95</w:t>
            </w:r>
          </w:p>
          <w:p>
            <w:pPr>
              <w:jc w:val="center"/>
            </w:pPr>
            <w:r>
              <w:rPr>
                <w:rFonts w:ascii="Calibri" w:cs="Calibri" w:eastAsia="Calibri" w:hAnsi="Calibri"/>
                <w:color w:val="444444"/>
                <w:sz w:val="16"/>
                <w:szCs w:val="16"/>
              </w:rPr>
              <w:t xml:space="preserve">GenAI domains governed via DLP/CASB</w:t>
            </w:r>
          </w:p>
        </w:tc>
        <w:tc>
          <w:tcPr>
            <w:tcW w:type="dxa" w:w="2520"/>
            <w:shd w:fill="EAF1F8" w:color="auto" w:val="clear"/>
            <w:tcMar>
              <w:top w:type="dxa" w:w="100"/>
              <w:left w:type="dxa" w:w="100"/>
              <w:bottom w:type="dxa" w:w="100"/>
              <w:right w:type="dxa" w:w="100"/>
            </w:tcMar>
          </w:tcPr>
          <w:p>
            <w:pPr>
              <w:spacing w:after="20"/>
              <w:jc w:val="center"/>
            </w:pPr>
            <w:r>
              <w:rPr>
                <w:rFonts w:ascii="Calibri" w:cs="Calibri" w:eastAsia="Calibri" w:hAnsi="Calibri"/>
                <w:b/>
                <w:bCs/>
                <w:color w:val="0F2E4C"/>
                <w:sz w:val="24"/>
                <w:szCs w:val="24"/>
              </w:rPr>
              <w:t xml:space="preserve">12+ yrs</w:t>
            </w:r>
          </w:p>
          <w:p>
            <w:pPr>
              <w:jc w:val="center"/>
            </w:pPr>
            <w:r>
              <w:rPr>
                <w:rFonts w:ascii="Calibri" w:cs="Calibri" w:eastAsia="Calibri" w:hAnsi="Calibri"/>
                <w:color w:val="444444"/>
                <w:sz w:val="16"/>
                <w:szCs w:val="16"/>
              </w:rPr>
              <w:t xml:space="preserve">enterprise M365 architecture</w:t>
            </w:r>
          </w:p>
        </w:tc>
      </w:tr>
    </w:tbl>
    <w:p>
      <w:pPr>
        <w:pBdr>
          <w:bottom w:val="single" w:color="1F6FEB" w:sz="8" w:space="2"/>
        </w:pBdr>
        <w:spacing w:after="90" w:before="220"/>
      </w:pPr>
      <w:r>
        <w:rPr>
          <w:rFonts w:ascii="Calibri" w:cs="Calibri" w:eastAsia="Calibri" w:hAnsi="Calibri"/>
          <w:b/>
          <w:bCs/>
          <w:color w:val="0F2E4C"/>
          <w:spacing w:val="30"/>
          <w:sz w:val="22"/>
          <w:szCs w:val="22"/>
        </w:rPr>
        <w:t xml:space="preserve">CORE COMPETENCIES</w:t>
      </w:r>
    </w:p>
    <w:tbl>
      <w:tblPr>
        <w:tblW w:type="dxa" w:w="10080"/>
        <w:tblBorders>
          <w:top w:val="none"/>
          <w:left w:val="none"/>
          <w:bottom w:val="none"/>
          <w:right w:val="none"/>
          <w:insideH w:val="none"/>
          <w:insideV w:val="none"/>
        </w:tblBorders>
      </w:tblPr>
      <w:tblGrid>
        <w:gridCol w:w="5040"/>
        <w:gridCol w:w="5040"/>
      </w:tblGrid>
      <w:tr>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Copilot Studio · Agent Builder · OOTB Agents</w:t>
            </w:r>
          </w:p>
        </w:tc>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Governance, Risk &amp; Compliance (GRC) Workflows</w:t>
            </w:r>
          </w:p>
        </w:tc>
      </w:tr>
      <w:tr>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M365 Copilot Enablement &amp; Adoption Programmes</w:t>
            </w:r>
          </w:p>
        </w:tc>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Intake → Assessment → Approval → Release Pipelines</w:t>
            </w:r>
          </w:p>
        </w:tc>
      </w:tr>
      <w:tr>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Copilot Extensibility: Connectors, Plugins, APIs</w:t>
            </w:r>
          </w:p>
        </w:tc>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Cross-functional Leadership (Security/Legal/Privacy/Architecture)</w:t>
            </w:r>
          </w:p>
        </w:tc>
      </w:tr>
      <w:tr>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Agent Lifecycle: Design → Release → Monitor → Retire</w:t>
            </w:r>
          </w:p>
        </w:tc>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Microsoft Purview · DLP · Sensitivity Labels · eDiscovery</w:t>
            </w:r>
          </w:p>
        </w:tc>
      </w:tr>
      <w:tr>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Azure AI Foundry · RAG / AI Search Grounding · MCP</w:t>
            </w:r>
          </w:p>
        </w:tc>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Defender for Cloud Apps (CASB) · Data Exfiltration Controls</w:t>
            </w:r>
          </w:p>
        </w:tc>
      </w:tr>
      <w:tr>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Graph API · Graph Connectors · Power Automate</w:t>
            </w:r>
          </w:p>
        </w:tc>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Entra ID · Conditional Access · PIM · Zero Trust</w:t>
            </w:r>
          </w:p>
        </w:tc>
      </w:tr>
      <w:tr>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Usage Analytics, Reporting &amp; Value Realisation</w:t>
            </w:r>
          </w:p>
        </w:tc>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FinOps: PAYG Controls, Budgets &amp; Spend Optimisation</w:t>
            </w:r>
          </w:p>
        </w:tc>
      </w:tr>
      <w:tr>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PowerShell · Python · Azure Functions</w:t>
            </w:r>
          </w:p>
        </w:tc>
        <w:tc>
          <w:tcPr>
            <w:tcW w:type="dxa" w:w="5040"/>
            <w:tcMar>
              <w:top w:type="dxa" w:w="30"/>
              <w:left w:type="dxa" w:w="60"/>
              <w:bottom w:type="dxa" w:w="30"/>
              <w:right w:type="dxa" w:w="60"/>
            </w:tcMar>
          </w:tcPr>
          <w:p>
            <w:r>
              <w:rPr>
                <w:rFonts w:ascii="Calibri" w:cs="Calibri" w:eastAsia="Calibri" w:hAnsi="Calibri"/>
                <w:color w:val="1F6FEB"/>
                <w:sz w:val="18"/>
                <w:szCs w:val="18"/>
              </w:rPr>
              <w:t xml:space="preserve">▪  </w:t>
            </w:r>
            <w:r>
              <w:rPr>
                <w:rFonts w:ascii="Calibri" w:cs="Calibri" w:eastAsia="Calibri" w:hAnsi="Calibri"/>
                <w:color w:val="444444"/>
                <w:sz w:val="18"/>
                <w:szCs w:val="18"/>
              </w:rPr>
              <w:t xml:space="preserve">Audit Trail, Documentation &amp; Exception Handling</w:t>
            </w:r>
          </w:p>
        </w:tc>
      </w:tr>
    </w:tbl>
    <w:p>
      <w:pPr>
        <w:pBdr>
          <w:bottom w:val="single" w:color="1F6FEB" w:sz="8" w:space="2"/>
        </w:pBdr>
        <w:spacing w:after="90" w:before="220"/>
      </w:pPr>
      <w:r>
        <w:rPr>
          <w:rFonts w:ascii="Calibri" w:cs="Calibri" w:eastAsia="Calibri" w:hAnsi="Calibri"/>
          <w:b/>
          <w:bCs/>
          <w:color w:val="0F2E4C"/>
          <w:spacing w:val="30"/>
          <w:sz w:val="22"/>
          <w:szCs w:val="22"/>
        </w:rPr>
        <w:t xml:space="preserve">CERTIFICATIONS</w:t>
      </w:r>
    </w:p>
    <w:p>
      <w:pPr>
        <w:pStyle w:val="ListParagraph"/>
        <w:numPr>
          <w:ilvl w:val="0"/>
          <w:numId w:val="2"/>
        </w:numPr>
        <w:spacing w:after="40" w:line="250"/>
      </w:pPr>
      <w:r>
        <w:rPr>
          <w:rFonts w:ascii="Calibri" w:cs="Calibri" w:eastAsia="Calibri" w:hAnsi="Calibri"/>
          <w:b/>
          <w:bCs/>
          <w:color w:val="222222"/>
          <w:sz w:val="19"/>
          <w:szCs w:val="19"/>
        </w:rPr>
        <w:t xml:space="preserve">Microsoft 365 Certified: Enterprise Administrator Expert (MS-102)</w:t>
      </w:r>
      <w:r>
        <w:rPr>
          <w:rFonts w:ascii="Calibri" w:cs="Calibri" w:eastAsia="Calibri" w:hAnsi="Calibri"/>
          <w:color w:val="444444"/>
          <w:sz w:val="19"/>
          <w:szCs w:val="19"/>
        </w:rPr>
        <w:t xml:space="preserve">  —  </w:t>
      </w:r>
      <w:hyperlink w:history="1" r:id="rIdgaos_p2ghduhlqjeynlkk">
        <w:r>
          <w:rPr>
            <w:rFonts w:ascii="Calibri" w:cs="Calibri" w:eastAsia="Calibri" w:hAnsi="Calibri"/>
            <w:color w:val="1F6FEB"/>
            <w:sz w:val="19"/>
            <w:szCs w:val="19"/>
            <w:u w:val="single"/>
          </w:rPr>
          <w:t xml:space="preserve">verify</w:t>
        </w:r>
      </w:hyperlink>
    </w:p>
    <w:p>
      <w:pPr>
        <w:pStyle w:val="ListParagraph"/>
        <w:numPr>
          <w:ilvl w:val="0"/>
          <w:numId w:val="2"/>
        </w:numPr>
        <w:spacing w:after="40" w:line="250"/>
      </w:pPr>
      <w:r>
        <w:rPr>
          <w:rFonts w:ascii="Calibri" w:cs="Calibri" w:eastAsia="Calibri" w:hAnsi="Calibri"/>
          <w:b/>
          <w:bCs/>
          <w:color w:val="222222"/>
          <w:sz w:val="19"/>
          <w:szCs w:val="19"/>
        </w:rPr>
        <w:t xml:space="preserve">Microsoft Certified: Identity and Access Administrator Associate (SC-300)</w:t>
      </w:r>
      <w:r>
        <w:rPr>
          <w:rFonts w:ascii="Calibri" w:cs="Calibri" w:eastAsia="Calibri" w:hAnsi="Calibri"/>
          <w:color w:val="444444"/>
          <w:sz w:val="19"/>
          <w:szCs w:val="19"/>
        </w:rPr>
        <w:t xml:space="preserve">  —  </w:t>
      </w:r>
      <w:hyperlink w:history="1" r:id="rId7losulqe1slsalnpo053t">
        <w:r>
          <w:rPr>
            <w:rFonts w:ascii="Calibri" w:cs="Calibri" w:eastAsia="Calibri" w:hAnsi="Calibri"/>
            <w:color w:val="1F6FEB"/>
            <w:sz w:val="19"/>
            <w:szCs w:val="19"/>
            <w:u w:val="single"/>
          </w:rPr>
          <w:t xml:space="preserve">verify</w:t>
        </w:r>
      </w:hyperlink>
    </w:p>
    <w:p>
      <w:pPr>
        <w:pStyle w:val="ListParagraph"/>
        <w:numPr>
          <w:ilvl w:val="0"/>
          <w:numId w:val="2"/>
        </w:numPr>
        <w:spacing w:after="40" w:line="250"/>
      </w:pPr>
      <w:r>
        <w:rPr>
          <w:rFonts w:ascii="Calibri" w:cs="Calibri" w:eastAsia="Calibri" w:hAnsi="Calibri"/>
          <w:b/>
          <w:bCs/>
          <w:color w:val="222222"/>
          <w:sz w:val="19"/>
          <w:szCs w:val="19"/>
        </w:rPr>
        <w:t xml:space="preserve">Core Solutions of Microsoft Exchange Server 2013</w:t>
      </w:r>
    </w:p>
    <w:p>
      <w:pPr>
        <w:pBdr>
          <w:bottom w:val="single" w:color="1F6FEB" w:sz="8" w:space="2"/>
        </w:pBdr>
        <w:spacing w:after="90" w:before="220"/>
      </w:pPr>
      <w:r>
        <w:rPr>
          <w:rFonts w:ascii="Calibri" w:cs="Calibri" w:eastAsia="Calibri" w:hAnsi="Calibri"/>
          <w:b/>
          <w:bCs/>
          <w:color w:val="0F2E4C"/>
          <w:spacing w:val="30"/>
          <w:sz w:val="22"/>
          <w:szCs w:val="22"/>
        </w:rPr>
        <w:t xml:space="preserve">PROFESSIONAL EXPERIENCE</w:t>
      </w:r>
    </w:p>
    <w:p>
      <w:pPr>
        <w:spacing w:after="0" w:before="160"/>
      </w:pPr>
      <w:r>
        <w:rPr>
          <w:rFonts w:ascii="Calibri" w:cs="Calibri" w:eastAsia="Calibri" w:hAnsi="Calibri"/>
          <w:b/>
          <w:bCs/>
          <w:color w:val="0F2E4C"/>
          <w:sz w:val="21"/>
          <w:szCs w:val="21"/>
        </w:rPr>
        <w:t xml:space="preserve">Architect, Information Technology</w:t>
      </w:r>
    </w:p>
    <w:p>
      <w:pPr>
        <w:pBdr>
          <w:bottom w:val="single" w:color="D9E2EC" w:sz="4" w:space="1"/>
        </w:pBdr>
        <w:spacing w:after="60"/>
      </w:pPr>
      <w:r>
        <w:rPr>
          <w:rFonts w:ascii="Calibri" w:cs="Calibri" w:eastAsia="Calibri" w:hAnsi="Calibri"/>
          <w:b/>
          <w:bCs/>
          <w:color w:val="1F6FEB"/>
          <w:sz w:val="19"/>
          <w:szCs w:val="19"/>
        </w:rPr>
        <w:t xml:space="preserve">Icertis · India</w:t>
      </w:r>
      <w:r>
        <w:rPr>
          <w:rFonts w:ascii="Calibri" w:cs="Calibri" w:eastAsia="Calibri" w:hAnsi="Calibri"/>
          <w:color w:val="777777"/>
          <w:sz w:val="18"/>
          <w:szCs w:val="18"/>
        </w:rPr>
        <w:t xml:space="preserve">   |   Oct 2022 – Present</w:t>
      </w:r>
    </w:p>
    <w:p>
      <w:pPr>
        <w:spacing w:after="40" w:before="120"/>
      </w:pPr>
      <w:r>
        <w:rPr>
          <w:rFonts w:ascii="Calibri" w:cs="Calibri" w:eastAsia="Calibri" w:hAnsi="Calibri"/>
          <w:b/>
          <w:bCs/>
          <w:i/>
          <w:iCs/>
          <w:color w:val="1F6FEB"/>
          <w:sz w:val="19"/>
          <w:szCs w:val="19"/>
        </w:rPr>
        <w:t xml:space="preserve">Copilot &amp; AI Agent Platform — Enablement, Governance &amp; Extensibility</w:t>
      </w:r>
    </w:p>
    <w:p>
      <w:pPr>
        <w:pStyle w:val="ListParagraph"/>
        <w:numPr>
          <w:ilvl w:val="0"/>
          <w:numId w:val="2"/>
        </w:numPr>
        <w:spacing w:after="40" w:line="250"/>
      </w:pPr>
      <w:r>
        <w:rPr>
          <w:rFonts w:ascii="Calibri" w:cs="Calibri" w:eastAsia="Calibri" w:hAnsi="Calibri"/>
          <w:b/>
          <w:bCs/>
          <w:color w:val="222222"/>
          <w:sz w:val="19"/>
          <w:szCs w:val="19"/>
        </w:rPr>
        <w:t xml:space="preserve">Own the Copilot / AI agent capability portfolio</w:t>
      </w:r>
      <w:r>
        <w:rPr>
          <w:rFonts w:ascii="Calibri" w:cs="Calibri" w:eastAsia="Calibri" w:hAnsi="Calibri"/>
          <w:color w:val="444444"/>
          <w:sz w:val="19"/>
          <w:szCs w:val="19"/>
        </w:rPr>
        <w:t xml:space="preserve"> end-to-end — evaluating out-of-the-box agents, Copilot Studio agent builder, and extensibility features against business value and enterprise readiness before anything is rolled out to users.</w:t>
      </w:r>
    </w:p>
    <w:p>
      <w:pPr>
        <w:pStyle w:val="ListParagraph"/>
        <w:numPr>
          <w:ilvl w:val="0"/>
          <w:numId w:val="2"/>
        </w:numPr>
        <w:spacing w:after="40" w:line="250"/>
      </w:pPr>
      <w:r>
        <w:rPr>
          <w:rFonts w:ascii="Calibri" w:cs="Calibri" w:eastAsia="Calibri" w:hAnsi="Calibri"/>
          <w:b/>
          <w:bCs/>
          <w:color w:val="222222"/>
          <w:sz w:val="19"/>
          <w:szCs w:val="19"/>
        </w:rPr>
        <w:t xml:space="preserve">Designed and shipped ITCopilot,</w:t>
      </w:r>
      <w:r>
        <w:rPr>
          <w:rFonts w:ascii="Calibri" w:cs="Calibri" w:eastAsia="Calibri" w:hAnsi="Calibri"/>
          <w:color w:val="444444"/>
          <w:sz w:val="19"/>
          <w:szCs w:val="19"/>
        </w:rPr>
        <w:t xml:space="preserve"> an agentic AI helpdesk on Copilot Studio grounded in Azure AI Foundry (RAG via AI Search), delivering self-serve MFA reset, account unlock, and distribution-list management — ~5,000 uses in 90 days and ~10% reduction in L1 tickets.</w:t>
      </w:r>
    </w:p>
    <w:p>
      <w:pPr>
        <w:pStyle w:val="ListParagraph"/>
        <w:numPr>
          <w:ilvl w:val="0"/>
          <w:numId w:val="2"/>
        </w:numPr>
        <w:spacing w:after="40" w:line="250"/>
      </w:pPr>
      <w:r>
        <w:rPr>
          <w:rFonts w:ascii="Calibri" w:cs="Calibri" w:eastAsia="Calibri" w:hAnsi="Calibri"/>
          <w:b/>
          <w:bCs/>
          <w:color w:val="222222"/>
          <w:sz w:val="19"/>
          <w:szCs w:val="19"/>
        </w:rPr>
        <w:t xml:space="preserve">Run the intake-to-approval workflow for AI capabilities</w:t>
      </w:r>
      <w:r>
        <w:rPr>
          <w:rFonts w:ascii="Calibri" w:cs="Calibri" w:eastAsia="Calibri" w:hAnsi="Calibri"/>
          <w:color w:val="444444"/>
          <w:sz w:val="19"/>
          <w:szCs w:val="19"/>
        </w:rPr>
        <w:t xml:space="preserve"> — capability assessment, security and privacy risk review, data-access scoping, sign-off, and exception handling with Security, Legal, and Architecture stakeholders before release.</w:t>
      </w:r>
    </w:p>
    <w:p>
      <w:pPr>
        <w:pStyle w:val="ListParagraph"/>
        <w:numPr>
          <w:ilvl w:val="0"/>
          <w:numId w:val="2"/>
        </w:numPr>
        <w:spacing w:after="40" w:line="250"/>
      </w:pPr>
      <w:r>
        <w:rPr>
          <w:rFonts w:ascii="Calibri" w:cs="Calibri" w:eastAsia="Calibri" w:hAnsi="Calibri"/>
          <w:b/>
          <w:bCs/>
          <w:color w:val="222222"/>
          <w:sz w:val="19"/>
          <w:szCs w:val="19"/>
        </w:rPr>
        <w:t xml:space="preserve">Defined guardrails for connectors, plugins, and data access</w:t>
      </w:r>
      <w:r>
        <w:rPr>
          <w:rFonts w:ascii="Calibri" w:cs="Calibri" w:eastAsia="Calibri" w:hAnsi="Calibri"/>
          <w:color w:val="444444"/>
          <w:sz w:val="19"/>
          <w:szCs w:val="19"/>
        </w:rPr>
        <w:t xml:space="preserve"> — least-privilege app registrations, scoped Graph permissions, sensitivity-label and DLP enforcement on grounding data, and approval criteria for extending agents to enterprise and third-party systems.</w:t>
      </w:r>
    </w:p>
    <w:p>
      <w:pPr>
        <w:pStyle w:val="ListParagraph"/>
        <w:numPr>
          <w:ilvl w:val="0"/>
          <w:numId w:val="2"/>
        </w:numPr>
        <w:spacing w:after="40" w:line="250"/>
      </w:pPr>
      <w:r>
        <w:rPr>
          <w:rFonts w:ascii="Calibri" w:cs="Calibri" w:eastAsia="Calibri" w:hAnsi="Calibri"/>
          <w:b/>
          <w:bCs/>
          <w:color w:val="222222"/>
          <w:sz w:val="19"/>
          <w:szCs w:val="19"/>
        </w:rPr>
        <w:t xml:space="preserve">Manage the full agent lifecycle</w:t>
      </w:r>
      <w:r>
        <w:rPr>
          <w:rFonts w:ascii="Calibri" w:cs="Calibri" w:eastAsia="Calibri" w:hAnsi="Calibri"/>
          <w:color w:val="444444"/>
          <w:sz w:val="19"/>
          <w:szCs w:val="19"/>
        </w:rPr>
        <w:t xml:space="preserve"> — design, staged release, monitoring, and retirement/decommissioning of redundant, obsolete, or non-compliant agents and flows.</w:t>
      </w:r>
    </w:p>
    <w:p>
      <w:pPr>
        <w:pStyle w:val="ListParagraph"/>
        <w:numPr>
          <w:ilvl w:val="0"/>
          <w:numId w:val="2"/>
        </w:numPr>
        <w:spacing w:after="40" w:line="250"/>
      </w:pPr>
      <w:r>
        <w:rPr>
          <w:rFonts w:ascii="Calibri" w:cs="Calibri" w:eastAsia="Calibri" w:hAnsi="Calibri"/>
          <w:b/>
          <w:bCs/>
          <w:color w:val="222222"/>
          <w:sz w:val="19"/>
          <w:szCs w:val="19"/>
        </w:rPr>
        <w:t xml:space="preserve">Built the extensibility layer</w:t>
      </w:r>
      <w:r>
        <w:rPr>
          <w:rFonts w:ascii="Calibri" w:cs="Calibri" w:eastAsia="Calibri" w:hAnsi="Calibri"/>
          <w:color w:val="444444"/>
          <w:sz w:val="19"/>
          <w:szCs w:val="19"/>
        </w:rPr>
        <w:t xml:space="preserve"> behind the agent estate: Power Automate HTTP flows exposed as OpenAPI tools, an Azure Function / Cloudflare Worker proxy for secure browser-side Graph API calls (CORS workaround via App Registration client credentials), and an evaluation of MCP (Model Context Protocol) server integration for extending agent tool capability.</w:t>
      </w:r>
    </w:p>
    <w:p>
      <w:pPr>
        <w:pStyle w:val="ListParagraph"/>
        <w:numPr>
          <w:ilvl w:val="0"/>
          <w:numId w:val="2"/>
        </w:numPr>
        <w:spacing w:after="40" w:line="250"/>
      </w:pPr>
      <w:r>
        <w:rPr>
          <w:rFonts w:ascii="Calibri" w:cs="Calibri" w:eastAsia="Calibri" w:hAnsi="Calibri"/>
          <w:b/>
          <w:bCs/>
          <w:color w:val="222222"/>
          <w:sz w:val="19"/>
          <w:szCs w:val="19"/>
        </w:rPr>
        <w:t xml:space="preserve">Drove enablement and adoption</w:t>
      </w:r>
      <w:r>
        <w:rPr>
          <w:rFonts w:ascii="Calibri" w:cs="Calibri" w:eastAsia="Calibri" w:hAnsi="Calibri"/>
          <w:color w:val="444444"/>
          <w:sz w:val="19"/>
          <w:szCs w:val="19"/>
        </w:rPr>
        <w:t xml:space="preserve"> — quick-prompt tiles, guided landing experiences, in-portal documentation, and feedback capture so users adopt capabilities in the intended, governed way; instrumented usage logging to SharePoint/Azure Table Storage for analytics.</w:t>
      </w:r>
    </w:p>
    <w:p>
      <w:pPr>
        <w:pStyle w:val="ListParagraph"/>
        <w:numPr>
          <w:ilvl w:val="0"/>
          <w:numId w:val="2"/>
        </w:numPr>
        <w:spacing w:after="40" w:line="250"/>
      </w:pPr>
      <w:r>
        <w:rPr>
          <w:rFonts w:ascii="Calibri" w:cs="Calibri" w:eastAsia="Calibri" w:hAnsi="Calibri"/>
          <w:b/>
          <w:bCs/>
          <w:color w:val="222222"/>
          <w:sz w:val="19"/>
          <w:szCs w:val="19"/>
        </w:rPr>
        <w:t xml:space="preserve">Established usage analytics and capability health reporting</w:t>
      </w:r>
      <w:r>
        <w:rPr>
          <w:rFonts w:ascii="Calibri" w:cs="Calibri" w:eastAsia="Calibri" w:hAnsi="Calibri"/>
          <w:color w:val="444444"/>
          <w:sz w:val="19"/>
          <w:szCs w:val="19"/>
        </w:rPr>
        <w:t xml:space="preserve"> — adoption, deflection rate, and value-realisation metrics used to tune the portfolio, retire low-value items, and prioritise the next release; cost tracked against Azure OpenAI PAYG consumption with budget and spend-optimisation controls (model routing, token/prompt tuning, caching).</w:t>
      </w:r>
    </w:p>
    <w:p>
      <w:pPr>
        <w:spacing w:after="40" w:before="120"/>
      </w:pPr>
      <w:r>
        <w:rPr>
          <w:rFonts w:ascii="Calibri" w:cs="Calibri" w:eastAsia="Calibri" w:hAnsi="Calibri"/>
          <w:b/>
          <w:bCs/>
          <w:i/>
          <w:iCs/>
          <w:color w:val="1F6FEB"/>
          <w:sz w:val="19"/>
          <w:szCs w:val="19"/>
        </w:rPr>
        <w:t xml:space="preserve">AI Data Governance, Purview &amp; Compliance</w:t>
      </w:r>
    </w:p>
    <w:p>
      <w:pPr>
        <w:pStyle w:val="ListParagraph"/>
        <w:numPr>
          <w:ilvl w:val="0"/>
          <w:numId w:val="2"/>
        </w:numPr>
        <w:spacing w:after="40" w:line="250"/>
      </w:pPr>
      <w:r>
        <w:rPr>
          <w:rFonts w:ascii="Calibri" w:cs="Calibri" w:eastAsia="Calibri" w:hAnsi="Calibri"/>
          <w:b/>
          <w:bCs/>
          <w:color w:val="222222"/>
          <w:sz w:val="19"/>
          <w:szCs w:val="19"/>
        </w:rPr>
        <w:t xml:space="preserve">Built a curated blocklist of ~95 generative AI domains</w:t>
      </w:r>
      <w:r>
        <w:rPr>
          <w:rFonts w:ascii="Calibri" w:cs="Calibri" w:eastAsia="Calibri" w:hAnsi="Calibri"/>
          <w:color w:val="444444"/>
          <w:sz w:val="19"/>
          <w:szCs w:val="19"/>
        </w:rPr>
        <w:t xml:space="preserve"> for Defender for Cloud Apps monitoring, integrated with Endpoint DLP to prevent data exfiltration to consumer AI tools while explicitly permitting Microsoft Copilot and approved destinations — the control that made sanctioned Copilot adoption defensible to security leadership.</w:t>
      </w:r>
    </w:p>
    <w:p>
      <w:pPr>
        <w:pStyle w:val="ListParagraph"/>
        <w:numPr>
          <w:ilvl w:val="0"/>
          <w:numId w:val="2"/>
        </w:numPr>
        <w:spacing w:after="40" w:line="250"/>
      </w:pPr>
      <w:r>
        <w:rPr>
          <w:rFonts w:ascii="Calibri" w:cs="Calibri" w:eastAsia="Calibri" w:hAnsi="Calibri"/>
          <w:b/>
          <w:bCs/>
          <w:color w:val="222222"/>
          <w:sz w:val="19"/>
          <w:szCs w:val="19"/>
        </w:rPr>
        <w:t xml:space="preserve">Designed and deployed enterprise-wide DLP</w:t>
      </w:r>
      <w:r>
        <w:rPr>
          <w:rFonts w:ascii="Calibri" w:cs="Calibri" w:eastAsia="Calibri" w:hAnsi="Calibri"/>
          <w:color w:val="444444"/>
          <w:sz w:val="19"/>
          <w:szCs w:val="19"/>
        </w:rPr>
        <w:t xml:space="preserve"> across Exchange Online, SharePoint, OneDrive, Teams, and Endpoints covering PII, financial, and sensitive business classifications — with User Override and business-justification policies that preserve auditability without blocking legitimate work.</w:t>
      </w:r>
    </w:p>
    <w:p>
      <w:pPr>
        <w:pStyle w:val="ListParagraph"/>
        <w:numPr>
          <w:ilvl w:val="0"/>
          <w:numId w:val="2"/>
        </w:numPr>
        <w:spacing w:after="40" w:line="250"/>
      </w:pPr>
      <w:r>
        <w:rPr>
          <w:rFonts w:ascii="Calibri" w:cs="Calibri" w:eastAsia="Calibri" w:hAnsi="Calibri"/>
          <w:b/>
          <w:bCs/>
          <w:color w:val="222222"/>
          <w:sz w:val="19"/>
          <w:szCs w:val="19"/>
        </w:rPr>
        <w:t xml:space="preserve">Published and manage Sensitivity Labels</w:t>
      </w:r>
      <w:r>
        <w:rPr>
          <w:rFonts w:ascii="Calibri" w:cs="Calibri" w:eastAsia="Calibri" w:hAnsi="Calibri"/>
          <w:color w:val="444444"/>
          <w:sz w:val="19"/>
          <w:szCs w:val="19"/>
        </w:rPr>
        <w:t xml:space="preserve"> tenant-wide — auto-labelling, inheritance rules, and mandatory labelling — directly shaping what Copilot can surface and to whom.</w:t>
      </w:r>
    </w:p>
    <w:p>
      <w:pPr>
        <w:pStyle w:val="ListParagraph"/>
        <w:numPr>
          <w:ilvl w:val="0"/>
          <w:numId w:val="2"/>
        </w:numPr>
        <w:spacing w:after="40" w:line="250"/>
      </w:pPr>
      <w:r>
        <w:rPr>
          <w:rFonts w:ascii="Calibri" w:cs="Calibri" w:eastAsia="Calibri" w:hAnsi="Calibri"/>
          <w:b/>
          <w:bCs/>
          <w:color w:val="222222"/>
          <w:sz w:val="19"/>
          <w:szCs w:val="19"/>
        </w:rPr>
        <w:t xml:space="preserve">Maintain the audit trail</w:t>
      </w:r>
      <w:r>
        <w:rPr>
          <w:rFonts w:ascii="Calibri" w:cs="Calibri" w:eastAsia="Calibri" w:hAnsi="Calibri"/>
          <w:color w:val="444444"/>
          <w:sz w:val="19"/>
          <w:szCs w:val="19"/>
        </w:rPr>
        <w:t xml:space="preserve"> — mailbox and unified audit logging, eDiscovery and Content Searches for legal/HR investigations, retention policies, and litigation holds; documentation packaged for internal and external review.</w:t>
      </w:r>
    </w:p>
    <w:p>
      <w:pPr>
        <w:pStyle w:val="ListParagraph"/>
        <w:numPr>
          <w:ilvl w:val="0"/>
          <w:numId w:val="2"/>
        </w:numPr>
        <w:spacing w:after="40" w:line="250"/>
      </w:pPr>
      <w:r>
        <w:rPr>
          <w:rFonts w:ascii="Calibri" w:cs="Calibri" w:eastAsia="Calibri" w:hAnsi="Calibri"/>
          <w:b/>
          <w:bCs/>
          <w:color w:val="222222"/>
          <w:sz w:val="19"/>
          <w:szCs w:val="19"/>
        </w:rPr>
        <w:t xml:space="preserve">Maintain Microsoft Secure Score above target baseline</w:t>
      </w:r>
      <w:r>
        <w:rPr>
          <w:rFonts w:ascii="Calibri" w:cs="Calibri" w:eastAsia="Calibri" w:hAnsi="Calibri"/>
          <w:color w:val="444444"/>
          <w:sz w:val="19"/>
          <w:szCs w:val="19"/>
        </w:rPr>
        <w:t xml:space="preserve"> through continuous hardening, tracked improvement actions, documented compensating controls, and regular reporting to security leadership.</w:t>
      </w:r>
    </w:p>
    <w:p>
      <w:pPr>
        <w:spacing w:after="40" w:before="120"/>
      </w:pPr>
      <w:r>
        <w:rPr>
          <w:rFonts w:ascii="Calibri" w:cs="Calibri" w:eastAsia="Calibri" w:hAnsi="Calibri"/>
          <w:b/>
          <w:bCs/>
          <w:i/>
          <w:iCs/>
          <w:color w:val="1F6FEB"/>
          <w:sz w:val="19"/>
          <w:szCs w:val="19"/>
        </w:rPr>
        <w:t xml:space="preserve">Identity, Zero Trust &amp; Cross-Functional Governance</w:t>
      </w:r>
    </w:p>
    <w:p>
      <w:pPr>
        <w:pStyle w:val="ListParagraph"/>
        <w:numPr>
          <w:ilvl w:val="0"/>
          <w:numId w:val="2"/>
        </w:numPr>
        <w:spacing w:after="40" w:line="250"/>
      </w:pPr>
      <w:r>
        <w:rPr>
          <w:rFonts w:ascii="Calibri" w:cs="Calibri" w:eastAsia="Calibri" w:hAnsi="Calibri"/>
          <w:b/>
          <w:bCs/>
          <w:color w:val="222222"/>
          <w:sz w:val="19"/>
          <w:szCs w:val="19"/>
        </w:rPr>
        <w:t xml:space="preserve">Architect and own the enterprise Entra ID posture</w:t>
      </w:r>
      <w:r>
        <w:rPr>
          <w:rFonts w:ascii="Calibri" w:cs="Calibri" w:eastAsia="Calibri" w:hAnsi="Calibri"/>
          <w:color w:val="444444"/>
          <w:sz w:val="19"/>
          <w:szCs w:val="19"/>
        </w:rPr>
        <w:t xml:space="preserve"> — tenant-wide Conditional Access, named locations, sign-in risk policies, MFA enforcement, and legacy authentication blocking across a global user base.</w:t>
      </w:r>
    </w:p>
    <w:p>
      <w:pPr>
        <w:pStyle w:val="ListParagraph"/>
        <w:numPr>
          <w:ilvl w:val="0"/>
          <w:numId w:val="2"/>
        </w:numPr>
        <w:spacing w:after="40" w:line="250"/>
      </w:pPr>
      <w:r>
        <w:rPr>
          <w:rFonts w:ascii="Calibri" w:cs="Calibri" w:eastAsia="Calibri" w:hAnsi="Calibri"/>
          <w:b/>
          <w:bCs/>
          <w:color w:val="222222"/>
          <w:sz w:val="19"/>
          <w:szCs w:val="19"/>
        </w:rPr>
        <w:t xml:space="preserve">Deployed Privileged Identity Management (PIM)</w:t>
      </w:r>
      <w:r>
        <w:rPr>
          <w:rFonts w:ascii="Calibri" w:cs="Calibri" w:eastAsia="Calibri" w:hAnsi="Calibri"/>
          <w:color w:val="444444"/>
          <w:sz w:val="19"/>
          <w:szCs w:val="19"/>
        </w:rPr>
        <w:t xml:space="preserve"> with time-bound role activation, approval workflows, and recurring access reviews for all privileged roles — the same approval-and-review muscle applied to agent and connector governance.</w:t>
      </w:r>
    </w:p>
    <w:p>
      <w:pPr>
        <w:pStyle w:val="ListParagraph"/>
        <w:numPr>
          <w:ilvl w:val="0"/>
          <w:numId w:val="2"/>
        </w:numPr>
        <w:spacing w:after="40" w:line="250"/>
      </w:pPr>
      <w:r>
        <w:rPr>
          <w:rFonts w:ascii="Calibri" w:cs="Calibri" w:eastAsia="Calibri" w:hAnsi="Calibri"/>
          <w:b/>
          <w:bCs/>
          <w:color w:val="222222"/>
          <w:sz w:val="19"/>
          <w:szCs w:val="19"/>
        </w:rPr>
        <w:t xml:space="preserve">Deployed Identity Governance</w:t>
      </w:r>
      <w:r>
        <w:rPr>
          <w:rFonts w:ascii="Calibri" w:cs="Calibri" w:eastAsia="Calibri" w:hAnsi="Calibri"/>
          <w:color w:val="444444"/>
          <w:sz w:val="19"/>
          <w:szCs w:val="19"/>
        </w:rPr>
        <w:t xml:space="preserve"> — automated access reviews, entitlement management, and lifecycle workflows that detect and remediate stale and guest accounts without manual intervention.</w:t>
      </w:r>
    </w:p>
    <w:p>
      <w:pPr>
        <w:pStyle w:val="ListParagraph"/>
        <w:numPr>
          <w:ilvl w:val="0"/>
          <w:numId w:val="2"/>
        </w:numPr>
        <w:spacing w:after="40" w:line="250"/>
      </w:pPr>
      <w:r>
        <w:rPr>
          <w:rFonts w:ascii="Calibri" w:cs="Calibri" w:eastAsia="Calibri" w:hAnsi="Calibri"/>
          <w:b/>
          <w:bCs/>
          <w:color w:val="222222"/>
          <w:sz w:val="19"/>
          <w:szCs w:val="19"/>
        </w:rPr>
        <w:t xml:space="preserve">Led passwordless rollout</w:t>
      </w:r>
      <w:r>
        <w:rPr>
          <w:rFonts w:ascii="Calibri" w:cs="Calibri" w:eastAsia="Calibri" w:hAnsi="Calibri"/>
          <w:color w:val="444444"/>
          <w:sz w:val="19"/>
          <w:szCs w:val="19"/>
        </w:rPr>
        <w:t xml:space="preserve"> (Windows Hello for Business + Microsoft Authenticator) and full migration from Hybrid Azure AD Join to pure Entra ID Join, decommissioning on-premises AD DS dependency.</w:t>
      </w:r>
    </w:p>
    <w:p>
      <w:pPr>
        <w:spacing w:after="40" w:before="120"/>
      </w:pPr>
      <w:r>
        <w:rPr>
          <w:rFonts w:ascii="Calibri" w:cs="Calibri" w:eastAsia="Calibri" w:hAnsi="Calibri"/>
          <w:b/>
          <w:bCs/>
          <w:i/>
          <w:iCs/>
          <w:color w:val="1F6FEB"/>
          <w:sz w:val="19"/>
          <w:szCs w:val="19"/>
        </w:rPr>
        <w:t xml:space="preserve">Automation, Endpoint &amp; Platform Operations</w:t>
      </w:r>
    </w:p>
    <w:p>
      <w:pPr>
        <w:pStyle w:val="ListParagraph"/>
        <w:numPr>
          <w:ilvl w:val="0"/>
          <w:numId w:val="2"/>
        </w:numPr>
        <w:spacing w:after="40" w:line="250"/>
      </w:pPr>
      <w:r>
        <w:rPr>
          <w:rFonts w:ascii="Calibri" w:cs="Calibri" w:eastAsia="Calibri" w:hAnsi="Calibri"/>
          <w:b/>
          <w:bCs/>
          <w:color w:val="222222"/>
          <w:sz w:val="19"/>
          <w:szCs w:val="19"/>
        </w:rPr>
        <w:t xml:space="preserve">Automated the full onboarding/offboarding lifecycle</w:t>
      </w:r>
      <w:r>
        <w:rPr>
          <w:rFonts w:ascii="Calibri" w:cs="Calibri" w:eastAsia="Calibri" w:hAnsi="Calibri"/>
          <w:color w:val="444444"/>
          <w:sz w:val="19"/>
          <w:szCs w:val="19"/>
        </w:rPr>
        <w:t xml:space="preserve"> via Power Automate and Graph API — provisioning, licence assignment, group membership, mailbox configuration, and device enrolment — cutting end-to-end time from 20 minutes to under 2 minutes.</w:t>
      </w:r>
    </w:p>
    <w:p>
      <w:pPr>
        <w:pStyle w:val="ListParagraph"/>
        <w:numPr>
          <w:ilvl w:val="0"/>
          <w:numId w:val="2"/>
        </w:numPr>
        <w:spacing w:after="40" w:line="250"/>
      </w:pPr>
      <w:r>
        <w:rPr>
          <w:rFonts w:ascii="Calibri" w:cs="Calibri" w:eastAsia="Calibri" w:hAnsi="Calibri"/>
          <w:b/>
          <w:bCs/>
          <w:color w:val="222222"/>
          <w:sz w:val="19"/>
          <w:szCs w:val="19"/>
        </w:rPr>
        <w:t xml:space="preserve">Own Intune device management for 3,000+ devices</w:t>
      </w:r>
      <w:r>
        <w:rPr>
          <w:rFonts w:ascii="Calibri" w:cs="Calibri" w:eastAsia="Calibri" w:hAnsi="Calibri"/>
          <w:color w:val="444444"/>
          <w:sz w:val="19"/>
          <w:szCs w:val="19"/>
        </w:rPr>
        <w:t xml:space="preserve"> across Windows, macOS, iOS, and Android — Autopilot pre-provisioning, compliance policies, app deployment, update rings (&lt;5% non-compliant weekly), and MAM for BYOD.</w:t>
      </w:r>
    </w:p>
    <w:p>
      <w:pPr>
        <w:pStyle w:val="ListParagraph"/>
        <w:numPr>
          <w:ilvl w:val="0"/>
          <w:numId w:val="2"/>
        </w:numPr>
        <w:spacing w:after="40" w:line="250"/>
      </w:pPr>
      <w:r>
        <w:rPr>
          <w:rFonts w:ascii="Calibri" w:cs="Calibri" w:eastAsia="Calibri" w:hAnsi="Calibri"/>
          <w:b/>
          <w:bCs/>
          <w:color w:val="222222"/>
          <w:sz w:val="19"/>
          <w:szCs w:val="19"/>
        </w:rPr>
        <w:t xml:space="preserve">Migrated 2,500+ mailboxes</w:t>
      </w:r>
      <w:r>
        <w:rPr>
          <w:rFonts w:ascii="Calibri" w:cs="Calibri" w:eastAsia="Calibri" w:hAnsi="Calibri"/>
          <w:color w:val="444444"/>
          <w:sz w:val="19"/>
          <w:szCs w:val="19"/>
        </w:rPr>
        <w:t xml:space="preserve"> from hybrid Exchange to Exchange Online — readiness assessment, MX cutover, batch scheduling, coexistence, and post-migration validation; implemented SPF, DKIM, and DMARC (p=reject) across all domains.</w:t>
      </w:r>
    </w:p>
    <w:p>
      <w:pPr>
        <w:pStyle w:val="ListParagraph"/>
        <w:numPr>
          <w:ilvl w:val="0"/>
          <w:numId w:val="2"/>
        </w:numPr>
        <w:spacing w:after="40" w:line="250"/>
      </w:pPr>
      <w:r>
        <w:rPr>
          <w:rFonts w:ascii="Calibri" w:cs="Calibri" w:eastAsia="Calibri" w:hAnsi="Calibri"/>
          <w:b/>
          <w:bCs/>
          <w:color w:val="222222"/>
          <w:sz w:val="19"/>
          <w:szCs w:val="19"/>
        </w:rPr>
        <w:t xml:space="preserve">Migrated Apple estate from JAMF to Intune</w:t>
      </w:r>
      <w:r>
        <w:rPr>
          <w:rFonts w:ascii="Calibri" w:cs="Calibri" w:eastAsia="Calibri" w:hAnsi="Calibri"/>
          <w:color w:val="444444"/>
          <w:sz w:val="19"/>
          <w:szCs w:val="19"/>
        </w:rPr>
        <w:t xml:space="preserve"> — MDM profiles, PKG deployments, Apple Enterprise SSO Extension, and CyberArk EPM for macOS — delivering measurable licensing cost savings.</w:t>
      </w:r>
    </w:p>
    <w:p>
      <w:pPr>
        <w:pStyle w:val="ListParagraph"/>
        <w:numPr>
          <w:ilvl w:val="0"/>
          <w:numId w:val="2"/>
        </w:numPr>
        <w:spacing w:after="40" w:line="250"/>
      </w:pPr>
      <w:r>
        <w:rPr>
          <w:rFonts w:ascii="Calibri" w:cs="Calibri" w:eastAsia="Calibri" w:hAnsi="Calibri"/>
          <w:b/>
          <w:bCs/>
          <w:color w:val="222222"/>
          <w:sz w:val="19"/>
          <w:szCs w:val="19"/>
        </w:rPr>
        <w:t xml:space="preserve">Built internal tooling</w:t>
      </w:r>
      <w:r>
        <w:rPr>
          <w:rFonts w:ascii="Calibri" w:cs="Calibri" w:eastAsia="Calibri" w:hAnsi="Calibri"/>
          <w:color w:val="444444"/>
          <w:sz w:val="19"/>
          <w:szCs w:val="19"/>
        </w:rPr>
        <w:t xml:space="preserve"> including Tenant Guard (M365 security-posture SPA on MSAL.js + Graph, mapping CIS / CMMC / Microsoft baseline checks) and TicketIQ (AI similar-ticket search using Azure OpenAI, Azure Functions, and Table Storage).</w:t>
      </w:r>
    </w:p>
    <w:p>
      <w:pPr>
        <w:spacing w:after="0" w:before="160"/>
      </w:pPr>
      <w:r>
        <w:rPr>
          <w:rFonts w:ascii="Calibri" w:cs="Calibri" w:eastAsia="Calibri" w:hAnsi="Calibri"/>
          <w:b/>
          <w:bCs/>
          <w:color w:val="0F2E4C"/>
          <w:sz w:val="21"/>
          <w:szCs w:val="21"/>
        </w:rPr>
        <w:t xml:space="preserve">Sr. System Engineer</w:t>
      </w:r>
    </w:p>
    <w:p>
      <w:pPr>
        <w:pBdr>
          <w:bottom w:val="single" w:color="D9E2EC" w:sz="4" w:space="1"/>
        </w:pBdr>
        <w:spacing w:after="60"/>
      </w:pPr>
      <w:r>
        <w:rPr>
          <w:rFonts w:ascii="Calibri" w:cs="Calibri" w:eastAsia="Calibri" w:hAnsi="Calibri"/>
          <w:b/>
          <w:bCs/>
          <w:color w:val="1F6FEB"/>
          <w:sz w:val="19"/>
          <w:szCs w:val="19"/>
        </w:rPr>
        <w:t xml:space="preserve">Locuz Enterprise Solutions · Delhi, India</w:t>
      </w:r>
      <w:r>
        <w:rPr>
          <w:rFonts w:ascii="Calibri" w:cs="Calibri" w:eastAsia="Calibri" w:hAnsi="Calibri"/>
          <w:color w:val="777777"/>
          <w:sz w:val="18"/>
          <w:szCs w:val="18"/>
        </w:rPr>
        <w:t xml:space="preserve">   |   May 2019 – Aug 2022</w:t>
      </w:r>
    </w:p>
    <w:p>
      <w:pPr>
        <w:pStyle w:val="ListParagraph"/>
        <w:numPr>
          <w:ilvl w:val="0"/>
          <w:numId w:val="2"/>
        </w:numPr>
        <w:spacing w:after="40" w:line="250"/>
      </w:pPr>
      <w:r>
        <w:rPr>
          <w:rFonts w:ascii="Calibri" w:cs="Calibri" w:eastAsia="Calibri" w:hAnsi="Calibri"/>
          <w:b/>
          <w:bCs/>
          <w:color w:val="222222"/>
          <w:sz w:val="19"/>
          <w:szCs w:val="19"/>
        </w:rPr>
        <w:t xml:space="preserve">Served as M365 Solution Architect</w:t>
      </w:r>
      <w:r>
        <w:rPr>
          <w:rFonts w:ascii="Calibri" w:cs="Calibri" w:eastAsia="Calibri" w:hAnsi="Calibri"/>
          <w:color w:val="444444"/>
          <w:sz w:val="19"/>
          <w:szCs w:val="19"/>
        </w:rPr>
        <w:t xml:space="preserve"> for enterprise transformation engagements — assessed client app estate, infrastructure maturity, and business priorities to design phased, risk-balanced migration roadmaps.</w:t>
      </w:r>
    </w:p>
    <w:p>
      <w:pPr>
        <w:pStyle w:val="ListParagraph"/>
        <w:numPr>
          <w:ilvl w:val="0"/>
          <w:numId w:val="2"/>
        </w:numPr>
        <w:spacing w:after="40" w:line="250"/>
      </w:pPr>
      <w:r>
        <w:rPr>
          <w:rFonts w:ascii="Calibri" w:cs="Calibri" w:eastAsia="Calibri" w:hAnsi="Calibri"/>
          <w:b/>
          <w:bCs/>
          <w:color w:val="222222"/>
          <w:sz w:val="19"/>
          <w:szCs w:val="19"/>
        </w:rPr>
        <w:t xml:space="preserve">Led and mentored a technical team of 50</w:t>
      </w:r>
      <w:r>
        <w:rPr>
          <w:rFonts w:ascii="Calibri" w:cs="Calibri" w:eastAsia="Calibri" w:hAnsi="Calibri"/>
          <w:color w:val="444444"/>
          <w:sz w:val="19"/>
          <w:szCs w:val="19"/>
        </w:rPr>
        <w:t xml:space="preserve"> across multiple concurrent client engagements, coordinating across client security, infrastructure, and compliance stakeholders.</w:t>
      </w:r>
    </w:p>
    <w:p>
      <w:pPr>
        <w:pStyle w:val="ListParagraph"/>
        <w:numPr>
          <w:ilvl w:val="0"/>
          <w:numId w:val="2"/>
        </w:numPr>
        <w:spacing w:after="40" w:line="250"/>
      </w:pPr>
      <w:r>
        <w:rPr>
          <w:rFonts w:ascii="Calibri" w:cs="Calibri" w:eastAsia="Calibri" w:hAnsi="Calibri"/>
          <w:b/>
          <w:bCs/>
          <w:color w:val="222222"/>
          <w:sz w:val="19"/>
          <w:szCs w:val="19"/>
        </w:rPr>
        <w:t xml:space="preserve">Led Intune implementation for 3,000+ users</w:t>
      </w:r>
      <w:r>
        <w:rPr>
          <w:rFonts w:ascii="Calibri" w:cs="Calibri" w:eastAsia="Calibri" w:hAnsi="Calibri"/>
          <w:color w:val="444444"/>
          <w:sz w:val="19"/>
          <w:szCs w:val="19"/>
        </w:rPr>
        <w:t xml:space="preserve"> — compliance policies, Conditional Access integration, BitLocker enforcement, and Autopilot across 550+ machines.</w:t>
      </w:r>
    </w:p>
    <w:p>
      <w:pPr>
        <w:pStyle w:val="ListParagraph"/>
        <w:numPr>
          <w:ilvl w:val="0"/>
          <w:numId w:val="2"/>
        </w:numPr>
        <w:spacing w:after="40" w:line="250"/>
      </w:pPr>
      <w:r>
        <w:rPr>
          <w:rFonts w:ascii="Calibri" w:cs="Calibri" w:eastAsia="Calibri" w:hAnsi="Calibri"/>
          <w:b/>
          <w:bCs/>
          <w:color w:val="222222"/>
          <w:sz w:val="19"/>
          <w:szCs w:val="19"/>
        </w:rPr>
        <w:t xml:space="preserve">Implemented Microsoft Information Protection, DLP, and Defender for Endpoint</w:t>
      </w:r>
      <w:r>
        <w:rPr>
          <w:rFonts w:ascii="Calibri" w:cs="Calibri" w:eastAsia="Calibri" w:hAnsi="Calibri"/>
          <w:color w:val="444444"/>
          <w:sz w:val="19"/>
          <w:szCs w:val="19"/>
        </w:rPr>
        <w:t xml:space="preserve"> across client tenants; managed Cloud App Security discovery, session controls, and sanctioned/unsanctioned app governance.</w:t>
      </w:r>
    </w:p>
    <w:p>
      <w:pPr>
        <w:pStyle w:val="ListParagraph"/>
        <w:numPr>
          <w:ilvl w:val="0"/>
          <w:numId w:val="2"/>
        </w:numPr>
        <w:spacing w:after="40" w:line="250"/>
      </w:pPr>
      <w:r>
        <w:rPr>
          <w:rFonts w:ascii="Calibri" w:cs="Calibri" w:eastAsia="Calibri" w:hAnsi="Calibri"/>
          <w:b/>
          <w:bCs/>
          <w:color w:val="222222"/>
          <w:sz w:val="19"/>
          <w:szCs w:val="19"/>
        </w:rPr>
        <w:t xml:space="preserve">Led Teams-only migration</w:t>
      </w:r>
      <w:r>
        <w:rPr>
          <w:rFonts w:ascii="Calibri" w:cs="Calibri" w:eastAsia="Calibri" w:hAnsi="Calibri"/>
          <w:color w:val="444444"/>
          <w:sz w:val="19"/>
          <w:szCs w:val="19"/>
        </w:rPr>
        <w:t xml:space="preserve"> including Skype for Business interoperability, PSTN normalisation, calling plans, and direct routing.</w:t>
      </w:r>
    </w:p>
    <w:p>
      <w:pPr>
        <w:spacing w:after="0" w:before="160"/>
      </w:pPr>
      <w:r>
        <w:rPr>
          <w:rFonts w:ascii="Calibri" w:cs="Calibri" w:eastAsia="Calibri" w:hAnsi="Calibri"/>
          <w:b/>
          <w:bCs/>
          <w:color w:val="0F2E4C"/>
          <w:sz w:val="21"/>
          <w:szCs w:val="21"/>
        </w:rPr>
        <w:t xml:space="preserve">Senior Consultant</w:t>
      </w:r>
    </w:p>
    <w:p>
      <w:pPr>
        <w:pBdr>
          <w:bottom w:val="single" w:color="D9E2EC" w:sz="4" w:space="1"/>
        </w:pBdr>
        <w:spacing w:after="60"/>
      </w:pPr>
      <w:r>
        <w:rPr>
          <w:rFonts w:ascii="Calibri" w:cs="Calibri" w:eastAsia="Calibri" w:hAnsi="Calibri"/>
          <w:b/>
          <w:bCs/>
          <w:color w:val="1F6FEB"/>
          <w:sz w:val="19"/>
          <w:szCs w:val="19"/>
        </w:rPr>
        <w:t xml:space="preserve">Hitachi Consulting · Pune, India</w:t>
      </w:r>
      <w:r>
        <w:rPr>
          <w:rFonts w:ascii="Calibri" w:cs="Calibri" w:eastAsia="Calibri" w:hAnsi="Calibri"/>
          <w:color w:val="777777"/>
          <w:sz w:val="18"/>
          <w:szCs w:val="18"/>
        </w:rPr>
        <w:t xml:space="preserve">   |   Dec 2018 – May 2019</w:t>
      </w:r>
    </w:p>
    <w:p>
      <w:pPr>
        <w:pStyle w:val="ListParagraph"/>
        <w:numPr>
          <w:ilvl w:val="0"/>
          <w:numId w:val="2"/>
        </w:numPr>
        <w:spacing w:after="40" w:line="250"/>
      </w:pPr>
      <w:r>
        <w:rPr>
          <w:rFonts w:ascii="Calibri" w:cs="Calibri" w:eastAsia="Calibri" w:hAnsi="Calibri"/>
          <w:b/>
          <w:bCs/>
          <w:color w:val="222222"/>
          <w:sz w:val="19"/>
          <w:szCs w:val="19"/>
        </w:rPr>
        <w:t xml:space="preserve">Led a team of 12 engineers</w:t>
      </w:r>
      <w:r>
        <w:rPr>
          <w:rFonts w:ascii="Calibri" w:cs="Calibri" w:eastAsia="Calibri" w:hAnsi="Calibri"/>
          <w:color w:val="444444"/>
          <w:sz w:val="19"/>
          <w:szCs w:val="19"/>
        </w:rPr>
        <w:t xml:space="preserve"> through Microsoft 365 adoption, implementation, and migration engagements — maintained a 100% client issue resolution rate.</w:t>
      </w:r>
    </w:p>
    <w:p>
      <w:pPr>
        <w:pStyle w:val="ListParagraph"/>
        <w:numPr>
          <w:ilvl w:val="0"/>
          <w:numId w:val="2"/>
        </w:numPr>
        <w:spacing w:after="40" w:line="250"/>
      </w:pPr>
      <w:r>
        <w:rPr>
          <w:rFonts w:ascii="Calibri" w:cs="Calibri" w:eastAsia="Calibri" w:hAnsi="Calibri"/>
          <w:b/>
          <w:bCs/>
          <w:color w:val="222222"/>
          <w:sz w:val="19"/>
          <w:szCs w:val="19"/>
        </w:rPr>
        <w:t xml:space="preserve">Delivered end-to-end Exchange Online and Skype Online deployments</w:t>
      </w:r>
      <w:r>
        <w:rPr>
          <w:rFonts w:ascii="Calibri" w:cs="Calibri" w:eastAsia="Calibri" w:hAnsi="Calibri"/>
          <w:color w:val="444444"/>
          <w:sz w:val="19"/>
          <w:szCs w:val="19"/>
        </w:rPr>
        <w:t xml:space="preserve"> — hybrid configuration, mailbox migration, coexistence, and decommission phases.</w:t>
      </w:r>
    </w:p>
    <w:p>
      <w:pPr>
        <w:pStyle w:val="ListParagraph"/>
        <w:numPr>
          <w:ilvl w:val="0"/>
          <w:numId w:val="2"/>
        </w:numPr>
        <w:spacing w:after="40" w:line="250"/>
      </w:pPr>
      <w:r>
        <w:rPr>
          <w:rFonts w:ascii="Calibri" w:cs="Calibri" w:eastAsia="Calibri" w:hAnsi="Calibri"/>
          <w:b/>
          <w:bCs/>
          <w:color w:val="222222"/>
          <w:sz w:val="19"/>
          <w:szCs w:val="19"/>
        </w:rPr>
        <w:t xml:space="preserve">Ran M365 environment health triages</w:t>
      </w:r>
      <w:r>
        <w:rPr>
          <w:rFonts w:ascii="Calibri" w:cs="Calibri" w:eastAsia="Calibri" w:hAnsi="Calibri"/>
          <w:color w:val="444444"/>
          <w:sz w:val="19"/>
          <w:szCs w:val="19"/>
        </w:rPr>
        <w:t xml:space="preserve"> — assessed configuration gaps and security posture; delivered prioritised remediation recommendations to client leadership.</w:t>
      </w:r>
    </w:p>
    <w:p>
      <w:pPr>
        <w:spacing w:after="0" w:before="160"/>
      </w:pPr>
      <w:r>
        <w:rPr>
          <w:rFonts w:ascii="Calibri" w:cs="Calibri" w:eastAsia="Calibri" w:hAnsi="Calibri"/>
          <w:b/>
          <w:bCs/>
          <w:color w:val="0F2E4C"/>
          <w:sz w:val="21"/>
          <w:szCs w:val="21"/>
        </w:rPr>
        <w:t xml:space="preserve">Escalation Engineer</w:t>
      </w:r>
    </w:p>
    <w:p>
      <w:pPr>
        <w:pBdr>
          <w:bottom w:val="single" w:color="D9E2EC" w:sz="4" w:space="1"/>
        </w:pBdr>
        <w:spacing w:after="60"/>
      </w:pPr>
      <w:r>
        <w:rPr>
          <w:rFonts w:ascii="Calibri" w:cs="Calibri" w:eastAsia="Calibri" w:hAnsi="Calibri"/>
          <w:b/>
          <w:bCs/>
          <w:color w:val="1F6FEB"/>
          <w:sz w:val="19"/>
          <w:szCs w:val="19"/>
        </w:rPr>
        <w:t xml:space="preserve">Convergys · Gurgaon, India</w:t>
      </w:r>
      <w:r>
        <w:rPr>
          <w:rFonts w:ascii="Calibri" w:cs="Calibri" w:eastAsia="Calibri" w:hAnsi="Calibri"/>
          <w:color w:val="777777"/>
          <w:sz w:val="18"/>
          <w:szCs w:val="18"/>
        </w:rPr>
        <w:t xml:space="preserve">   |   May 2016 – Dec 2018</w:t>
      </w:r>
    </w:p>
    <w:p>
      <w:pPr>
        <w:pStyle w:val="ListParagraph"/>
        <w:numPr>
          <w:ilvl w:val="0"/>
          <w:numId w:val="2"/>
        </w:numPr>
        <w:spacing w:after="40" w:line="250"/>
      </w:pPr>
      <w:r>
        <w:rPr>
          <w:rFonts w:ascii="Calibri" w:cs="Calibri" w:eastAsia="Calibri" w:hAnsi="Calibri"/>
          <w:b/>
          <w:bCs/>
          <w:color w:val="222222"/>
          <w:sz w:val="19"/>
          <w:szCs w:val="19"/>
        </w:rPr>
        <w:t xml:space="preserve">Managed Exchange Online migrations, mail flow, and compliance policies</w:t>
      </w:r>
      <w:r>
        <w:rPr>
          <w:rFonts w:ascii="Calibri" w:cs="Calibri" w:eastAsia="Calibri" w:hAnsi="Calibri"/>
          <w:color w:val="444444"/>
          <w:sz w:val="19"/>
          <w:szCs w:val="19"/>
        </w:rPr>
        <w:t xml:space="preserve"> for enterprise clients; implemented SPF, DKIM, DMARC, EOP, and ATP Safe Links/Attachments.</w:t>
      </w:r>
    </w:p>
    <w:p>
      <w:pPr>
        <w:pStyle w:val="ListParagraph"/>
        <w:numPr>
          <w:ilvl w:val="0"/>
          <w:numId w:val="2"/>
        </w:numPr>
        <w:spacing w:after="40" w:line="250"/>
      </w:pPr>
      <w:r>
        <w:rPr>
          <w:rFonts w:ascii="Calibri" w:cs="Calibri" w:eastAsia="Calibri" w:hAnsi="Calibri"/>
          <w:b/>
          <w:bCs/>
          <w:color w:val="222222"/>
          <w:sz w:val="19"/>
          <w:szCs w:val="19"/>
        </w:rPr>
        <w:t xml:space="preserve">Configured Azure AD Connect and ADFS</w:t>
      </w:r>
      <w:r>
        <w:rPr>
          <w:rFonts w:ascii="Calibri" w:cs="Calibri" w:eastAsia="Calibri" w:hAnsi="Calibri"/>
          <w:color w:val="444444"/>
          <w:sz w:val="19"/>
          <w:szCs w:val="19"/>
        </w:rPr>
        <w:t xml:space="preserve"> — password hash sync, pass-through auth, seamless SSO, password writeback, claims rules, and relying party trusts across SAML, WS-Federation, and OAuth.</w:t>
      </w:r>
    </w:p>
    <w:p>
      <w:pPr>
        <w:spacing w:after="0" w:before="160"/>
      </w:pPr>
      <w:r>
        <w:rPr>
          <w:rFonts w:ascii="Calibri" w:cs="Calibri" w:eastAsia="Calibri" w:hAnsi="Calibri"/>
          <w:b/>
          <w:bCs/>
          <w:color w:val="0F2E4C"/>
          <w:sz w:val="21"/>
          <w:szCs w:val="21"/>
        </w:rPr>
        <w:t xml:space="preserve">Escalation Engineer</w:t>
      </w:r>
    </w:p>
    <w:p>
      <w:pPr>
        <w:pBdr>
          <w:bottom w:val="single" w:color="D9E2EC" w:sz="4" w:space="1"/>
        </w:pBdr>
        <w:spacing w:after="60"/>
      </w:pPr>
      <w:r>
        <w:rPr>
          <w:rFonts w:ascii="Calibri" w:cs="Calibri" w:eastAsia="Calibri" w:hAnsi="Calibri"/>
          <w:b/>
          <w:bCs/>
          <w:color w:val="1F6FEB"/>
          <w:sz w:val="19"/>
          <w:szCs w:val="19"/>
        </w:rPr>
        <w:t xml:space="preserve">Teleperformance · Jaipur, India</w:t>
      </w:r>
      <w:r>
        <w:rPr>
          <w:rFonts w:ascii="Calibri" w:cs="Calibri" w:eastAsia="Calibri" w:hAnsi="Calibri"/>
          <w:color w:val="777777"/>
          <w:sz w:val="18"/>
          <w:szCs w:val="18"/>
        </w:rPr>
        <w:t xml:space="preserve">   |   Jul 2013 – Apr 2016</w:t>
      </w:r>
    </w:p>
    <w:p>
      <w:pPr>
        <w:pStyle w:val="ListParagraph"/>
        <w:numPr>
          <w:ilvl w:val="0"/>
          <w:numId w:val="2"/>
        </w:numPr>
        <w:spacing w:after="40" w:line="250"/>
      </w:pPr>
      <w:r>
        <w:rPr>
          <w:rFonts w:ascii="Calibri" w:cs="Calibri" w:eastAsia="Calibri" w:hAnsi="Calibri"/>
          <w:b/>
          <w:bCs/>
          <w:color w:val="222222"/>
          <w:sz w:val="19"/>
          <w:szCs w:val="19"/>
        </w:rPr>
        <w:t xml:space="preserve">Administered Active Directory and Exchange</w:t>
      </w:r>
      <w:r>
        <w:rPr>
          <w:rFonts w:ascii="Calibri" w:cs="Calibri" w:eastAsia="Calibri" w:hAnsi="Calibri"/>
          <w:color w:val="444444"/>
          <w:sz w:val="19"/>
          <w:szCs w:val="19"/>
        </w:rPr>
        <w:t xml:space="preserve"> — provisioning, group policy, mailbox and distribution list governance; configured ADFS claims rules and relying party trusts for federated SSO across partner organisations.</w:t>
      </w:r>
    </w:p>
    <w:p>
      <w:pPr>
        <w:pBdr>
          <w:bottom w:val="single" w:color="1F6FEB" w:sz="8" w:space="2"/>
        </w:pBdr>
        <w:spacing w:after="90" w:before="220"/>
      </w:pPr>
      <w:r>
        <w:rPr>
          <w:rFonts w:ascii="Calibri" w:cs="Calibri" w:eastAsia="Calibri" w:hAnsi="Calibri"/>
          <w:b/>
          <w:bCs/>
          <w:color w:val="0F2E4C"/>
          <w:spacing w:val="30"/>
          <w:sz w:val="22"/>
          <w:szCs w:val="22"/>
        </w:rPr>
        <w:t xml:space="preserve">KEY PROJECTS</w:t>
      </w:r>
    </w:p>
    <w:p>
      <w:pPr>
        <w:pStyle w:val="ListParagraph"/>
        <w:numPr>
          <w:ilvl w:val="0"/>
          <w:numId w:val="2"/>
        </w:numPr>
        <w:spacing w:after="40" w:line="250"/>
      </w:pPr>
      <w:r>
        <w:rPr>
          <w:rFonts w:ascii="Calibri" w:cs="Calibri" w:eastAsia="Calibri" w:hAnsi="Calibri"/>
          <w:b/>
          <w:bCs/>
          <w:color w:val="222222"/>
          <w:sz w:val="19"/>
          <w:szCs w:val="19"/>
        </w:rPr>
        <w:t xml:space="preserve">ITCopilot — Agentic AI Helpdesk (Copilot Studio + Azure AI Foundry).</w:t>
      </w:r>
      <w:r>
        <w:rPr>
          <w:rFonts w:ascii="Calibri" w:cs="Calibri" w:eastAsia="Calibri" w:hAnsi="Calibri"/>
          <w:color w:val="444444"/>
          <w:sz w:val="19"/>
          <w:szCs w:val="19"/>
        </w:rPr>
        <w:t xml:space="preserve"> RAG-grounded agent with Power Automate HTTP flows as OpenAPI tools for real-time retrieval and action execution. ~5,000 uses / 90 days, ~10% L1 ticket reduction. Governed release with scoped Graph permissions, server-side OTP handling, and full interaction logging.</w:t>
      </w:r>
    </w:p>
    <w:p>
      <w:pPr>
        <w:pStyle w:val="ListParagraph"/>
        <w:numPr>
          <w:ilvl w:val="0"/>
          <w:numId w:val="2"/>
        </w:numPr>
        <w:spacing w:after="40" w:line="250"/>
      </w:pPr>
      <w:r>
        <w:rPr>
          <w:rFonts w:ascii="Calibri" w:cs="Calibri" w:eastAsia="Calibri" w:hAnsi="Calibri"/>
          <w:b/>
          <w:bCs/>
          <w:color w:val="222222"/>
          <w:sz w:val="19"/>
          <w:szCs w:val="19"/>
        </w:rPr>
        <w:t xml:space="preserve">GenAI Governance &amp; Endpoint DLP.</w:t>
      </w:r>
      <w:r>
        <w:rPr>
          <w:rFonts w:ascii="Calibri" w:cs="Calibri" w:eastAsia="Calibri" w:hAnsi="Calibri"/>
          <w:color w:val="444444"/>
          <w:sz w:val="19"/>
          <w:szCs w:val="19"/>
        </w:rPr>
        <w:t xml:space="preserve"> ~95-domain generative-AI blocklist across CASB + Endpoint DLP — blocking consumer AI tools while permitting sanctioned Microsoft Copilot usage; the guardrail that unlocked enterprise AI adoption.</w:t>
      </w:r>
    </w:p>
    <w:p>
      <w:pPr>
        <w:pStyle w:val="ListParagraph"/>
        <w:numPr>
          <w:ilvl w:val="0"/>
          <w:numId w:val="2"/>
        </w:numPr>
        <w:spacing w:after="40" w:line="250"/>
      </w:pPr>
      <w:r>
        <w:rPr>
          <w:rFonts w:ascii="Calibri" w:cs="Calibri" w:eastAsia="Calibri" w:hAnsi="Calibri"/>
          <w:b/>
          <w:bCs/>
          <w:color w:val="222222"/>
          <w:sz w:val="19"/>
          <w:szCs w:val="19"/>
        </w:rPr>
        <w:t xml:space="preserve">Tenant Guard — M365 Security Posture Platform.</w:t>
      </w:r>
      <w:r>
        <w:rPr>
          <w:rFonts w:ascii="Calibri" w:cs="Calibri" w:eastAsia="Calibri" w:hAnsi="Calibri"/>
          <w:color w:val="444444"/>
          <w:sz w:val="19"/>
          <w:szCs w:val="19"/>
        </w:rPr>
        <w:t xml:space="preserve"> MSAL.js + Microsoft Graph SPA automating CIS, CMMC, and Microsoft Security Baseline checks, dormant identity/device detection, and bulk remediation — an evidence trail for compliance review.</w:t>
      </w:r>
    </w:p>
    <w:p>
      <w:pPr>
        <w:pStyle w:val="ListParagraph"/>
        <w:numPr>
          <w:ilvl w:val="0"/>
          <w:numId w:val="2"/>
        </w:numPr>
        <w:spacing w:after="40" w:line="250"/>
      </w:pPr>
      <w:r>
        <w:rPr>
          <w:rFonts w:ascii="Calibri" w:cs="Calibri" w:eastAsia="Calibri" w:hAnsi="Calibri"/>
          <w:b/>
          <w:bCs/>
          <w:color w:val="222222"/>
          <w:sz w:val="19"/>
          <w:szCs w:val="19"/>
        </w:rPr>
        <w:t xml:space="preserve">Copilot Extensibility Proxy (Cloudflare Worker + Azure Functions).</w:t>
      </w:r>
      <w:r>
        <w:rPr>
          <w:rFonts w:ascii="Calibri" w:cs="Calibri" w:eastAsia="Calibri" w:hAnsi="Calibri"/>
          <w:color w:val="444444"/>
          <w:sz w:val="19"/>
          <w:szCs w:val="19"/>
        </w:rPr>
        <w:t xml:space="preserve"> Secure client-credential proxy enabling governed browser-side Graph API access at scale; evaluated MCP server integration for extending agent tool capability.</w:t>
      </w:r>
    </w:p>
    <w:p>
      <w:pPr>
        <w:pStyle w:val="ListParagraph"/>
        <w:numPr>
          <w:ilvl w:val="0"/>
          <w:numId w:val="2"/>
        </w:numPr>
        <w:spacing w:after="40" w:line="250"/>
      </w:pPr>
      <w:r>
        <w:rPr>
          <w:rFonts w:ascii="Calibri" w:cs="Calibri" w:eastAsia="Calibri" w:hAnsi="Calibri"/>
          <w:b/>
          <w:bCs/>
          <w:color w:val="222222"/>
          <w:sz w:val="19"/>
          <w:szCs w:val="19"/>
        </w:rPr>
        <w:t xml:space="preserve">Onboarding &amp; Offboarding Automation.</w:t>
      </w:r>
      <w:r>
        <w:rPr>
          <w:rFonts w:ascii="Calibri" w:cs="Calibri" w:eastAsia="Calibri" w:hAnsi="Calibri"/>
          <w:color w:val="444444"/>
          <w:sz w:val="19"/>
          <w:szCs w:val="19"/>
        </w:rPr>
        <w:t xml:space="preserve"> Full identity lifecycle via Power Automate + Graph API — 20 minutes to under 2 minutes.</w:t>
      </w:r>
    </w:p>
    <w:p>
      <w:pPr>
        <w:pStyle w:val="ListParagraph"/>
        <w:numPr>
          <w:ilvl w:val="0"/>
          <w:numId w:val="2"/>
        </w:numPr>
        <w:spacing w:after="40" w:line="250"/>
      </w:pPr>
      <w:r>
        <w:rPr>
          <w:rFonts w:ascii="Calibri" w:cs="Calibri" w:eastAsia="Calibri" w:hAnsi="Calibri"/>
          <w:b/>
          <w:bCs/>
          <w:color w:val="222222"/>
          <w:sz w:val="19"/>
          <w:szCs w:val="19"/>
        </w:rPr>
        <w:t xml:space="preserve">Identity Governance Deployment.</w:t>
      </w:r>
      <w:r>
        <w:rPr>
          <w:rFonts w:ascii="Calibri" w:cs="Calibri" w:eastAsia="Calibri" w:hAnsi="Calibri"/>
          <w:color w:val="444444"/>
          <w:sz w:val="19"/>
          <w:szCs w:val="19"/>
        </w:rPr>
        <w:t xml:space="preserve"> Automated access reviews, entitlement management, and lifecycle workflows eliminating stale and guest accounts at enterprise scale.</w:t>
      </w:r>
    </w:p>
    <w:p>
      <w:pPr>
        <w:pStyle w:val="ListParagraph"/>
        <w:numPr>
          <w:ilvl w:val="0"/>
          <w:numId w:val="2"/>
        </w:numPr>
        <w:spacing w:after="40" w:line="250"/>
      </w:pPr>
      <w:r>
        <w:rPr>
          <w:rFonts w:ascii="Calibri" w:cs="Calibri" w:eastAsia="Calibri" w:hAnsi="Calibri"/>
          <w:b/>
          <w:bCs/>
          <w:color w:val="222222"/>
          <w:sz w:val="19"/>
          <w:szCs w:val="19"/>
        </w:rPr>
        <w:t xml:space="preserve">2,500+ Mailbox Migration &amp; JAMF → Intune Mac Migration.</w:t>
      </w:r>
      <w:r>
        <w:rPr>
          <w:rFonts w:ascii="Calibri" w:cs="Calibri" w:eastAsia="Calibri" w:hAnsi="Calibri"/>
          <w:color w:val="444444"/>
          <w:sz w:val="19"/>
          <w:szCs w:val="19"/>
        </w:rPr>
        <w:t xml:space="preserve"> Hybrid Exchange to Exchange Online with MX cutover and coexistence management; Apple estate consolidated onto Intune with measurable licensing savings.</w:t>
      </w:r>
    </w:p>
    <w:p>
      <w:pPr>
        <w:pBdr>
          <w:bottom w:val="single" w:color="1F6FEB" w:sz="8" w:space="2"/>
        </w:pBdr>
        <w:spacing w:after="90" w:before="220"/>
      </w:pPr>
      <w:r>
        <w:rPr>
          <w:rFonts w:ascii="Calibri" w:cs="Calibri" w:eastAsia="Calibri" w:hAnsi="Calibri"/>
          <w:b/>
          <w:bCs/>
          <w:color w:val="0F2E4C"/>
          <w:spacing w:val="30"/>
          <w:sz w:val="22"/>
          <w:szCs w:val="22"/>
        </w:rPr>
        <w:t xml:space="preserve">EDUCATION</w:t>
      </w:r>
    </w:p>
    <w:p>
      <w:pPr>
        <w:spacing w:after="40"/>
      </w:pPr>
      <w:r>
        <w:rPr>
          <w:rFonts w:ascii="Calibri" w:cs="Calibri" w:eastAsia="Calibri" w:hAnsi="Calibri"/>
          <w:b/>
          <w:bCs/>
          <w:color w:val="222222"/>
          <w:sz w:val="19"/>
          <w:szCs w:val="19"/>
        </w:rPr>
        <w:t xml:space="preserve">Bachelor of Commerce</w:t>
      </w:r>
      <w:r>
        <w:rPr>
          <w:rFonts w:ascii="Calibri" w:cs="Calibri" w:eastAsia="Calibri" w:hAnsi="Calibri"/>
          <w:color w:val="444444"/>
          <w:sz w:val="19"/>
          <w:szCs w:val="19"/>
        </w:rPr>
        <w:t xml:space="preserve">  —  Rajasthan University, Jaipur</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rPr>
        <w:color w:val="1F6F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k8nmy9tzmmzsci1yp8wb" Type="http://schemas.openxmlformats.org/officeDocument/2006/relationships/hyperlink" Target="https://linkedin.com/in/ashishmangtani" TargetMode="External"/><Relationship Id="rIdli1alraqe_chl-njrcf8i" Type="http://schemas.openxmlformats.org/officeDocument/2006/relationships/hyperlink" Target="https://bit.ly/ashish-automations" TargetMode="External"/><Relationship Id="rIdgaos_p2ghduhlqjeynlkk" Type="http://schemas.openxmlformats.org/officeDocument/2006/relationships/hyperlink" Target="https://learn.microsoft.com/api/credentials/share/en-us/AshishMangtani-6655/6FC789116D24BA5C" TargetMode="External"/><Relationship Id="rId7losulqe1slsalnpo053t" Type="http://schemas.openxmlformats.org/officeDocument/2006/relationships/hyperlink" Target="https://learn.microsoft.com/api/credentials/share/en-us/AshishMangtani-6655/700C3859406F93B9"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2026-07-13T11:47:13.293Z</dcterms:created>
  <dcterms:modified xsi:type="dcterms:W3CDTF">2026-07-13T11:47:13.305Z</dcterms:modified>
</cp:coreProperties>
</file>

<file path=docProps/custom.xml><?xml version="1.0" encoding="utf-8"?>
<Properties xmlns="http://schemas.openxmlformats.org/officeDocument/2006/custom-properties" xmlns:vt="http://schemas.openxmlformats.org/officeDocument/2006/docPropsVTypes"/>
</file>