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00978">
      <w:pPr>
        <w:rPr>
          <w:b/>
          <w:bCs/>
        </w:rPr>
      </w:pPr>
      <w:bookmarkStart w:id="0" w:name="_GoBack"/>
      <w:bookmarkEnd w:id="0"/>
      <w:r>
        <w:rPr>
          <w:b/>
          <w:bCs/>
        </w:rPr>
        <w:t>Business Problem Statement</w:t>
      </w:r>
    </w:p>
    <w:p w14:paraId="1388163D">
      <w:r>
        <w:t>LearnSphere Education Technologies is one of the fastest-growing online learning platforms, providing professional certification programs, university partnerships, corporate training solutions, and skill-development courses to millions of learners worldwide. Over the past several years, the platform has experienced rapid growth in enrollments driven by increasing demand for online education, career transitions, and continuous learning initiatives. While enrollment numbers continue to increase, executive leadership has become increasingly concerned about declining course completion rates, inconsistent learner engagement, and rising dropout rates across several learning programs.</w:t>
      </w:r>
    </w:p>
    <w:p w14:paraId="66C9ED3C">
      <w:r>
        <w:t>Student retention and successful course completion have emerged as critical business challenges. Internal studies indicate that a significant percentage of learners enroll in courses but fail to complete them despite demonstrating initial interest and activity. This affects learner outcomes, platform reputation, instructor effectiveness metrics, customer satisfaction, and long-term business growth. Several enterprise customers have also raised concerns regarding employee learning completion rates in corporate training programs. Leadership believes that many learners exhibit warning signals long before disengaging or dropping out, but these indicators are not being systematically identified or acted upon.</w:t>
      </w:r>
    </w:p>
    <w:p w14:paraId="6B9F1726">
      <w:r>
        <w:t>Multiple departments have raised concerns regarding learner performance and engagement. Academic teams report substantial variations in student outcomes across similar courses. Learning experience teams have observed declining participation in discussion forums and collaborative activities. Student success teams report challenges identifying at-risk learners early enough to provide interventions. Product teams have identified differences in platform usage behavior among successful and unsuccessful learners. Instructors believe that attendance patterns, assignment completion behaviors, assessment performance, learning habits, and engagement metrics may contain valuable insights regarding future learner success.</w:t>
      </w:r>
    </w:p>
    <w:p w14:paraId="5147EC6A">
      <w:r>
        <w:t>Currently, interventions are primarily reactive and occur after learners have already fallen behind in coursework. Leadership wants to move toward a proactive student success strategy capable of identifying learners who may be at risk of poor performance or dropout. The analytics team has been provided with historical learner data collected from learning management systems, assessment platforms, discussion forums, attendance systems, engagement tracking tools, and customer support applications. The dataset contains information related to learner demographics, learning behavior, attendance patterns, assessments, engagement metrics, platform usage statistics, support interactions, and several administrative attributes inherited from legacy systems. Management has intentionally not prescribed a specific analytical objective and expects the analytics team to investigate the available information, identify meaningful patterns, uncover factors associated with student success and dropout behavior, and recommend data-driven interventions that improve learner outcomes and course completion rates.</w:t>
      </w:r>
    </w:p>
    <w:p w14:paraId="3E9CDA3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644"/>
    <w:rsid w:val="003F5644"/>
    <w:rsid w:val="008C6209"/>
    <w:rsid w:val="009D6553"/>
    <w:rsid w:val="00A7487D"/>
    <w:rsid w:val="00AC6E31"/>
    <w:rsid w:val="7E16082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400</Words>
  <Characters>2865</Characters>
  <Lines>23</Lines>
  <Paragraphs>6</Paragraphs>
  <TotalTime>1</TotalTime>
  <ScaleCrop>false</ScaleCrop>
  <LinksUpToDate>false</LinksUpToDate>
  <CharactersWithSpaces>3259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2026-06-09T14:17:00Z</dcterms:created>
  <dc:creator>fedex iitm</dc:creator>
  <cp:lastModifiedBy>fedex</cp:lastModifiedBy>
  <dcterms:modified xsi:type="dcterms:W3CDTF">2026-06-09T14:25:03Z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eyJoZGlkIjoiMjkxNzk4MWM3NjA4MTkwNDhkZjBjYjhlMWRkNTkwMmMifQ==</vt:lpwstr>
  </property>
  <property fmtid="{D5CDD505-2E9C-101B-9397-08002B2CF9AE}" pid="3" name="KSOProductBuildVer">
    <vt:lpwstr>1033-12.1.0.26880</vt:lpwstr>
  </property>
  <property fmtid="{D5CDD505-2E9C-101B-9397-08002B2CF9AE}" pid="4" name="ICV">
    <vt:lpwstr>0A1282AA5EC84A8E8F6438846D023417_12</vt:lpwstr>
  </property>
</Properties>
</file>