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8BFA" w14:textId="1D7EA668" w:rsidR="00664069" w:rsidRDefault="00664069" w:rsidP="00A01151">
      <w:pPr>
        <w:pStyle w:val="Heading1"/>
        <w:numPr>
          <w:ilvl w:val="0"/>
          <w:numId w:val="0"/>
        </w:numPr>
        <w:spacing w:before="0" w:after="0"/>
        <w:jc w:val="both"/>
        <w:rPr>
          <w:rFonts w:ascii="Times New Roman" w:hAnsi="Times New Roman" w:cs="Times New Roman"/>
          <w:b w:val="0"/>
          <w:bCs w:val="0"/>
          <w:color w:val="0E101A"/>
        </w:rPr>
      </w:pPr>
      <w:r w:rsidRPr="00664069">
        <w:rPr>
          <w:rFonts w:ascii="Times New Roman" w:hAnsi="Times New Roman" w:cs="Times New Roman"/>
          <w:b w:val="0"/>
          <w:bCs w:val="0"/>
          <w:color w:val="0E101A"/>
        </w:rPr>
        <w:t xml:space="preserve">Predicting the Annual </w:t>
      </w:r>
      <w:r>
        <w:rPr>
          <w:rFonts w:ascii="Times New Roman" w:hAnsi="Times New Roman" w:cs="Times New Roman"/>
          <w:b w:val="0"/>
          <w:bCs w:val="0"/>
          <w:color w:val="0E101A"/>
        </w:rPr>
        <w:t>y</w:t>
      </w:r>
      <w:r w:rsidRPr="00664069">
        <w:rPr>
          <w:rFonts w:ascii="Times New Roman" w:hAnsi="Times New Roman" w:cs="Times New Roman"/>
          <w:b w:val="0"/>
          <w:bCs w:val="0"/>
          <w:color w:val="0E101A"/>
        </w:rPr>
        <w:t xml:space="preserve">ield </w:t>
      </w:r>
      <w:r>
        <w:rPr>
          <w:rFonts w:ascii="Times New Roman" w:hAnsi="Times New Roman" w:cs="Times New Roman"/>
          <w:b w:val="0"/>
          <w:bCs w:val="0"/>
          <w:color w:val="0E101A"/>
        </w:rPr>
        <w:t>by investing in a Stock</w:t>
      </w:r>
      <w:r w:rsidRPr="00664069">
        <w:rPr>
          <w:rFonts w:ascii="Times New Roman" w:hAnsi="Times New Roman" w:cs="Times New Roman"/>
          <w:b w:val="0"/>
          <w:bCs w:val="0"/>
          <w:color w:val="0E101A"/>
        </w:rPr>
        <w:t xml:space="preserve"> using Deep Learning </w:t>
      </w:r>
    </w:p>
    <w:p w14:paraId="0492DA27" w14:textId="77777777" w:rsidR="00664069" w:rsidRDefault="00664069" w:rsidP="00A01151">
      <w:pPr>
        <w:pStyle w:val="NormalWeb"/>
        <w:spacing w:before="0" w:beforeAutospacing="0" w:after="0" w:afterAutospacing="0"/>
        <w:jc w:val="both"/>
        <w:rPr>
          <w:color w:val="0E101A"/>
        </w:rPr>
      </w:pPr>
    </w:p>
    <w:p w14:paraId="7C494830" w14:textId="68909E1C" w:rsidR="00664069" w:rsidRPr="00664069" w:rsidRDefault="00664069" w:rsidP="00A01151">
      <w:pPr>
        <w:pStyle w:val="NormalWeb"/>
        <w:spacing w:before="0" w:beforeAutospacing="0" w:after="0" w:afterAutospacing="0"/>
        <w:jc w:val="both"/>
        <w:rPr>
          <w:rFonts w:eastAsiaTheme="majorEastAsia"/>
          <w:b/>
          <w:bCs/>
          <w:color w:val="0E101A"/>
          <w:sz w:val="22"/>
          <w:szCs w:val="22"/>
        </w:rPr>
      </w:pPr>
      <w:r w:rsidRPr="00664069">
        <w:rPr>
          <w:rStyle w:val="Strong"/>
          <w:rFonts w:eastAsiaTheme="majorEastAsia"/>
          <w:b w:val="0"/>
          <w:bCs w:val="0"/>
          <w:i/>
          <w:iCs/>
          <w:color w:val="0E101A"/>
          <w:sz w:val="28"/>
          <w:szCs w:val="28"/>
        </w:rPr>
        <w:t>A</w:t>
      </w:r>
      <w:r w:rsidR="00254CBB">
        <w:rPr>
          <w:rStyle w:val="Strong"/>
          <w:rFonts w:eastAsiaTheme="majorEastAsia"/>
          <w:b w:val="0"/>
          <w:bCs w:val="0"/>
          <w:i/>
          <w:iCs/>
          <w:color w:val="0E101A"/>
          <w:sz w:val="28"/>
          <w:szCs w:val="28"/>
        </w:rPr>
        <w:t>BSTRACT</w:t>
      </w:r>
      <w:r w:rsidRPr="00664069">
        <w:rPr>
          <w:rStyle w:val="Strong"/>
          <w:rFonts w:eastAsiaTheme="majorEastAsia"/>
          <w:b w:val="0"/>
          <w:bCs w:val="0"/>
          <w:i/>
          <w:iCs/>
          <w:color w:val="0E101A"/>
          <w:sz w:val="28"/>
          <w:szCs w:val="28"/>
        </w:rPr>
        <w:t>:</w:t>
      </w:r>
      <w:r w:rsidRPr="00664069">
        <w:rPr>
          <w:rStyle w:val="Strong"/>
          <w:rFonts w:eastAsiaTheme="majorEastAsia"/>
          <w:color w:val="0E101A"/>
          <w:sz w:val="22"/>
          <w:szCs w:val="22"/>
        </w:rPr>
        <w:t> </w:t>
      </w:r>
      <w:r>
        <w:rPr>
          <w:rStyle w:val="Strong"/>
          <w:rFonts w:eastAsiaTheme="majorEastAsia"/>
          <w:color w:val="0E101A"/>
          <w:sz w:val="22"/>
          <w:szCs w:val="22"/>
        </w:rPr>
        <w:t xml:space="preserve"> </w:t>
      </w:r>
      <w:r w:rsidRPr="00664069">
        <w:rPr>
          <w:color w:val="0E101A"/>
          <w:sz w:val="22"/>
          <w:szCs w:val="22"/>
        </w:rPr>
        <w:t xml:space="preserve">Predicting and </w:t>
      </w:r>
      <w:proofErr w:type="spellStart"/>
      <w:r w:rsidRPr="00664069">
        <w:rPr>
          <w:color w:val="0E101A"/>
          <w:sz w:val="22"/>
          <w:szCs w:val="22"/>
        </w:rPr>
        <w:t>analyzing</w:t>
      </w:r>
      <w:proofErr w:type="spellEnd"/>
      <w:r w:rsidRPr="00664069">
        <w:rPr>
          <w:color w:val="0E101A"/>
          <w:sz w:val="22"/>
          <w:szCs w:val="22"/>
        </w:rPr>
        <w:t xml:space="preserve"> the stock market has been an area of primary interest by investors and market experts. The technology has evolved from manual collection and tuning of data to generate insights and predict the rise or fall of a stock. </w:t>
      </w:r>
      <w:r w:rsidR="00632BFA">
        <w:rPr>
          <w:color w:val="0E101A"/>
          <w:sz w:val="22"/>
          <w:szCs w:val="22"/>
        </w:rPr>
        <w:t>This work presents</w:t>
      </w:r>
      <w:r w:rsidRPr="00664069">
        <w:rPr>
          <w:color w:val="0E101A"/>
          <w:sz w:val="22"/>
          <w:szCs w:val="22"/>
        </w:rPr>
        <w:t xml:space="preserve"> stockDL, a deep learning solution to </w:t>
      </w:r>
      <w:proofErr w:type="spellStart"/>
      <w:r w:rsidRPr="00664069">
        <w:rPr>
          <w:color w:val="0E101A"/>
          <w:sz w:val="22"/>
          <w:szCs w:val="22"/>
        </w:rPr>
        <w:t>analyze</w:t>
      </w:r>
      <w:proofErr w:type="spellEnd"/>
      <w:r w:rsidRPr="00664069">
        <w:rPr>
          <w:color w:val="0E101A"/>
          <w:sz w:val="22"/>
          <w:szCs w:val="22"/>
        </w:rPr>
        <w:t xml:space="preserve">, understand the historical stock data and calculate the gross and annual yield for the chosen stock ticker. The stockDL algorithm integrates two traditional stock trading techniques, Buy and Hold strategy and Moving Average ribbon trading strategy, with two Deep Learning Models created using the state-of-art Long </w:t>
      </w:r>
      <w:r w:rsidR="00A935CC" w:rsidRPr="00664069">
        <w:rPr>
          <w:color w:val="0E101A"/>
          <w:sz w:val="22"/>
          <w:szCs w:val="22"/>
        </w:rPr>
        <w:t>Short-Term</w:t>
      </w:r>
      <w:r w:rsidRPr="00664069">
        <w:rPr>
          <w:color w:val="0E101A"/>
          <w:sz w:val="22"/>
          <w:szCs w:val="22"/>
        </w:rPr>
        <w:t xml:space="preserve">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w:t>
      </w:r>
      <w:r w:rsidR="00817F8C">
        <w:rPr>
          <w:color w:val="0E101A"/>
          <w:sz w:val="22"/>
          <w:szCs w:val="22"/>
        </w:rPr>
        <w:t>the four</w:t>
      </w:r>
      <w:r w:rsidRPr="00664069">
        <w:rPr>
          <w:color w:val="0E101A"/>
          <w:sz w:val="22"/>
          <w:szCs w:val="22"/>
        </w:rPr>
        <w:t xml:space="preserve"> stock symbols (AAPL, GOOGL, </w:t>
      </w:r>
      <w:r>
        <w:rPr>
          <w:color w:val="0E101A"/>
          <w:sz w:val="22"/>
          <w:szCs w:val="22"/>
        </w:rPr>
        <w:t>HDFCBANK.NSE</w:t>
      </w:r>
      <w:r w:rsidRPr="00664069">
        <w:rPr>
          <w:color w:val="0E101A"/>
          <w:sz w:val="22"/>
          <w:szCs w:val="22"/>
        </w:rPr>
        <w:t>,</w:t>
      </w:r>
      <w:r>
        <w:rPr>
          <w:color w:val="0E101A"/>
          <w:sz w:val="22"/>
          <w:szCs w:val="22"/>
        </w:rPr>
        <w:t xml:space="preserve"> RELIANCE.NSE</w:t>
      </w:r>
      <w:r w:rsidRPr="00664069">
        <w:rPr>
          <w:color w:val="0E101A"/>
          <w:sz w:val="22"/>
          <w:szCs w:val="22"/>
        </w:rPr>
        <w:t>), the model has attained state-of-art for deep learning backed algorithmic trading in a controlled computational environment.</w:t>
      </w:r>
      <w:r w:rsidR="00817F8C">
        <w:rPr>
          <w:color w:val="0E101A"/>
          <w:sz w:val="22"/>
          <w:szCs w:val="22"/>
        </w:rPr>
        <w:t xml:space="preserve"> </w:t>
      </w:r>
      <w:r w:rsidR="000E5B99">
        <w:rPr>
          <w:color w:val="0E101A"/>
          <w:sz w:val="22"/>
          <w:szCs w:val="22"/>
        </w:rPr>
        <w:t xml:space="preserve">The novel solution </w:t>
      </w:r>
      <w:r w:rsidR="00296A3F">
        <w:rPr>
          <w:color w:val="0E101A"/>
          <w:sz w:val="22"/>
          <w:szCs w:val="22"/>
        </w:rPr>
        <w:t>introduced</w:t>
      </w:r>
      <w:r w:rsidR="000E5B99">
        <w:rPr>
          <w:color w:val="0E101A"/>
          <w:sz w:val="22"/>
          <w:szCs w:val="22"/>
        </w:rPr>
        <w:t xml:space="preserve"> in this study is faster</w:t>
      </w:r>
      <w:r w:rsidR="003A29DC">
        <w:rPr>
          <w:color w:val="0E101A"/>
          <w:sz w:val="22"/>
          <w:szCs w:val="22"/>
        </w:rPr>
        <w:t xml:space="preserve"> and more accurate</w:t>
      </w:r>
      <w:r w:rsidR="000E5B99">
        <w:rPr>
          <w:color w:val="0E101A"/>
          <w:sz w:val="22"/>
          <w:szCs w:val="22"/>
        </w:rPr>
        <w:t xml:space="preserve"> than any existing </w:t>
      </w:r>
      <w:r w:rsidR="003A29DC">
        <w:rPr>
          <w:color w:val="0E101A"/>
          <w:sz w:val="22"/>
          <w:szCs w:val="22"/>
        </w:rPr>
        <w:t xml:space="preserve">deep-learning </w:t>
      </w:r>
      <w:r w:rsidR="000E5B99">
        <w:rPr>
          <w:color w:val="0E101A"/>
          <w:sz w:val="22"/>
          <w:szCs w:val="22"/>
        </w:rPr>
        <w:t>solutions available</w:t>
      </w:r>
      <w:r w:rsidR="003A29DC">
        <w:rPr>
          <w:color w:val="0E101A"/>
          <w:sz w:val="22"/>
          <w:szCs w:val="22"/>
        </w:rPr>
        <w:t>. It is</w:t>
      </w:r>
      <w:r w:rsidR="000E5B99">
        <w:rPr>
          <w:color w:val="0E101A"/>
          <w:sz w:val="22"/>
          <w:szCs w:val="22"/>
        </w:rPr>
        <w:t xml:space="preserve"> immune f</w:t>
      </w:r>
      <w:r w:rsidR="003A29DC">
        <w:rPr>
          <w:color w:val="0E101A"/>
          <w:sz w:val="22"/>
          <w:szCs w:val="22"/>
        </w:rPr>
        <w:t>ro</w:t>
      </w:r>
      <w:r w:rsidR="000E5B99">
        <w:rPr>
          <w:color w:val="0E101A"/>
          <w:sz w:val="22"/>
          <w:szCs w:val="22"/>
        </w:rPr>
        <w:t>m any sudden fluctuations in the price of stocks or any long</w:t>
      </w:r>
      <w:r w:rsidR="003A29DC">
        <w:rPr>
          <w:color w:val="0E101A"/>
          <w:sz w:val="22"/>
          <w:szCs w:val="22"/>
        </w:rPr>
        <w:t>-</w:t>
      </w:r>
      <w:r w:rsidR="000E5B99">
        <w:rPr>
          <w:color w:val="0E101A"/>
          <w:sz w:val="22"/>
          <w:szCs w:val="22"/>
        </w:rPr>
        <w:t xml:space="preserve">term recession due to natural calamities (like </w:t>
      </w:r>
      <w:r w:rsidR="003A29DC">
        <w:rPr>
          <w:color w:val="0E101A"/>
          <w:sz w:val="22"/>
          <w:szCs w:val="22"/>
        </w:rPr>
        <w:t xml:space="preserve">a </w:t>
      </w:r>
      <w:r w:rsidR="000E5B99">
        <w:rPr>
          <w:color w:val="0E101A"/>
          <w:sz w:val="22"/>
          <w:szCs w:val="22"/>
        </w:rPr>
        <w:t xml:space="preserve">pandemic, war, et cetera). This work contributes to the stock analysis and research community in both </w:t>
      </w:r>
      <w:r w:rsidR="003A29DC">
        <w:rPr>
          <w:color w:val="0E101A"/>
          <w:sz w:val="22"/>
          <w:szCs w:val="22"/>
        </w:rPr>
        <w:t xml:space="preserve">the technical and financial domains. </w:t>
      </w:r>
    </w:p>
    <w:p w14:paraId="64181107" w14:textId="77777777" w:rsidR="00664069" w:rsidRDefault="00664069" w:rsidP="00A01151">
      <w:pPr>
        <w:jc w:val="both"/>
        <w:rPr>
          <w:rFonts w:ascii="Times New Roman" w:hAnsi="Times New Roman" w:cs="Times New Roman"/>
          <w:sz w:val="28"/>
          <w:szCs w:val="28"/>
        </w:rPr>
      </w:pPr>
    </w:p>
    <w:p w14:paraId="6B248F8F" w14:textId="1F46CF78" w:rsidR="00961EF1" w:rsidRPr="00961EF1" w:rsidRDefault="00961EF1" w:rsidP="00A01151">
      <w:pPr>
        <w:jc w:val="both"/>
        <w:rPr>
          <w:rFonts w:ascii="Times New Roman" w:hAnsi="Times New Roman" w:cs="Times New Roman"/>
          <w:sz w:val="28"/>
          <w:szCs w:val="28"/>
        </w:rPr>
      </w:pPr>
      <w:r w:rsidRPr="00961EF1">
        <w:rPr>
          <w:rFonts w:ascii="Times New Roman" w:hAnsi="Times New Roman" w:cs="Times New Roman"/>
          <w:sz w:val="28"/>
          <w:szCs w:val="28"/>
        </w:rPr>
        <w:t xml:space="preserve">1. </w:t>
      </w:r>
      <w:r w:rsidR="00254CBB">
        <w:rPr>
          <w:rFonts w:ascii="Times New Roman" w:hAnsi="Times New Roman" w:cs="Times New Roman"/>
          <w:sz w:val="28"/>
          <w:szCs w:val="28"/>
        </w:rPr>
        <w:t>INTRODUCTION</w:t>
      </w:r>
    </w:p>
    <w:p w14:paraId="05BE09A1" w14:textId="535BA056" w:rsidR="00961EF1" w:rsidRDefault="00632BFA" w:rsidP="00A01151">
      <w:pPr>
        <w:jc w:val="both"/>
        <w:rPr>
          <w:rFonts w:ascii="Times New Roman" w:hAnsi="Times New Roman" w:cs="Times New Roman"/>
        </w:rPr>
      </w:pPr>
      <w:r>
        <w:rPr>
          <w:rFonts w:ascii="Times New Roman" w:hAnsi="Times New Roman" w:cs="Times New Roman"/>
        </w:rPr>
        <w:t xml:space="preserve">The stock market is an area of high profit and high risks, and this is considered while devising and generating a quantitative investment strategy to predict and judge the stock's future price using the historical stock data. </w:t>
      </w:r>
      <w:r w:rsidR="004129FE">
        <w:rPr>
          <w:rFonts w:ascii="Times New Roman" w:hAnsi="Times New Roman" w:cs="Times New Roman"/>
        </w:rPr>
        <w:t xml:space="preserve">The market governed by various financial and non-financial factors poses a new challenge to the researchers to develop a best-fit solution for predicting the stock prices or the annual yield by investing in a particular stock. The three significant factors measuring the outcome of investing in a company or business </w:t>
      </w:r>
      <w:r w:rsidR="00A935CC">
        <w:rPr>
          <w:rFonts w:ascii="Times New Roman" w:hAnsi="Times New Roman" w:cs="Times New Roman"/>
        </w:rPr>
        <w:t>are Environment</w:t>
      </w:r>
      <w:r w:rsidR="004129FE">
        <w:rPr>
          <w:rFonts w:ascii="Times New Roman" w:hAnsi="Times New Roman" w:cs="Times New Roman"/>
        </w:rPr>
        <w:t xml:space="preserve">, Social, and Governance (ESG). Considering ESGs while making investing decisions leads to a </w:t>
      </w:r>
      <w:proofErr w:type="spellStart"/>
      <w:r w:rsidR="004129FE">
        <w:rPr>
          <w:rFonts w:ascii="Times New Roman" w:hAnsi="Times New Roman" w:cs="Times New Roman"/>
        </w:rPr>
        <w:t>favorable</w:t>
      </w:r>
      <w:proofErr w:type="spellEnd"/>
      <w:r w:rsidR="004129FE">
        <w:rPr>
          <w:rFonts w:ascii="Times New Roman" w:hAnsi="Times New Roman" w:cs="Times New Roman"/>
        </w:rPr>
        <w:t xml:space="preserve"> outcome in most cases</w:t>
      </w:r>
      <w:r w:rsidR="004129FE">
        <w:rPr>
          <w:rFonts w:ascii="Times New Roman" w:hAnsi="Times New Roman" w:cs="Times New Roman"/>
        </w:rPr>
        <w:fldChar w:fldCharType="begin" w:fldLock="1"/>
      </w:r>
      <w:r w:rsidR="00664069">
        <w:rPr>
          <w:rFonts w:ascii="Times New Roman" w:hAnsi="Times New Roman" w:cs="Times New Roman"/>
        </w:rPr>
        <w:instrText>ADDIN CSL_CITATION {"citationItems":[{"id":"ITEM-1","itemData":{"DOI":"10.1080/20430795.2015.1118917","ISSN":"2043-0809","author":[{"dropping-particle":"","family":"Friede","given":"Gunnar","non-dropping-particle":"","parse-names":false,"suffix":""},{"dropping-particle":"","family":"Busch","given":"Timo","non-dropping-particle":"","parse-names":false,"suffix":""},{"dropping-particle":"","family":"Bassen","given":"Alexander","non-dropping-particle":"","parse-names":false,"suffix":""}],"container-title":"Journal of Sustainable Finance &amp; Investment","id":"ITEM-1","issue":"4","issued":{"date-parts":[["2015"]]},"page":"210-233","title":"Journal of Sustainable Finance &amp; Investment ESG and financial performance: aggregated evidence from more than 2000 empirical studies","type":"article-journal","volume":"5"},"uris":["http://www.mendeley.com/documents/?uuid=23884da3-62a0-3c52-90a0-514e58a028c9"]}],"mendeley":{"formattedCitation":"[1]","plainTextFormattedCitation":"[1]","previouslyFormattedCitation":"[1]"},"properties":{"noteIndex":0},"schema":"https://github.com/citation-style-language/schema/raw/master/csl-citation.json"}</w:instrText>
      </w:r>
      <w:r w:rsidR="004129FE">
        <w:rPr>
          <w:rFonts w:ascii="Times New Roman" w:hAnsi="Times New Roman" w:cs="Times New Roman"/>
        </w:rPr>
        <w:fldChar w:fldCharType="separate"/>
      </w:r>
      <w:r w:rsidR="004129FE" w:rsidRPr="004129FE">
        <w:rPr>
          <w:rFonts w:ascii="Times New Roman" w:hAnsi="Times New Roman" w:cs="Times New Roman"/>
          <w:noProof/>
        </w:rPr>
        <w:t>[1]</w:t>
      </w:r>
      <w:r w:rsidR="004129FE">
        <w:rPr>
          <w:rFonts w:ascii="Times New Roman" w:hAnsi="Times New Roman" w:cs="Times New Roman"/>
        </w:rPr>
        <w:fldChar w:fldCharType="end"/>
      </w:r>
      <w:r w:rsidR="004129FE">
        <w:rPr>
          <w:rFonts w:ascii="Times New Roman" w:hAnsi="Times New Roman" w:cs="Times New Roman"/>
        </w:rPr>
        <w:t xml:space="preserve">. </w:t>
      </w:r>
    </w:p>
    <w:p w14:paraId="44EC3FD3" w14:textId="59DD0CD8" w:rsidR="00664069" w:rsidRDefault="00664069" w:rsidP="00A01151">
      <w:pPr>
        <w:jc w:val="both"/>
        <w:rPr>
          <w:rFonts w:ascii="Times New Roman" w:hAnsi="Times New Roman" w:cs="Times New Roman"/>
        </w:rPr>
      </w:pPr>
      <w:r>
        <w:rPr>
          <w:rFonts w:ascii="Times New Roman" w:hAnsi="Times New Roman" w:cs="Times New Roman"/>
        </w:rPr>
        <w:t>The Environm</w:t>
      </w:r>
      <w:r w:rsidR="00632BFA">
        <w:rPr>
          <w:rFonts w:ascii="Times New Roman" w:hAnsi="Times New Roman" w:cs="Times New Roman"/>
        </w:rPr>
        <w:t>en</w:t>
      </w:r>
      <w:r>
        <w:rPr>
          <w:rFonts w:ascii="Times New Roman" w:hAnsi="Times New Roman" w:cs="Times New Roman"/>
        </w:rPr>
        <w:t>t of an investment market involve</w:t>
      </w:r>
      <w:r w:rsidR="00632BFA">
        <w:rPr>
          <w:rFonts w:ascii="Times New Roman" w:hAnsi="Times New Roman" w:cs="Times New Roman"/>
        </w:rPr>
        <w:t>s</w:t>
      </w:r>
      <w:r>
        <w:rPr>
          <w:rFonts w:ascii="Times New Roman" w:hAnsi="Times New Roman" w:cs="Times New Roman"/>
        </w:rPr>
        <w:t xml:space="preserve"> Assessment and Investment vehicles, Financial Markets, Market Structure, Market Intermediaries, Investment process, Regulation, and Economy. The Indian Financial markets include </w:t>
      </w:r>
      <w:r w:rsidR="00632BFA">
        <w:rPr>
          <w:rFonts w:ascii="Times New Roman" w:hAnsi="Times New Roman" w:cs="Times New Roman"/>
        </w:rPr>
        <w:t xml:space="preserve">the </w:t>
      </w:r>
      <w:r>
        <w:rPr>
          <w:rFonts w:ascii="Times New Roman" w:hAnsi="Times New Roman" w:cs="Times New Roman"/>
        </w:rPr>
        <w:t>Credit Market, Money Market, Foreign Exchange Market, Debt Market</w:t>
      </w:r>
      <w:r w:rsidR="00632BFA">
        <w:rPr>
          <w:rFonts w:ascii="Times New Roman" w:hAnsi="Times New Roman" w:cs="Times New Roman"/>
        </w:rPr>
        <w:t>,</w:t>
      </w:r>
      <w:r>
        <w:rPr>
          <w:rFonts w:ascii="Times New Roman" w:hAnsi="Times New Roman" w:cs="Times New Roman"/>
        </w:rPr>
        <w:t xml:space="preserve"> and Capital Market. The Social factors include the interactions between </w:t>
      </w:r>
      <w:proofErr w:type="spellStart"/>
      <w:r>
        <w:rPr>
          <w:rFonts w:ascii="Times New Roman" w:hAnsi="Times New Roman" w:cs="Times New Roman"/>
        </w:rPr>
        <w:t>neighbors</w:t>
      </w:r>
      <w:proofErr w:type="spellEnd"/>
      <w:r>
        <w:rPr>
          <w:rFonts w:ascii="Times New Roman" w:hAnsi="Times New Roman" w:cs="Times New Roman"/>
        </w:rPr>
        <w:t>, friends, colle</w:t>
      </w:r>
      <w:r w:rsidR="00632BFA">
        <w:rPr>
          <w:rFonts w:ascii="Times New Roman" w:hAnsi="Times New Roman" w:cs="Times New Roman"/>
        </w:rPr>
        <w:t>a</w:t>
      </w:r>
      <w:r>
        <w:rPr>
          <w:rFonts w:ascii="Times New Roman" w:hAnsi="Times New Roman" w:cs="Times New Roman"/>
        </w:rPr>
        <w:t>gues, advi</w:t>
      </w:r>
      <w:r w:rsidR="00632BFA">
        <w:rPr>
          <w:rFonts w:ascii="Times New Roman" w:hAnsi="Times New Roman" w:cs="Times New Roman"/>
        </w:rPr>
        <w:t>ce</w:t>
      </w:r>
      <w:r>
        <w:rPr>
          <w:rFonts w:ascii="Times New Roman" w:hAnsi="Times New Roman" w:cs="Times New Roman"/>
        </w:rPr>
        <w:t xml:space="preserve"> given by analysts, planners, bankers</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{"citationItems":[{"id":"ITEM-1","itemData":{"DOI":"10.1016/S2212-5671(12)00084-6","ISSN":"2212-5671","abstract":"Individual investors’ trading behaviour has drawn the attention of academicians and investment practitioners globally. The emergence of behavioural finance as a new domain in the capital market research is a case in point. Studies indicate that individual investors are characterized by excessive trading and often to their detriment (Barber and Odean, 2000).In this study, we apply the theory of reasoned action (TRA) and the theory of planned behaviour (TPB) to explain individual investor behaviour. Further, an attempt has also been made to study the influence of social factors such as social interactions, media and internet","author":[{"dropping-particle":"","family":"Shanmugham","given":"R.","non-dropping-particle":"","parse-names":false,"suffix":""},{"dropping-particle":"","family":"Ramya","given":"K.","non-dropping-particle":"","parse-names":false,"suffix":""}],"container-title":"Procedia Economics and Finance","id":"ITEM-1","issued":{"date-parts":[["2012","1","1"]]},"page":"237-246","publisher":"Elsevier","title":"Impact of Social Factors on Individual Investors’ Trading Behaviour","type":"article-journal","volume":"2"},"uris":["http://www.mendeley.com/documents/?uuid=2919d682-ccf3-3611-95bf-e267b78f0a98"]}],"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664069">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Social media and Interactions </w:t>
      </w:r>
      <w:r w:rsidR="00632BFA">
        <w:rPr>
          <w:rFonts w:ascii="Times New Roman" w:hAnsi="Times New Roman" w:cs="Times New Roman"/>
        </w:rPr>
        <w:t>are</w:t>
      </w:r>
      <w:r>
        <w:rPr>
          <w:rFonts w:ascii="Times New Roman" w:hAnsi="Times New Roman" w:cs="Times New Roman"/>
        </w:rPr>
        <w:t xml:space="preserve"> prominent area</w:t>
      </w:r>
      <w:r w:rsidR="00632BFA">
        <w:rPr>
          <w:rFonts w:ascii="Times New Roman" w:hAnsi="Times New Roman" w:cs="Times New Roman"/>
        </w:rPr>
        <w:t>s</w:t>
      </w:r>
      <w:r>
        <w:rPr>
          <w:rFonts w:ascii="Times New Roman" w:hAnsi="Times New Roman" w:cs="Times New Roman"/>
        </w:rPr>
        <w:t xml:space="preserve"> to </w:t>
      </w:r>
      <w:proofErr w:type="spellStart"/>
      <w:r>
        <w:rPr>
          <w:rFonts w:ascii="Times New Roman" w:hAnsi="Times New Roman" w:cs="Times New Roman"/>
        </w:rPr>
        <w:t>analy</w:t>
      </w:r>
      <w:r w:rsidR="00632BFA">
        <w:rPr>
          <w:rFonts w:ascii="Times New Roman" w:hAnsi="Times New Roman" w:cs="Times New Roman"/>
        </w:rPr>
        <w:t>z</w:t>
      </w:r>
      <w:r>
        <w:rPr>
          <w:rFonts w:ascii="Times New Roman" w:hAnsi="Times New Roman" w:cs="Times New Roman"/>
        </w:rPr>
        <w:t>e</w:t>
      </w:r>
      <w:proofErr w:type="spellEnd"/>
      <w:r>
        <w:rPr>
          <w:rFonts w:ascii="Times New Roman" w:hAnsi="Times New Roman" w:cs="Times New Roman"/>
        </w:rPr>
        <w:t xml:space="preserve"> and predict the market trends based on recent activit</w:t>
      </w:r>
      <w:r w:rsidR="00632BFA">
        <w:rPr>
          <w:rFonts w:ascii="Times New Roman" w:hAnsi="Times New Roman" w:cs="Times New Roman"/>
        </w:rPr>
        <w:t>i</w:t>
      </w:r>
      <w:r>
        <w:rPr>
          <w:rFonts w:ascii="Times New Roman" w:hAnsi="Times New Roman" w:cs="Times New Roman"/>
        </w:rPr>
        <w:t xml:space="preserve">es of </w:t>
      </w:r>
      <w:r w:rsidR="00632BFA">
        <w:rPr>
          <w:rFonts w:ascii="Times New Roman" w:hAnsi="Times New Roman" w:cs="Times New Roman"/>
        </w:rPr>
        <w:t>significant</w:t>
      </w:r>
      <w:r>
        <w:rPr>
          <w:rFonts w:ascii="Times New Roman" w:hAnsi="Times New Roman" w:cs="Times New Roman"/>
        </w:rPr>
        <w:t xml:space="preserve"> investors, executives</w:t>
      </w:r>
      <w:r w:rsidR="00632BFA">
        <w:rPr>
          <w:rFonts w:ascii="Times New Roman" w:hAnsi="Times New Roman" w:cs="Times New Roman"/>
        </w:rPr>
        <w:t>,</w:t>
      </w:r>
      <w:r>
        <w:rPr>
          <w:rFonts w:ascii="Times New Roman" w:hAnsi="Times New Roman" w:cs="Times New Roman"/>
        </w:rPr>
        <w:t xml:space="preserve"> and influencers</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{"citationItems":[{"id":"ITEM-1","itemData":{"DOI":"10.1109/SOCIALCOM.2013.141","abstract":"The study on the interactions between social media and financial markets is an interesting topic. This paper is to investigate this issue for stocks from the Shanghai/Shenzhen stock exchange, based on a popular online Chinese stock forum Guba.com.cn. Other than the traditional sentimental analysis method, for each stock, we build a Social Behavior Graph based on human's online behavior, calculate some key characteristics of the graph, and find out the correlations between trading volume/price and those characteristics. Furthermore, we make use of a BP-neural network to predict the trading volume and price of stocks. Our method has achieved a better outcomes compared to the traditional trading volume/price based time series models. A trading strategy based on our method achieved 56.28% benefits in only three month's time, when the stock price just increased 1.17%. © 2013 IEEE.","author":[{"dropping-particle":"","family":"Chen","given":"Zheng","non-dropping-particle":"","parse-names":false,"suffix":""},{"dropping-particle":"","family":"Du","given":"Xiaoqing","non-dropping-particle":"","parse-names":false,"suffix":""}],"container-title":"Proceedings - SocialCom/PASSAT/BigData/EconCom/BioMedCom 2013","id":"ITEM-1","issued":{"date-parts":[["2013"]]},"page":"913-916","title":"Study of stock prediction based on social network","type":"article-journal"},"uris":["http://www.mendeley.com/documents/?uuid=27cf61d3-a8df-31e5-8756-8ff23c37e4fd"]}],"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664069">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00632BFA">
        <w:rPr>
          <w:rFonts w:ascii="Times New Roman" w:hAnsi="Times New Roman" w:cs="Times New Roman"/>
        </w:rPr>
        <w:t>Security and Exchange Board India, established on April 12, 1992, handles India's stock market governance</w:t>
      </w:r>
      <w:r>
        <w:rPr>
          <w:rFonts w:ascii="Times New Roman" w:hAnsi="Times New Roman" w:cs="Times New Roman"/>
        </w:rPr>
        <w:t xml:space="preserve">. Corporate Governance drafts the rules and regulations for the companies and the shareholders and assists in </w:t>
      </w:r>
      <w:r w:rsidR="00632BFA">
        <w:rPr>
          <w:rFonts w:ascii="Times New Roman" w:hAnsi="Times New Roman" w:cs="Times New Roman"/>
        </w:rPr>
        <w:t xml:space="preserve">the </w:t>
      </w:r>
      <w:r>
        <w:rPr>
          <w:rFonts w:ascii="Times New Roman" w:hAnsi="Times New Roman" w:cs="Times New Roman"/>
        </w:rPr>
        <w:t>smooth day</w:t>
      </w:r>
      <w:r w:rsidR="00632BFA">
        <w:rPr>
          <w:rFonts w:ascii="Times New Roman" w:hAnsi="Times New Roman" w:cs="Times New Roman"/>
        </w:rPr>
        <w:t>-to-</w:t>
      </w:r>
      <w:r>
        <w:rPr>
          <w:rFonts w:ascii="Times New Roman" w:hAnsi="Times New Roman" w:cs="Times New Roman"/>
        </w:rPr>
        <w:t>day functioning of trade, The Governance also handles illegal trade practices like Insider Trade, Security Frauds, et cetera</w:t>
      </w:r>
      <w:r>
        <w:rPr>
          <w:rFonts w:ascii="Times New Roman" w:hAnsi="Times New Roman" w:cs="Times New Roman"/>
        </w:rPr>
        <w:fldChar w:fldCharType="begin" w:fldLock="1"/>
      </w:r>
      <w:r w:rsidR="00632BFA">
        <w:rPr>
          <w:rFonts w:ascii="Times New Roman" w:hAnsi="Times New Roman" w:cs="Times New Roman"/>
        </w:rPr>
        <w:instrText>ADDIN CSL_CITATION {"citationItems":[{"id":"ITEM-1","itemData":{"DOI":"10.5281/ZENODO.4155459","abstract":"This study aims to evaluate the application of good corporate governance to the stock prices of Indonesian manufacturing companies. It is used a descriptive method with a quantitative approach. The population in this study is the manufacturing companies in Indonesia from 2016 to 2018. The research data uses secondary information, and financial statements of the companies. The results of the study indicate that the Independent Commissioner and Managerial Ownership have an impact on stock prices, while the Institutional Ownership does not have an impact.","author":[{"dropping-particle":"","family":"Prabowo","given":"Bahtiar","non-dropping-particle":"","parse-names":false,"suffix":""},{"dropping-particle":"","family":"Rochmatulaili","given":"Eny","non-dropping-particle":"","parse-names":false,"suffix":""},{"dropping-particle":"","family":"Rusdiyanto","given":"","non-dropping-particle":"","parse-names":false,"suffix":""},{"dropping-particle":"","family":"Sulistyowati","given":"Eny","non-dropping-particle":"","parse-names":false,"suffix":""}],"container-title":"Utopia y Praxis Latinoamericana","id":"ITEM-1","issue":"Extra10","issued":{"date-parts":[["2020"]]},"page":"187-196","publisher":"Universidad del Zulia","title":"Corporate governance and its impact in company's stock price: case study","type":"article-journal","volume":"25"},"uris":["http://www.mendeley.com/documents/?uuid=2ba7902b-8974-33b2-a9bb-376ca2a73700"]}],"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664069">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14:paraId="0EADB1B0" w14:textId="7ECAF642" w:rsidR="00632BFA" w:rsidRDefault="00632BFA" w:rsidP="00A01151">
      <w:pPr>
        <w:jc w:val="both"/>
        <w:rPr>
          <w:rFonts w:ascii="Times New Roman" w:hAnsi="Times New Roman" w:cs="Times New Roman"/>
        </w:rPr>
      </w:pPr>
      <w:r>
        <w:rPr>
          <w:rFonts w:ascii="Times New Roman" w:hAnsi="Times New Roman" w:cs="Times New Roman"/>
        </w:rPr>
        <w:t xml:space="preserve">This study follows the idea of conquering one step (or problem) at a time. It focuses on providing a solution to predict the fluctuations on a stock based on the Environment (the Historical Data). With the availability of a massive amount of data, the challenge is to use it and draw meaningful conclusions from it. We have </w:t>
      </w:r>
      <w:proofErr w:type="spellStart"/>
      <w:r>
        <w:rPr>
          <w:rFonts w:ascii="Times New Roman" w:hAnsi="Times New Roman" w:cs="Times New Roman"/>
        </w:rPr>
        <w:t>analyzed</w:t>
      </w:r>
      <w:proofErr w:type="spellEnd"/>
      <w:r>
        <w:rPr>
          <w:rFonts w:ascii="Times New Roman" w:hAnsi="Times New Roman" w:cs="Times New Roman"/>
        </w:rPr>
        <w:t xml:space="preserve"> the data from the date of the initial issue to the date of making predictions. The two deep learning algorithms introduced in this study include a Long Short Term Memory (LSTM), a recurrent neural network architecture for time-series prediction </w:t>
      </w:r>
      <w:r>
        <w:rPr>
          <w:rFonts w:ascii="Times New Roman" w:hAnsi="Times New Roman" w:cs="Times New Roman"/>
        </w:rPr>
        <w:fldChar w:fldCharType="begin" w:fldLock="1"/>
      </w:r>
      <w:r w:rsidR="00903FF9">
        <w:rPr>
          <w:rFonts w:ascii="Times New Roman" w:hAnsi="Times New Roman" w:cs="Times New Roman"/>
        </w:rPr>
        <w:instrText>ADDIN CSL_CITATION {"citationItems":[{"id":"ITEM-1","itemData":{"DOI":"10.1162/NECO.1997.9.8.1735","ISSN":"0899-7667","abstract":"Learning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Press","title":"Long Short-Term Memory","type":"article-journal","volume":"9"},"uris":["http://www.mendeley.com/documents/?uuid=9350c61a-0928-3132-9e5f-3f6a1cc72e2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632BFA">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and a Convolution Neural Network (CNN) and LSTM mix architecture for making the predictions. The baseline comparison of the deep-learning strategy is with two traditional stock trading strategies, the Buy and Hold system and the Moving Averages. </w:t>
      </w:r>
    </w:p>
    <w:p w14:paraId="7C137399" w14:textId="77777777" w:rsidR="00632BFA" w:rsidRDefault="00632BFA" w:rsidP="00A01151">
      <w:pPr>
        <w:jc w:val="both"/>
        <w:rPr>
          <w:rFonts w:ascii="Times New Roman" w:hAnsi="Times New Roman" w:cs="Times New Roman"/>
        </w:rPr>
      </w:pPr>
      <w:r>
        <w:rPr>
          <w:rFonts w:ascii="Times New Roman" w:hAnsi="Times New Roman" w:cs="Times New Roman"/>
        </w:rPr>
        <w:lastRenderedPageBreak/>
        <w:t>The deep learning model is trained end-to-end on new data (between a training window of the past six years from the day of making the predictions). This strategy is to prevent any sudden old fluctuations in the data from contaminating the projections. All outliers are scaled using a min-max scaler to stop them from dominating in the results.</w:t>
      </w:r>
    </w:p>
    <w:p w14:paraId="0C07EA1F" w14:textId="6DE3C00B" w:rsidR="00632BFA" w:rsidRDefault="00632BFA" w:rsidP="00A01151">
      <w:pPr>
        <w:jc w:val="both"/>
        <w:rPr>
          <w:rFonts w:ascii="Times New Roman" w:hAnsi="Times New Roman" w:cs="Times New Roman"/>
        </w:rPr>
      </w:pPr>
      <w:r>
        <w:rPr>
          <w:rFonts w:ascii="Times New Roman" w:hAnsi="Times New Roman" w:cs="Times New Roman"/>
        </w:rPr>
        <w:t xml:space="preserve">Our results suggest a substantial promise in integrating the traditional and computer-generated strategies for developing an improved quantitative investment strategy. The algorithms outperform the baselines set by the conventional approach, and the enhanced LSTM-CNN mix model provides better performance with reduced computational cost. Integration of this model with other deep learning strategies to handle other governing factors like Governance and Social can bring a new revolution in algorithmic trading using Deep Learning. </w:t>
      </w:r>
    </w:p>
    <w:p w14:paraId="554B5125" w14:textId="77777777" w:rsidR="00940E1F" w:rsidRDefault="00940E1F" w:rsidP="00A01151">
      <w:pPr>
        <w:jc w:val="both"/>
        <w:rPr>
          <w:rFonts w:ascii="Times New Roman" w:hAnsi="Times New Roman" w:cs="Times New Roman"/>
        </w:rPr>
      </w:pPr>
    </w:p>
    <w:p w14:paraId="43A32B7F" w14:textId="166903FF" w:rsidR="00632BFA" w:rsidRPr="00632BFA" w:rsidRDefault="00632BFA" w:rsidP="00A01151">
      <w:pPr>
        <w:jc w:val="both"/>
        <w:rPr>
          <w:rFonts w:ascii="Times New Roman" w:hAnsi="Times New Roman" w:cs="Times New Roman"/>
          <w:sz w:val="28"/>
          <w:szCs w:val="28"/>
        </w:rPr>
      </w:pPr>
      <w:r w:rsidRPr="00632BFA">
        <w:rPr>
          <w:rFonts w:ascii="Times New Roman" w:hAnsi="Times New Roman" w:cs="Times New Roman"/>
          <w:sz w:val="28"/>
          <w:szCs w:val="28"/>
        </w:rPr>
        <w:t xml:space="preserve">2. </w:t>
      </w:r>
      <w:r w:rsidR="00254CBB">
        <w:rPr>
          <w:rFonts w:ascii="Times New Roman" w:hAnsi="Times New Roman" w:cs="Times New Roman"/>
          <w:sz w:val="28"/>
          <w:szCs w:val="28"/>
        </w:rPr>
        <w:t>RELATED WORK</w:t>
      </w:r>
    </w:p>
    <w:p w14:paraId="7DA24189" w14:textId="77777777" w:rsidR="00940E1F" w:rsidRDefault="00903FF9" w:rsidP="00A01151">
      <w:pPr>
        <w:jc w:val="both"/>
        <w:rPr>
          <w:rFonts w:ascii="Times New Roman" w:hAnsi="Times New Roman" w:cs="Times New Roman"/>
        </w:rPr>
      </w:pPr>
      <w:r>
        <w:rPr>
          <w:rFonts w:ascii="Times New Roman" w:hAnsi="Times New Roman" w:cs="Times New Roman"/>
        </w:rPr>
        <w:t xml:space="preserve">Our work connects several relevant pieces of literature. Recent work highlights how Deep Learning can be in algorithmic trading. With researchers working on individual factors affecting the stock prices, as the social factor, Environment, and Governance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{"citationItems":[{"id":"ITEM-1","itemData":{"abstract":"As deep reinforcement learning (DRL) has been recognized as an effective approach in quantitative finance, getting hands-on experiences is attractive to beginners. However, to train a practical DRL trading agent that decides where to trade, at what price, and what quantity involves error-prone and arduous development and debugging. In this paper, we introduce a DRL library FinRL that facilitates beginners to expose themselves to quantitative finance and to develop their own stock trading strategies. Along with easily-reproducible tutorials, FinRL library allows users to streamline their own developments and to compare with existing schemes easily. Within FinRL, virtual environments are configured with stock market datasets, trading agents are trained with neural networks, and extensive backtesting is analyzed via trading performance. Moreover, it incorporates important trading constraints such as transaction cost, market liquidity and the investor's degree of risk-aversion. FinRL is featured with completeness, hands-on tutorial and reproducibility that favors beginners: (i) at multiple levels of time granularity, FinRL simulates trading environments across various stock markets, including NASDAQ-100, DJIA, S&amp;P 500, HSI, SSE 50, and CSI 300; (ii) organized in a layered architecture with modular structure, FinRL provides fine-tuned state-of-the-art DRL algorithms (DQN, DDPG, PPO, SAC, A2C, TD3, etc.), commonly-used reward functions and standard evaluation baselines to alleviate the debug-ging workloads and promote the reproducibility, and (iii) being highly extendable, FinRL reserves a complete set of user-import interfaces. Furthermore, we incorporated three application demonstrations, namely single stock trading, multiple stock trading, and portfolio allocation. The FinRL library will be available on Github at link https://github.com/AI4Finance-LLC/FinRL-Library.","author":[{"dropping-particle":"","family":"Liu","given":"Xiao-Yang","non-dropping-particle":"","parse-names":false,"suffix":""},{"dropping-particle":"","family":"Yang","given":"Hongyang","non-dropping-particle":"","parse-names":false,"suffix":""},{"dropping-particle":"","family":"Chen","given":"Qian","non-dropping-particle":"","parse-names":false,"suffix":""},{"dropping-particle":"","family":"Zhang","given":"Runjia","non-dropping-particle":"","parse-names":false,"suffix":""},{"dropping-particle":"","family":"Yang","given":"Liuqing","non-dropping-particle":"","parse-names":false,"suffix":""},{"dropping-particle":"","family":"Xiao","given":"Bowen","non-dropping-particle":"","parse-names":false,"suffix":""},{"dropping-particle":"","family":"Wang","given":"Christina Dan","non-dropping-particle":"","parse-names":false,"suffix":""}],"id":"ITEM-1","issued":{"date-parts":[["0"]]},"title":"FinRL: A Deep Reinforcement Learning Library for Automated Stock Trading in Quantitative Finance","type":"article-journal"},"uris":["http://www.mendeley.com/documents/?uuid=fe698ab9-f710-3623-8394-46dbacf10167"]},{"id":"ITEM-2","itemData":{"DOI":"10.1109/SSP.2011.5967675","abstract":"This paper investigates the extent to which sentiment revealed by traditional media and social media affects the stock market. We extract sentiment by conducting a textual analysis of articles published in the Wall Street Journal and Seeking Alpha, a popular social-media platform. We find that social-media sentiment associates strongly with contemporaneous and subsequent stock returns, even after controlling for traditional-media sentiment. The media effect is stronger for articles more closely followed by market participants and for companies mostly held by retail investors. Together, these findings point to the importance of social media as an additional channel through which views become reflected in the stock price. © 2011 IEEE.","author":[{"dropping-particle":"","family":"Chen","given":"Hailiang","non-dropping-particle":"","parse-names":false,"suffix":""},{"dropping-particle":"","family":"De","given":"Prabuddha","non-dropping-particle":"","parse-names":false,"suffix":""},{"dropping-particle":"","family":"Hu","given":"Yu","non-dropping-particle":"","parse-names":false,"suffix":""},{"dropping-particle":"","family":"Hwang","given":"Byoung Hyoun","non-dropping-particle":"","parse-names":false,"suffix":""}],"container-title":"IEEE Workshop on Statistical Signal Processing Proceedings","id":"ITEM-2","issued":{"date-parts":[["2011"]]},"page":"25-28","title":"Sentiment revealed in social media and its effect on the stock market","type":"article-journal"},"uris":["http://www.mendeley.com/documents/?uuid=e815aa5a-c8ac-33c2-9f1f-78e1ef588db3"]},{"id":"ITEM-3","itemData":{"DOI":"10.1109/SOCIALCOM.2013.141","abstract":"The study on the interactions between social media and financial markets is an interesting topic. This paper is to investigate this issue for stocks from the Shanghai/Shenzhen stock exchange, based on a popular online Chinese stock forum Guba.com.cn. Other than the traditional sentimental analysis method, for each stock, we build a Social Behavior Graph based on human's online behavior, calculate some key characteristics of the graph, and find out the correlations between trading volume/price and those characteristics. Furthermore, we make use of a BP-neural network to predict the trading volume and price of stocks. Our method has achieved a better outcomes compared to the traditional trading volume/price based time series models. A trading strategy based on our method achieved 56.28% benefits in only three month's time, when the stock price just increased 1.17%. © 2013 IEEE.","author":[{"dropping-particle":"","family":"Chen","given":"Zheng","non-dropping-particle":"","parse-names":false,"suffix":""},{"dropping-particle":"","family":"Du","given":"Xiaoqing","non-dropping-particle":"","parse-names":false,"suffix":""}],"container-title":"Proceedings - SocialCom/PASSAT/BigData/EconCom/BioMedCom 2013","id":"ITEM-3","issued":{"date-parts":[["2013"]]},"page":"913-916","title":"Study of stock prediction based on social network","type":"article-journal"},"uris":["http://www.mendeley.com/documents/?uuid=27cf61d3-a8df-31e5-8756-8ff23c37e4fd"]},{"id":"ITEM-4","itemData":{"DOI":"10.5281/ZENODO.4155459","abstract":"This study aims to evaluate the application of good corporate governance to the stock prices of Indonesian manufacturing companies. It is used a descriptive method with a quantitative approach. The population in this study is the manufacturing companies in Indonesia from 2016 to 2018. The research data uses secondary information, and financial statements of the companies. The results of the study indicate that the Independent Commissioner and Managerial Ownership have an impact on stock prices, while the Institutional Ownership does not have an impact.","author":[{"dropping-particle":"","family":"Prabowo","given":"Bahtiar","non-dropping-particle":"","parse-names":false,"suffix":""},{"dropping-particle":"","family":"Rochmatulaili","given":"Eny","non-dropping-particle":"","parse-names":false,"suffix":""},{"dropping-particle":"","family":"Rusdiyanto","given":"","non-dropping-particle":"","parse-names":false,"suffix":""},{"dropping-particle":"","family":"Sulistyowati","given":"Eny","non-dropping-particle":"","parse-names":false,"suffix":""}],"container-title":"Utopia y Praxis Latinoamericana","id":"ITEM-4","issue":"Extra10","issued":{"date-parts":[["2020"]]},"page":"187-196","publisher":"Universidad del Zulia","title":"Corporate governance and its impact in company's stock price: case study","type":"article-journal","volume":"25"},"uris":["http://www.mendeley.com/documents/?uuid=2ba7902b-8974-33b2-a9bb-376ca2a73700"]}],"mendeley":{"formattedCitation":"[3], [4], [6], [7]","manualFormatting":"[3, 4, 6, 7]","plainTextFormattedCitation":"[3], [4], [6], [7]","previouslyFormattedCitation":"[3], [4], [6], [7]"},"properties":{"noteIndex":0},"schema":"https://github.com/citation-style-language/schema/raw/master/csl-citation.json"}</w:instrText>
      </w:r>
      <w:r>
        <w:rPr>
          <w:rFonts w:ascii="Times New Roman" w:hAnsi="Times New Roman" w:cs="Times New Roman"/>
        </w:rPr>
        <w:fldChar w:fldCharType="separate"/>
      </w:r>
      <w:r w:rsidRPr="00903FF9">
        <w:rPr>
          <w:rFonts w:ascii="Times New Roman" w:hAnsi="Times New Roman" w:cs="Times New Roman"/>
          <w:noProof/>
        </w:rPr>
        <w:t>[3, 4, 6, 7]</w:t>
      </w:r>
      <w:r>
        <w:rPr>
          <w:rFonts w:ascii="Times New Roman" w:hAnsi="Times New Roman" w:cs="Times New Roman"/>
        </w:rPr>
        <w:fldChar w:fldCharType="end"/>
      </w:r>
      <w:r>
        <w:rPr>
          <w:rFonts w:ascii="Times New Roman" w:hAnsi="Times New Roman" w:cs="Times New Roman"/>
        </w:rPr>
        <w:t xml:space="preserve">, a new vision is being added to the analysis and projection of stock prices based on the contributing factors. Reinforcement Learning libraries like </w:t>
      </w:r>
      <w:proofErr w:type="spellStart"/>
      <w:r>
        <w:rPr>
          <w:rFonts w:ascii="Times New Roman" w:hAnsi="Times New Roman" w:cs="Times New Roman"/>
        </w:rPr>
        <w:t>finRL</w:t>
      </w:r>
      <w:proofErr w:type="spellEnd"/>
      <w:r>
        <w:rPr>
          <w:rFonts w:ascii="Times New Roman" w:hAnsi="Times New Roman" w:cs="Times New Roman"/>
        </w:rPr>
        <w:t xml:space="preserve"> (Financial Reinforcement Learning) and TA-Lib (Technical Analysis Library in Python) have set a new benchmark in Artificial Intelligence for finance. </w:t>
      </w:r>
    </w:p>
    <w:p w14:paraId="53144566" w14:textId="5DD6D19C" w:rsidR="00903FF9" w:rsidRDefault="00940E1F" w:rsidP="00A01151">
      <w:pPr>
        <w:jc w:val="both"/>
        <w:rPr>
          <w:rFonts w:ascii="Times New Roman" w:hAnsi="Times New Roman" w:cs="Times New Roman"/>
        </w:rPr>
      </w:pPr>
      <w:r>
        <w:rPr>
          <w:rFonts w:ascii="Times New Roman" w:hAnsi="Times New Roman" w:cs="Times New Roman"/>
        </w:rPr>
        <w:t xml:space="preserve">The use of machine learning algorithms like Support Vector Machine (SVM)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{"citationItems":[{"id":"ITEM-1","itemData":{"DOI":"10.1016/J.ESWA.2009.02.038","ISSN":"0957-4174","abstract":"In this paper, we developed a prediction model based on support vector machine (SVM) with a hybrid feature selection method to predict the trend of stock markets. This proposed hybrid feature selection method, named F-score and Supported Sequential Forward Search (F_SSFS), combines the advantages of filter methods and wrapper methods to select the optimal feature subset from original feature set. To evaluate the prediction accuracy of this SVM-based model combined with F_SSFS, we compare its performance with back-propagation neural network (BPNN) along with three commonly used feature selection methods including Information gain, Symmetrical uncertainty, and Correlation-based feature selection via paired t-test. The grid-search technique using 5-fold cross-validation is used to find out the best parameter value of kernel function of SVM. In this study, we show that SVM outperforms BPN to the problem of stock trend prediction. In addition, our experimental results show that the proposed SVM-based model combined with F_SSFS has the highest level of accuracies and generalization performance in comparison with the other three feature selection methods. With these results, we claim that SVM combined with F_SSFS can serve as a promising addition to the existing stock trend prediction methods. © 2009 Elsevier Ltd. All rights reserved.","author":[{"dropping-particle":"","family":"Lee","given":"Ming Chi","non-dropping-particle":"","parse-names":false,"suffix":""}],"container-title":"Expert Systems with Applications","id":"ITEM-1","issue":"8","issued":{"date-parts":[["2009","10","1"]]},"page":"10896-10904","publisher":"Pergamon","title":"Using support vector machine with a hybrid feature selection method to the stock trend prediction","type":"article-journal","volume":"36"},"uris":["http://www.mendeley.com/documents/?uuid=14c6f8ba-ee47-3fe2-b2cf-e55f7202efbb"]}],"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Pr="00940E1F">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and a hybrid feature selection method provided a detailed parameter adjustment procedure with performance under different parameter values. The performance of this algorithm is significantly less than the state-of-art LSTMs. </w:t>
      </w:r>
    </w:p>
    <w:p w14:paraId="5DCF79D0" w14:textId="2A020902" w:rsidR="00940E1F" w:rsidRDefault="00940E1F" w:rsidP="00A01151">
      <w:pPr>
        <w:jc w:val="both"/>
        <w:rPr>
          <w:rFonts w:ascii="Times New Roman" w:hAnsi="Times New Roman" w:cs="Times New Roman"/>
        </w:rPr>
      </w:pPr>
      <w:r>
        <w:rPr>
          <w:rFonts w:ascii="Times New Roman" w:hAnsi="Times New Roman" w:cs="Times New Roman"/>
        </w:rPr>
        <w:t xml:space="preserve">Various other LSTM based models on long-term data fail to address the computational complexities and the efforts required to train it </w:t>
      </w:r>
      <w:r>
        <w:rPr>
          <w:rFonts w:ascii="Times New Roman" w:hAnsi="Times New Roman" w:cs="Times New Roman"/>
        </w:rPr>
        <w:fldChar w:fldCharType="begin" w:fldLock="1"/>
      </w:r>
      <w:r w:rsidR="00A01151">
        <w:rPr>
          <w:rFonts w:ascii="Times New Roman" w:hAnsi="Times New Roman" w:cs="Times New Roman"/>
        </w:rPr>
        <w:instrText>ADDIN CSL_CITATION {"citationItems":[{"id":"ITEM-1","itemData":{"DOI":"10.1016/J.EJOR.2017.11.054","ISSN":"0377-2217","abstract":"Long short-term memory (LSTM) networks are a state-of-the-art technique for sequence learning. They are less commonly applied to financial time series predictions, yet inherently suitable for this domain. We deploy LSTM networks for predicting out-of-sample directional movements for the constituent stocks of the S&amp;P 500 from 1992 until 2015. With daily returns of 0.46 percent and a Sharpe ratio of 5.8 prior to transaction costs, we find LSTM networks to outperform memory-free classification methods, i.e., a random forest (RAF), a deep neural net (DNN), and a logistic regression classifier (LOG). The outperformance relative to the general market is very clear from 1992 to 2009, but as of 2010, excess returns seem to have been arbitraged away with LSTM profitability fluctuating around zero after transaction costs. We further unveil sources of profitability, thereby shedding light into the black box of artificial neural networks. Specifically, we find one common pattern among the stocks selected for trading – they exhibit high volatility and a short-term reversal return profile. Leveraging these findings, we are able to formalize a rules-based short-term reversal strategy that yields 0.23 percent prior to transaction costs. Further regression analysis unveils low exposure of the LSTM returns to common sources of systematic risk – also compared to the three benchmark models.","author":[{"dropping-particle":"","family":"Fischer","given":"Thomas","non-dropping-particle":"","parse-names":false,"suffix":""},{"dropping-particle":"","family":"Krauss","given":"Christopher","non-dropping-particle":"","parse-names":false,"suffix":""}],"container-title":"European Journal of Operational Research","id":"ITEM-1","issue":"2","issued":{"date-parts":[["2018","10","16"]]},"page":"654-669","publisher":"North-Holland","title":"Deep learning with long short-term memory networks for financial market predictions","type":"article-journal","volume":"270"},"uris":["http://www.mendeley.com/documents/?uuid=51bdd48f-9e9b-31bc-b862-408f62480b27"]}],"mendeley":{"formattedCitation":"[9]","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Pr="00940E1F">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Our study focuses on the training aspect of the model and tries to reduce the training time even in a limited computational environment. </w:t>
      </w:r>
    </w:p>
    <w:p w14:paraId="60DF5941" w14:textId="7603C3A4" w:rsidR="00940E1F" w:rsidRDefault="00903FF9" w:rsidP="00A01151">
      <w:pPr>
        <w:jc w:val="both"/>
        <w:rPr>
          <w:rFonts w:ascii="Times New Roman" w:hAnsi="Times New Roman" w:cs="Times New Roman"/>
        </w:rPr>
      </w:pPr>
      <w:r>
        <w:rPr>
          <w:rFonts w:ascii="Times New Roman" w:hAnsi="Times New Roman" w:cs="Times New Roman"/>
        </w:rPr>
        <w:t xml:space="preserve">The limitation of these developments is that they fail to scale because of high computational requirements </w:t>
      </w:r>
      <w:r>
        <w:rPr>
          <w:rFonts w:ascii="Times New Roman" w:hAnsi="Times New Roman" w:cs="Times New Roman"/>
        </w:rPr>
        <w:fldChar w:fldCharType="begin" w:fldLock="1"/>
      </w:r>
      <w:r w:rsidR="00A01151">
        <w:rPr>
          <w:rFonts w:ascii="Times New Roman" w:hAnsi="Times New Roman" w:cs="Times New Roman"/>
        </w:rPr>
        <w:instrText>ADDIN CSL_CITATION {"citationItems":[{"id":"ITEM-1","itemData":{"abstract":"Liquidation is the process of selling a large number of shares of one stock\nsequentially within a given time frame, taking into consideration the costs\narising from market impact and a trader's risk aversion. The main challenge in\noptimizing liquidation is to find an appropriate modeling system that can\nincorporate the complexities of the stock market and generate practical trading\nstrategies. In this paper, we propose to use multi-agent deep reinforcement\nlearning model, which better captures high-level complexities comparing to\nvarious machine learning methods, such that agents can learn how to make the\nbest selling decisions. First, we theoretically analyze the Almgren and Chriss\nmodel and extend its fundamental mechanism so it can be used as the multi-agent\ntrading environment. Our work builds the foundation for future multi-agent\nenvironment trading analysis. Secondly, we analyze the cooperative and\ncompetitive behaviours between agents by adjusting the reward functions for\neach agent, which overcomes the limitation of single-agent reinforcement\nlearning algorithms. Finally, we simulate trading and develop an optimal\ntrading strategy with practical constraints by using a reinforcement learning\nmethod, which shows the capabilities of reinforcement learning methods in\nsolving realistic liquidation problems.","author":[{"dropping-particle":"","family":"Bao","given":"Wenhang","non-dropping-particle":"","parse-names":false,"suffix":""},{"dropping-particle":"","family":"Liu","given":"Xiao-yang","non-dropping-particle":"","parse-names":false,"suffix":""}],"id":"ITEM-1","issued":{"date-parts":[["2019","6","24"]]},"title":"Multi-Agent Deep Reinforcement Learning for Liquidation Strategy Analysis","type":"article-journal"},"uris":["http://www.mendeley.com/documents/?uuid=f1c33c61-1ef9-3cc5-939b-16eb81fab913"]}],"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00940E1F" w:rsidRPr="00940E1F">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The creation of new replicas of the trading environment and dummy data generation fail to use the existing data. The current deep learning solutions using LSTMs and LSTM-CNN Mix are tested only on short-term predictions ranging from 1 day to 10 days </w:t>
      </w:r>
      <w:r>
        <w:rPr>
          <w:rFonts w:ascii="Times New Roman" w:hAnsi="Times New Roman" w:cs="Times New Roman"/>
        </w:rPr>
        <w:fldChar w:fldCharType="begin" w:fldLock="1"/>
      </w:r>
      <w:r w:rsidR="00A01151">
        <w:rPr>
          <w:rFonts w:ascii="Times New Roman" w:hAnsi="Times New Roman" w:cs="Times New Roman"/>
        </w:rPr>
        <w:instrText>ADDIN CSL_CITATION {"citationItems":[{"id":"ITEM-1","itemData":{"DOI":"10.1186/S40537-020-00333-6","ISSN":"2196-1115","abstract":"In the era of big data, deep learning for predicting stock market prices and trends has become even more popular than before. We collected 2 years of data from Chinese stock market and proposed a comprehensive customization of feature engineering and deep learning-based model for predicting price trend of stock markets. The proposed solution is comprehensive as it includes pre-processing of the stock market dataset, utilization of multiple feature engineering techniques, combined with a customized deep learning based system for stock market price trend prediction. We conducted comprehensive evaluations on frequently used machine learning models and conclude that our proposed solution outperforms due to the comprehensive feature engineering that we built. The system achieves overall high accuracy for stock market trend prediction. With the detailed design and evaluation of prediction term lengths, feature engineering, and data pre-processing methods, this work contributes to the stock analysis research community both in the financial and technical domains.","author":[{"dropping-particle":"","family":"Shen","given":"Jingyi","non-dropping-particle":"","parse-names":false,"suffix":""},{"dropping-particle":"","family":"Shafiq","given":"M. Omair","non-dropping-particle":"","parse-names":false,"suffix":""}],"container-title":"Journal of Big Data 2020 7:1","id":"ITEM-1","issue":"1","issued":{"date-parts":[["2020","8","28"]]},"page":"1-33","publisher":"SpringerOpen","title":"Short-term stock market price trend prediction using a comprehensive deep learning system","type":"article-journal","volume":"7"},"uris":["http://www.mendeley.com/documents/?uuid=19f0f3a3-b4ca-39c7-9a94-87c9a25b3c35"]}],"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940E1F" w:rsidRPr="00940E1F">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p>
    <w:p w14:paraId="377BEFA1" w14:textId="7A3A252E" w:rsidR="00903FF9" w:rsidRDefault="00903FF9" w:rsidP="00A01151">
      <w:pPr>
        <w:jc w:val="both"/>
        <w:rPr>
          <w:rFonts w:ascii="Times New Roman" w:hAnsi="Times New Roman" w:cs="Times New Roman"/>
        </w:rPr>
      </w:pPr>
      <w:r>
        <w:rPr>
          <w:rFonts w:ascii="Times New Roman" w:hAnsi="Times New Roman" w:cs="Times New Roman"/>
        </w:rPr>
        <w:t>The main contribution of our work to this problem is</w:t>
      </w:r>
      <w:r w:rsidR="00CF5F1A">
        <w:rPr>
          <w:rFonts w:ascii="Times New Roman" w:hAnsi="Times New Roman" w:cs="Times New Roman"/>
        </w:rPr>
        <w:t xml:space="preserve"> to</w:t>
      </w:r>
      <w:r>
        <w:rPr>
          <w:rFonts w:ascii="Times New Roman" w:hAnsi="Times New Roman" w:cs="Times New Roman"/>
        </w:rPr>
        <w:t>:</w:t>
      </w:r>
    </w:p>
    <w:p w14:paraId="4E591059" w14:textId="361D41D8" w:rsidR="00903FF9" w:rsidRDefault="00903FF9" w:rsidP="00A01151">
      <w:pPr>
        <w:pStyle w:val="ListParagraph"/>
        <w:numPr>
          <w:ilvl w:val="0"/>
          <w:numId w:val="11"/>
        </w:numPr>
        <w:jc w:val="both"/>
        <w:rPr>
          <w:rFonts w:ascii="Times New Roman" w:hAnsi="Times New Roman" w:cs="Times New Roman"/>
        </w:rPr>
      </w:pPr>
      <w:r>
        <w:rPr>
          <w:rFonts w:ascii="Times New Roman" w:hAnsi="Times New Roman" w:cs="Times New Roman"/>
        </w:rPr>
        <w:t>Us</w:t>
      </w:r>
      <w:r w:rsidR="00CF5F1A">
        <w:rPr>
          <w:rFonts w:ascii="Times New Roman" w:hAnsi="Times New Roman" w:cs="Times New Roman"/>
        </w:rPr>
        <w:t>e</w:t>
      </w:r>
      <w:r>
        <w:rPr>
          <w:rFonts w:ascii="Times New Roman" w:hAnsi="Times New Roman" w:cs="Times New Roman"/>
        </w:rPr>
        <w:t xml:space="preserve"> existing, </w:t>
      </w:r>
      <w:proofErr w:type="spellStart"/>
      <w:r>
        <w:rPr>
          <w:rFonts w:ascii="Times New Roman" w:hAnsi="Times New Roman" w:cs="Times New Roman"/>
        </w:rPr>
        <w:t>publically</w:t>
      </w:r>
      <w:proofErr w:type="spellEnd"/>
      <w:r>
        <w:rPr>
          <w:rFonts w:ascii="Times New Roman" w:hAnsi="Times New Roman" w:cs="Times New Roman"/>
        </w:rPr>
        <w:t xml:space="preserve"> available historical data of stocks to train and test the model. </w:t>
      </w:r>
    </w:p>
    <w:p w14:paraId="41984D73" w14:textId="3C1A4E06" w:rsidR="00903FF9" w:rsidRDefault="00CF5F1A" w:rsidP="00A01151">
      <w:pPr>
        <w:pStyle w:val="ListParagraph"/>
        <w:numPr>
          <w:ilvl w:val="0"/>
          <w:numId w:val="11"/>
        </w:numPr>
        <w:jc w:val="both"/>
        <w:rPr>
          <w:rFonts w:ascii="Times New Roman" w:hAnsi="Times New Roman" w:cs="Times New Roman"/>
        </w:rPr>
      </w:pPr>
      <w:r>
        <w:rPr>
          <w:rFonts w:ascii="Times New Roman" w:hAnsi="Times New Roman" w:cs="Times New Roman"/>
        </w:rPr>
        <w:t>Development of a</w:t>
      </w:r>
      <w:r w:rsidR="00903FF9">
        <w:rPr>
          <w:rFonts w:ascii="Times New Roman" w:hAnsi="Times New Roman" w:cs="Times New Roman"/>
        </w:rPr>
        <w:t xml:space="preserve"> computationally cheaper and simple deep-learning solution</w:t>
      </w:r>
      <w:r>
        <w:rPr>
          <w:rFonts w:ascii="Times New Roman" w:hAnsi="Times New Roman" w:cs="Times New Roman"/>
        </w:rPr>
        <w:t xml:space="preserve"> to</w:t>
      </w:r>
      <w:r w:rsidR="00903FF9">
        <w:rPr>
          <w:rFonts w:ascii="Times New Roman" w:hAnsi="Times New Roman" w:cs="Times New Roman"/>
        </w:rPr>
        <w:t xml:space="preserve"> provide</w:t>
      </w:r>
      <w:r>
        <w:rPr>
          <w:rFonts w:ascii="Times New Roman" w:hAnsi="Times New Roman" w:cs="Times New Roman"/>
        </w:rPr>
        <w:t xml:space="preserve"> </w:t>
      </w:r>
      <w:r w:rsidR="00903FF9">
        <w:rPr>
          <w:rFonts w:ascii="Times New Roman" w:hAnsi="Times New Roman" w:cs="Times New Roman"/>
        </w:rPr>
        <w:t xml:space="preserve">enhanced performance and improved scalability. </w:t>
      </w:r>
    </w:p>
    <w:p w14:paraId="47707462" w14:textId="5D164D87" w:rsidR="00903FF9" w:rsidRDefault="00903FF9" w:rsidP="00A01151">
      <w:pPr>
        <w:pStyle w:val="ListParagraph"/>
        <w:numPr>
          <w:ilvl w:val="0"/>
          <w:numId w:val="11"/>
        </w:numPr>
        <w:jc w:val="both"/>
        <w:rPr>
          <w:rFonts w:ascii="Times New Roman" w:hAnsi="Times New Roman" w:cs="Times New Roman"/>
        </w:rPr>
      </w:pPr>
      <w:r>
        <w:rPr>
          <w:rFonts w:ascii="Times New Roman" w:hAnsi="Times New Roman" w:cs="Times New Roman"/>
        </w:rPr>
        <w:t>Compar</w:t>
      </w:r>
      <w:r w:rsidR="00CF5F1A">
        <w:rPr>
          <w:rFonts w:ascii="Times New Roman" w:hAnsi="Times New Roman" w:cs="Times New Roman"/>
        </w:rPr>
        <w:t>ing</w:t>
      </w:r>
      <w:r>
        <w:rPr>
          <w:rFonts w:ascii="Times New Roman" w:hAnsi="Times New Roman" w:cs="Times New Roman"/>
        </w:rPr>
        <w:t xml:space="preserve"> various investment strategies (Traditional and Deep Learning) makes it easier for the user to create a rational decision. </w:t>
      </w:r>
    </w:p>
    <w:p w14:paraId="40496813" w14:textId="24AAC509" w:rsidR="00903FF9" w:rsidRDefault="00CF5F1A" w:rsidP="00A01151">
      <w:pPr>
        <w:jc w:val="both"/>
        <w:rPr>
          <w:rFonts w:ascii="Times New Roman" w:hAnsi="Times New Roman" w:cs="Times New Roman"/>
        </w:rPr>
      </w:pPr>
      <w:r>
        <w:rPr>
          <w:rFonts w:ascii="Times New Roman" w:hAnsi="Times New Roman" w:cs="Times New Roman"/>
        </w:rPr>
        <w:t xml:space="preserve">Our work uses the stock market to focus on a crucial issue, to align the human devised strategies with the computer-generated strategy for algorithmic trading and quantitative finance. </w:t>
      </w:r>
    </w:p>
    <w:p w14:paraId="1F9496C4" w14:textId="77777777" w:rsidR="00242F28" w:rsidRDefault="00242F28" w:rsidP="00A01151">
      <w:pPr>
        <w:jc w:val="both"/>
        <w:rPr>
          <w:rFonts w:ascii="Times New Roman" w:hAnsi="Times New Roman" w:cs="Times New Roman"/>
        </w:rPr>
      </w:pPr>
    </w:p>
    <w:p w14:paraId="2268AC68" w14:textId="3C25C724" w:rsidR="00242F28" w:rsidRDefault="00242F28" w:rsidP="00A01151">
      <w:pPr>
        <w:jc w:val="both"/>
        <w:rPr>
          <w:rFonts w:ascii="Times New Roman" w:hAnsi="Times New Roman" w:cs="Times New Roman"/>
          <w:sz w:val="28"/>
          <w:szCs w:val="28"/>
        </w:rPr>
      </w:pPr>
      <w:r>
        <w:rPr>
          <w:rFonts w:ascii="Times New Roman" w:hAnsi="Times New Roman" w:cs="Times New Roman"/>
          <w:sz w:val="28"/>
          <w:szCs w:val="28"/>
        </w:rPr>
        <w:t>3</w:t>
      </w:r>
      <w:r w:rsidRPr="00632BFA">
        <w:rPr>
          <w:rFonts w:ascii="Times New Roman" w:hAnsi="Times New Roman" w:cs="Times New Roman"/>
          <w:sz w:val="28"/>
          <w:szCs w:val="28"/>
        </w:rPr>
        <w:t xml:space="preserve">. </w:t>
      </w:r>
      <w:r w:rsidR="00254CBB">
        <w:rPr>
          <w:rFonts w:ascii="Times New Roman" w:hAnsi="Times New Roman" w:cs="Times New Roman"/>
          <w:sz w:val="28"/>
          <w:szCs w:val="28"/>
        </w:rPr>
        <w:t>DATA AND BACKGROUND</w:t>
      </w:r>
    </w:p>
    <w:p w14:paraId="105580EE" w14:textId="075DDAF1" w:rsidR="00A01151" w:rsidRPr="00A01151" w:rsidRDefault="00A01151" w:rsidP="00A01151">
      <w:pPr>
        <w:jc w:val="both"/>
        <w:rPr>
          <w:rFonts w:ascii="Times New Roman" w:hAnsi="Times New Roman" w:cs="Times New Roman"/>
          <w:sz w:val="24"/>
          <w:szCs w:val="24"/>
        </w:rPr>
      </w:pPr>
      <w:r w:rsidRPr="00A01151">
        <w:rPr>
          <w:rFonts w:ascii="Times New Roman" w:hAnsi="Times New Roman" w:cs="Times New Roman"/>
          <w:sz w:val="24"/>
          <w:szCs w:val="24"/>
        </w:rPr>
        <w:t>3.1 B</w:t>
      </w:r>
      <w:r>
        <w:rPr>
          <w:rFonts w:ascii="Times New Roman" w:hAnsi="Times New Roman" w:cs="Times New Roman"/>
          <w:sz w:val="24"/>
          <w:szCs w:val="24"/>
        </w:rPr>
        <w:t>ackground</w:t>
      </w:r>
    </w:p>
    <w:p w14:paraId="750E2498" w14:textId="1542C645" w:rsidR="00A01151" w:rsidRPr="00E320EB" w:rsidRDefault="00E55817" w:rsidP="00A01151">
      <w:pPr>
        <w:jc w:val="both"/>
        <w:rPr>
          <w:rFonts w:ascii="Times New Roman" w:hAnsi="Times New Roman" w:cs="Times New Roman"/>
          <w:b/>
          <w:bCs/>
        </w:rPr>
      </w:pPr>
      <w:r w:rsidRPr="00E320EB">
        <w:rPr>
          <w:rFonts w:ascii="Times New Roman" w:hAnsi="Times New Roman" w:cs="Times New Roman"/>
        </w:rPr>
        <w:t>Our work leverages three radically different approaches</w:t>
      </w:r>
      <w:r w:rsidR="00A01151" w:rsidRPr="00E320EB">
        <w:rPr>
          <w:rFonts w:ascii="Times New Roman" w:hAnsi="Times New Roman" w:cs="Times New Roman"/>
        </w:rPr>
        <w:t>. T</w:t>
      </w:r>
      <w:r w:rsidRPr="00E320EB">
        <w:rPr>
          <w:rFonts w:ascii="Times New Roman" w:hAnsi="Times New Roman" w:cs="Times New Roman"/>
        </w:rPr>
        <w:t>he moving average method is purely mathematical</w:t>
      </w:r>
      <w:r w:rsidR="00A01151" w:rsidRPr="00E320EB">
        <w:rPr>
          <w:rFonts w:ascii="Times New Roman" w:hAnsi="Times New Roman" w:cs="Times New Roman"/>
        </w:rPr>
        <w:t xml:space="preserve">, and the Buy and Hold strategy is positional and confidence-based. In contrast, stockDL </w:t>
      </w:r>
      <w:r w:rsidR="00A01151" w:rsidRPr="00E320EB">
        <w:rPr>
          <w:rFonts w:ascii="Times New Roman" w:hAnsi="Times New Roman" w:cs="Times New Roman"/>
        </w:rPr>
        <w:lastRenderedPageBreak/>
        <w:t xml:space="preserve">focuses on two deep learning architectures, a black-box, and tries to understand the pattern in the historical data and derive meaningful insights from it. </w:t>
      </w:r>
    </w:p>
    <w:p w14:paraId="205789F3" w14:textId="60F98ED1" w:rsidR="00A01151" w:rsidRPr="00E320EB" w:rsidRDefault="00A01151" w:rsidP="00A01151">
      <w:pPr>
        <w:pStyle w:val="NormalWeb"/>
        <w:spacing w:before="0" w:beforeAutospacing="0" w:after="0" w:afterAutospacing="0"/>
        <w:jc w:val="both"/>
        <w:rPr>
          <w:color w:val="0E101A"/>
          <w:sz w:val="22"/>
          <w:szCs w:val="22"/>
        </w:rPr>
      </w:pPr>
      <w:r w:rsidRPr="00E320EB">
        <w:rPr>
          <w:b/>
          <w:bCs/>
          <w:sz w:val="22"/>
          <w:szCs w:val="22"/>
        </w:rPr>
        <w:t xml:space="preserve">Moving Average Strategy: </w:t>
      </w:r>
      <w:r w:rsidRPr="00E320EB">
        <w:rPr>
          <w:sz w:val="22"/>
          <w:szCs w:val="22"/>
        </w:rPr>
        <w:t xml:space="preserve">It follows a set of rules to decide whether to Trade </w:t>
      </w:r>
      <w:proofErr w:type="gramStart"/>
      <w:r w:rsidRPr="00E320EB">
        <w:rPr>
          <w:sz w:val="22"/>
          <w:szCs w:val="22"/>
        </w:rPr>
        <w:t>In</w:t>
      </w:r>
      <w:proofErr w:type="gramEnd"/>
      <w:r w:rsidRPr="00E320EB">
        <w:rPr>
          <w:sz w:val="22"/>
          <w:szCs w:val="22"/>
        </w:rPr>
        <w:t xml:space="preserve"> or Stay Out of the market for the month considered. This strategy focuses on</w:t>
      </w:r>
      <w:r w:rsidRPr="00E320EB">
        <w:rPr>
          <w:color w:val="0E101A"/>
          <w:sz w:val="22"/>
          <w:szCs w:val="22"/>
        </w:rPr>
        <w:t xml:space="preserve"> smoothening out the price trends by filtering out the noise from short-term predictions. It acts as a support in case of an uptrend of the time frame taken. This method helps in understanding where Moving Averages will offer support and where it offers resistance. Support indicates a price level where we can expect a downtrend, whereas resistance suggests an increase in the price level, that is, an uptrend. Traditional investors have developed various tools to use the moving average to indicate upcoming trends in the prices. </w:t>
      </w:r>
    </w:p>
    <w:p w14:paraId="7D9EE754" w14:textId="05DA5080" w:rsidR="00A01151" w:rsidRPr="00E320EB" w:rsidRDefault="00A01151" w:rsidP="00A01151">
      <w:pPr>
        <w:pStyle w:val="NormalWeb"/>
        <w:spacing w:before="0" w:beforeAutospacing="0" w:after="0" w:afterAutospacing="0"/>
        <w:jc w:val="both"/>
        <w:rPr>
          <w:color w:val="0E101A"/>
          <w:sz w:val="22"/>
          <w:szCs w:val="22"/>
        </w:rPr>
      </w:pPr>
    </w:p>
    <w:p w14:paraId="234F016A" w14:textId="71718105" w:rsidR="00A01151" w:rsidRPr="00E320EB" w:rsidRDefault="00847E7B" w:rsidP="00A01151">
      <w:pPr>
        <w:pStyle w:val="NormalWeb"/>
        <w:spacing w:before="0" w:beforeAutospacing="0" w:after="0" w:afterAutospacing="0"/>
        <w:jc w:val="both"/>
        <w:rPr>
          <w:color w:val="0E101A"/>
          <w:sz w:val="22"/>
          <w:szCs w:val="22"/>
        </w:rPr>
      </w:pPr>
      <m:oMathPara>
        <m:oMath>
          <m:f>
            <m:fPr>
              <m:ctrlPr>
                <w:rPr>
                  <w:rFonts w:ascii="Cambria Math" w:hAnsi="Cambria Math"/>
                  <w:color w:val="0E101A"/>
                  <w:sz w:val="22"/>
                  <w:szCs w:val="22"/>
                </w:rPr>
              </m:ctrlPr>
            </m:fPr>
            <m:num>
              <m:nary>
                <m:naryPr>
                  <m:chr m:val="∑"/>
                  <m:ctrlPr>
                    <w:rPr>
                      <w:rFonts w:ascii="Cambria Math" w:hAnsi="Cambria Math"/>
                      <w:color w:val="0E101A"/>
                      <w:sz w:val="22"/>
                      <w:szCs w:val="22"/>
                    </w:rPr>
                  </m:ctrlPr>
                </m:naryPr>
                <m:sub>
                  <m:r>
                    <w:rPr>
                      <w:rFonts w:ascii="Cambria Math" w:hAnsi="Cambria Math"/>
                      <w:color w:val="0E101A"/>
                      <w:sz w:val="22"/>
                      <w:szCs w:val="22"/>
                    </w:rPr>
                    <m:t>i=m</m:t>
                  </m:r>
                  <m:ctrlPr>
                    <w:rPr>
                      <w:rFonts w:ascii="Cambria Math" w:hAnsi="Cambria Math"/>
                      <w:i/>
                      <w:color w:val="0E101A"/>
                      <w:sz w:val="22"/>
                      <w:szCs w:val="22"/>
                    </w:rPr>
                  </m:ctrlPr>
                </m:sub>
                <m:sup>
                  <m:r>
                    <w:rPr>
                      <w:rFonts w:ascii="Cambria Math" w:hAnsi="Cambria Math"/>
                      <w:color w:val="0E101A"/>
                      <w:sz w:val="22"/>
                      <w:szCs w:val="22"/>
                    </w:rPr>
                    <m:t>n</m:t>
                  </m:r>
                  <m:ctrlPr>
                    <w:rPr>
                      <w:rFonts w:ascii="Cambria Math" w:hAnsi="Cambria Math"/>
                      <w:i/>
                      <w:color w:val="0E101A"/>
                      <w:sz w:val="22"/>
                      <w:szCs w:val="22"/>
                    </w:rPr>
                  </m:ctrlPr>
                </m:sup>
                <m:e>
                  <m:r>
                    <w:rPr>
                      <w:rFonts w:ascii="Cambria Math" w:hAnsi="Cambria Math"/>
                      <w:color w:val="0E101A"/>
                      <w:sz w:val="22"/>
                      <w:szCs w:val="22"/>
                    </w:rPr>
                    <m:t>Price</m:t>
                  </m:r>
                  <m:ctrlPr>
                    <w:rPr>
                      <w:rFonts w:ascii="Cambria Math" w:hAnsi="Cambria Math"/>
                      <w:i/>
                      <w:color w:val="0E101A"/>
                      <w:sz w:val="22"/>
                      <w:szCs w:val="22"/>
                    </w:rPr>
                  </m:ctrlPr>
                </m:e>
              </m:nary>
              <m:ctrlPr>
                <w:rPr>
                  <w:rFonts w:ascii="Cambria Math" w:hAnsi="Cambria Math"/>
                  <w:i/>
                  <w:color w:val="0E101A"/>
                  <w:sz w:val="22"/>
                  <w:szCs w:val="22"/>
                </w:rPr>
              </m:ctrlPr>
            </m:num>
            <m:den>
              <m:r>
                <w:rPr>
                  <w:rFonts w:ascii="Cambria Math" w:hAnsi="Cambria Math"/>
                  <w:color w:val="0E101A"/>
                  <w:sz w:val="22"/>
                  <w:szCs w:val="22"/>
                </w:rPr>
                <m:t>m-n</m:t>
              </m:r>
              <m:ctrlPr>
                <w:rPr>
                  <w:rFonts w:ascii="Cambria Math" w:hAnsi="Cambria Math"/>
                  <w:i/>
                  <w:color w:val="0E101A"/>
                  <w:sz w:val="22"/>
                  <w:szCs w:val="22"/>
                </w:rPr>
              </m:ctrlPr>
            </m:den>
          </m:f>
        </m:oMath>
      </m:oMathPara>
    </w:p>
    <w:p w14:paraId="2A6F8C8A" w14:textId="77777777" w:rsidR="00A01151" w:rsidRPr="00E320EB" w:rsidRDefault="00A01151" w:rsidP="00A01151">
      <w:pPr>
        <w:pStyle w:val="NormalWeb"/>
        <w:spacing w:before="0" w:beforeAutospacing="0" w:after="0" w:afterAutospacing="0"/>
        <w:jc w:val="both"/>
        <w:rPr>
          <w:color w:val="0E101A"/>
          <w:sz w:val="22"/>
          <w:szCs w:val="22"/>
        </w:rPr>
      </w:pPr>
    </w:p>
    <w:p w14:paraId="3A57838E" w14:textId="4DAEE9E7" w:rsidR="00A01151" w:rsidRPr="00E320EB" w:rsidRDefault="00A01151" w:rsidP="00A01151">
      <w:pPr>
        <w:pStyle w:val="NormalWeb"/>
        <w:spacing w:before="0" w:beforeAutospacing="0" w:after="0" w:afterAutospacing="0"/>
        <w:jc w:val="both"/>
        <w:rPr>
          <w:color w:val="0E101A"/>
          <w:sz w:val="22"/>
          <w:szCs w:val="22"/>
        </w:rPr>
      </w:pPr>
      <m:oMathPara>
        <m:oMath>
          <m:r>
            <w:rPr>
              <w:rFonts w:ascii="Cambria Math" w:hAnsi="Cambria Math"/>
              <w:color w:val="0E101A"/>
              <w:sz w:val="22"/>
              <w:szCs w:val="22"/>
            </w:rPr>
            <m:t xml:space="preserve">Where m→is the starting date </m:t>
          </m:r>
          <m:d>
            <m:dPr>
              <m:ctrlPr>
                <w:rPr>
                  <w:rFonts w:ascii="Cambria Math" w:hAnsi="Cambria Math"/>
                  <w:i/>
                  <w:color w:val="0E101A"/>
                  <w:sz w:val="22"/>
                  <w:szCs w:val="22"/>
                </w:rPr>
              </m:ctrlPr>
            </m:dPr>
            <m:e>
              <m:r>
                <w:rPr>
                  <w:rFonts w:ascii="Cambria Math" w:hAnsi="Cambria Math"/>
                  <w:color w:val="0E101A"/>
                  <w:sz w:val="22"/>
                  <w:szCs w:val="22"/>
                </w:rPr>
                <m:t>Six years before n</m:t>
              </m:r>
            </m:e>
          </m:d>
        </m:oMath>
      </m:oMathPara>
    </w:p>
    <w:p w14:paraId="5DF0BBC5" w14:textId="446200D1" w:rsidR="00A01151" w:rsidRPr="00E320EB" w:rsidRDefault="00A01151" w:rsidP="00A01151">
      <w:pPr>
        <w:pStyle w:val="NormalWeb"/>
        <w:spacing w:before="0" w:beforeAutospacing="0" w:after="0" w:afterAutospacing="0"/>
        <w:jc w:val="both"/>
        <w:rPr>
          <w:color w:val="0E101A"/>
          <w:sz w:val="22"/>
          <w:szCs w:val="22"/>
        </w:rPr>
      </w:pPr>
      <m:oMathPara>
        <m:oMath>
          <m:r>
            <w:rPr>
              <w:rFonts w:ascii="Cambria Math" w:hAnsi="Cambria Math"/>
              <w:color w:val="0E101A"/>
              <w:sz w:val="22"/>
              <w:szCs w:val="22"/>
            </w:rPr>
            <m:t xml:space="preserve">And n→is the final date </m:t>
          </m:r>
          <m:d>
            <m:dPr>
              <m:ctrlPr>
                <w:rPr>
                  <w:rFonts w:ascii="Cambria Math" w:hAnsi="Cambria Math"/>
                  <w:i/>
                  <w:color w:val="0E101A"/>
                  <w:sz w:val="22"/>
                  <w:szCs w:val="22"/>
                </w:rPr>
              </m:ctrlPr>
            </m:dPr>
            <m:e>
              <m:r>
                <w:rPr>
                  <w:rFonts w:ascii="Cambria Math" w:hAnsi="Cambria Math"/>
                  <w:color w:val="0E101A"/>
                  <w:sz w:val="22"/>
                  <w:szCs w:val="22"/>
                </w:rPr>
                <m:t>Date of makeing the prediction, Current date</m:t>
              </m:r>
            </m:e>
          </m:d>
        </m:oMath>
      </m:oMathPara>
    </w:p>
    <w:p w14:paraId="1C550CD7" w14:textId="7CD5BE1B" w:rsidR="00A01151" w:rsidRPr="00E320EB" w:rsidRDefault="00A01151" w:rsidP="00A01151">
      <w:pPr>
        <w:pStyle w:val="NormalWeb"/>
        <w:spacing w:before="0" w:beforeAutospacing="0" w:after="0" w:afterAutospacing="0"/>
        <w:jc w:val="both"/>
        <w:rPr>
          <w:color w:val="0E101A"/>
          <w:sz w:val="22"/>
          <w:szCs w:val="22"/>
        </w:rPr>
      </w:pPr>
    </w:p>
    <w:p w14:paraId="0C0BD5E6" w14:textId="7EC6235F" w:rsidR="00A01151" w:rsidRPr="00E320EB" w:rsidRDefault="00A01151" w:rsidP="00A01151">
      <w:pPr>
        <w:pStyle w:val="NormalWeb"/>
        <w:spacing w:before="0" w:beforeAutospacing="0" w:after="0" w:afterAutospacing="0"/>
        <w:jc w:val="both"/>
        <w:rPr>
          <w:color w:val="0E101A"/>
          <w:sz w:val="22"/>
          <w:szCs w:val="22"/>
        </w:rPr>
      </w:pPr>
      <w:r w:rsidRPr="00E320EB">
        <w:rPr>
          <w:b/>
          <w:bCs/>
          <w:color w:val="0E101A"/>
          <w:sz w:val="22"/>
          <w:szCs w:val="22"/>
        </w:rPr>
        <w:t xml:space="preserve">Buy and Hold Strategy: </w:t>
      </w:r>
      <w:r w:rsidRPr="00E320EB">
        <w:rPr>
          <w:color w:val="0E101A"/>
          <w:sz w:val="22"/>
          <w:szCs w:val="22"/>
        </w:rPr>
        <w:t xml:space="preserve">The investor using this strategy buys stocks and holds them for a long time irrespective of the market fluctuations. This approach is generally long-term and relies on the confidence of the investor. It is a passive investment strategy, and the investor might not sell the possessions at the optimal time. </w:t>
      </w:r>
    </w:p>
    <w:p w14:paraId="1247DE5D" w14:textId="0C68802C" w:rsidR="00A01151" w:rsidRPr="00E320EB" w:rsidRDefault="00A01151" w:rsidP="00A01151">
      <w:pPr>
        <w:pStyle w:val="NormalWeb"/>
        <w:spacing w:before="0" w:beforeAutospacing="0" w:after="0" w:afterAutospacing="0"/>
        <w:jc w:val="both"/>
        <w:rPr>
          <w:color w:val="0E101A"/>
          <w:sz w:val="22"/>
          <w:szCs w:val="22"/>
        </w:rPr>
      </w:pPr>
    </w:p>
    <w:p w14:paraId="749C050D" w14:textId="110CF08A" w:rsidR="000E5B99" w:rsidRDefault="00A01151" w:rsidP="000E5B99">
      <w:pPr>
        <w:pStyle w:val="NormalWeb"/>
        <w:spacing w:before="0" w:beforeAutospacing="0" w:after="0" w:afterAutospacing="0"/>
        <w:jc w:val="both"/>
        <w:rPr>
          <w:color w:val="0E101A"/>
        </w:rPr>
      </w:pPr>
      <w:r w:rsidRPr="00E320EB">
        <w:rPr>
          <w:b/>
          <w:bCs/>
          <w:color w:val="0E101A"/>
          <w:sz w:val="22"/>
          <w:szCs w:val="22"/>
        </w:rPr>
        <w:t>Deep Learning (LSTM Strateg</w:t>
      </w:r>
      <w:r w:rsidR="00641257" w:rsidRPr="00E320EB">
        <w:rPr>
          <w:b/>
          <w:bCs/>
          <w:color w:val="0E101A"/>
          <w:sz w:val="22"/>
          <w:szCs w:val="22"/>
        </w:rPr>
        <w:t>y</w:t>
      </w:r>
      <w:r w:rsidRPr="00E320EB">
        <w:rPr>
          <w:b/>
          <w:bCs/>
          <w:color w:val="0E101A"/>
          <w:sz w:val="22"/>
          <w:szCs w:val="22"/>
        </w:rPr>
        <w:t>):</w:t>
      </w:r>
      <w:r w:rsidR="000E5B99">
        <w:rPr>
          <w:b/>
          <w:bCs/>
          <w:color w:val="0E101A"/>
          <w:sz w:val="22"/>
          <w:szCs w:val="22"/>
        </w:rPr>
        <w:t xml:space="preserve"> </w:t>
      </w:r>
      <w:r w:rsidR="000E5B99">
        <w:rPr>
          <w:color w:val="0E101A"/>
        </w:rPr>
        <w:t>LSTM is the backbone of the two architectures defined in this study.</w:t>
      </w:r>
      <w:r w:rsidRPr="00E320EB">
        <w:rPr>
          <w:b/>
          <w:bCs/>
          <w:color w:val="0E101A"/>
          <w:sz w:val="22"/>
          <w:szCs w:val="22"/>
        </w:rPr>
        <w:t xml:space="preserve"> </w:t>
      </w:r>
      <w:r w:rsidRPr="00E320EB">
        <w:rPr>
          <w:color w:val="0E101A"/>
          <w:sz w:val="22"/>
          <w:szCs w:val="22"/>
        </w:rPr>
        <w:t xml:space="preserve">LSTM learns to keep the relevant information and forget non-relevant data. RNNs can retain the information at time t about the input seen many timestamps before t; this fails in practical implementation due to the problem of vanishing gradients (the gradient gradually becomes zero because of multiplication of long series of numbers less than zero). LSTM saves the information for later and prevents the older signals from being lost during the processing. The LSTM cells allow the past information to be reinjected later, overcoming the vanishing gradient problem. </w:t>
      </w:r>
    </w:p>
    <w:p w14:paraId="3440285B" w14:textId="77777777" w:rsidR="00847E7B" w:rsidRDefault="00847E7B" w:rsidP="00A01151">
      <w:pPr>
        <w:pStyle w:val="NormalWeb"/>
        <w:spacing w:before="0" w:beforeAutospacing="0" w:after="0" w:afterAutospacing="0"/>
        <w:jc w:val="both"/>
        <w:rPr>
          <w:noProof/>
          <w:color w:val="0E101A"/>
        </w:rPr>
      </w:pPr>
    </w:p>
    <w:p w14:paraId="2050FA4E" w14:textId="27599F47" w:rsidR="00E320EB" w:rsidRDefault="00A01151" w:rsidP="00A01151">
      <w:pPr>
        <w:pStyle w:val="NormalWeb"/>
        <w:spacing w:before="0" w:beforeAutospacing="0" w:after="0" w:afterAutospacing="0"/>
        <w:jc w:val="both"/>
        <w:rPr>
          <w:color w:val="0E101A"/>
        </w:rPr>
      </w:pPr>
      <w:r>
        <w:rPr>
          <w:noProof/>
          <w:color w:val="0E101A"/>
        </w:rPr>
        <w:drawing>
          <wp:inline distT="0" distB="0" distL="0" distR="0" wp14:anchorId="469116F9" wp14:editId="6CFCAC92">
            <wp:extent cx="3028950" cy="212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35021" cy="2124515"/>
                    </a:xfrm>
                    <a:prstGeom prst="rect">
                      <a:avLst/>
                    </a:prstGeom>
                    <a:ln w="3175">
                      <a:noFill/>
                    </a:ln>
                  </pic:spPr>
                </pic:pic>
              </a:graphicData>
            </a:graphic>
          </wp:inline>
        </w:drawing>
      </w:r>
      <w:r w:rsidR="00847E7B">
        <w:rPr>
          <w:noProof/>
          <w:color w:val="0E101A"/>
        </w:rPr>
        <w:t xml:space="preserve">    </w:t>
      </w:r>
      <w:r>
        <w:rPr>
          <w:noProof/>
          <w:color w:val="0E101A"/>
        </w:rPr>
        <w:drawing>
          <wp:inline distT="0" distB="0" distL="0" distR="0" wp14:anchorId="44A88F6D" wp14:editId="7DA62AF0">
            <wp:extent cx="2472055" cy="211967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15721" cy="2157116"/>
                    </a:xfrm>
                    <a:prstGeom prst="rect">
                      <a:avLst/>
                    </a:prstGeom>
                    <a:ln w="3175">
                      <a:noFill/>
                    </a:ln>
                  </pic:spPr>
                </pic:pic>
              </a:graphicData>
            </a:graphic>
          </wp:inline>
        </w:drawing>
      </w:r>
    </w:p>
    <w:p w14:paraId="6AA9B6F1" w14:textId="436C955E" w:rsidR="00A01151" w:rsidRPr="00E320EB" w:rsidRDefault="00A01151" w:rsidP="003A29DC">
      <w:pPr>
        <w:pStyle w:val="NormalWeb"/>
        <w:spacing w:before="0" w:beforeAutospacing="0" w:after="0" w:afterAutospacing="0"/>
        <w:jc w:val="center"/>
        <w:rPr>
          <w:color w:val="0E101A"/>
          <w:sz w:val="20"/>
          <w:szCs w:val="20"/>
        </w:rPr>
      </w:pPr>
      <w:r w:rsidRPr="00E320EB">
        <w:rPr>
          <w:color w:val="0E101A"/>
          <w:sz w:val="20"/>
          <w:szCs w:val="20"/>
        </w:rPr>
        <w:t>Figure 1: (a) Anatomy of an LSTM with three input cells</w:t>
      </w:r>
      <w:r w:rsidRPr="00E320EB">
        <w:rPr>
          <w:color w:val="0E101A"/>
          <w:sz w:val="20"/>
          <w:szCs w:val="20"/>
        </w:rPr>
        <w:fldChar w:fldCharType="begin" w:fldLock="1"/>
      </w:r>
      <w:r w:rsidRPr="00E320EB">
        <w:rPr>
          <w:color w:val="0E101A"/>
          <w:sz w:val="20"/>
          <w:szCs w:val="20"/>
        </w:rPr>
        <w:instrText>ADDIN CSL_CITATION {"citationItems":[{"id":"ITEM-1","itemData":{"ISBN":"9781617294433","abstract":"The European Union Integrated Tokamak Modelling Task Force (ITM-TF) has developed a standardized platform and an integrated modeling suite of codes for the simulation and prediction of a complete plasma discharge in any tokamak. The framework developed by ITM-TF allows for the development of sophisticated integrated simulations (workflows) for physics application, e.g., free-boundary equilibrium with feedback control, magnetohydrodynamic stability analysis, core/ edge plasma transport, and heating and current drive. A significant effort is also under way to integrate syn thetic diagnostic modules in the ITM-TF environment, namely, focusing on three-dimensional reflectometry, motional Stark effect, and neutron and neutral particle analyzer diagnostics. This paper gives an overview of the conceptual design of ITM-TF and preliminary results of the aforementioned synthetic diagnostic modules.","author":[{"dropping-particle":"","family":"Chollet","given":"François","non-dropping-particle":"","parse-names":false,"suffix":""}],"container-title":"Manning","id":"ITEM-1","issued":{"date-parts":[["2018"]]},"number-of-pages":"386","title":"Deep Learning with Python","type":"book"},"uris":["http://www.mendeley.com/documents/?uuid=fccca0db-6a00-3c27-94ee-f23be57f25c4"]}],"mendeley":{"formattedCitation":"[12]","plainTextFormattedCitation":"[12]"},"properties":{"noteIndex":0},"schema":"https://github.com/citation-style-language/schema/raw/master/csl-citation.json"}</w:instrText>
      </w:r>
      <w:r w:rsidRPr="00E320EB">
        <w:rPr>
          <w:color w:val="0E101A"/>
          <w:sz w:val="20"/>
          <w:szCs w:val="20"/>
        </w:rPr>
        <w:fldChar w:fldCharType="separate"/>
      </w:r>
      <w:r w:rsidRPr="00E320EB">
        <w:rPr>
          <w:noProof/>
          <w:color w:val="0E101A"/>
          <w:sz w:val="20"/>
          <w:szCs w:val="20"/>
        </w:rPr>
        <w:t>[12]</w:t>
      </w:r>
      <w:r w:rsidRPr="00E320EB">
        <w:rPr>
          <w:color w:val="0E101A"/>
          <w:sz w:val="20"/>
          <w:szCs w:val="20"/>
        </w:rPr>
        <w:fldChar w:fldCharType="end"/>
      </w:r>
      <w:r w:rsidRPr="00E320EB">
        <w:rPr>
          <w:color w:val="0E101A"/>
          <w:sz w:val="20"/>
          <w:szCs w:val="20"/>
        </w:rPr>
        <w:t>, (b) A single LSTM Cell</w:t>
      </w:r>
    </w:p>
    <w:p w14:paraId="37AB12A3" w14:textId="4075E176" w:rsidR="00E320EB" w:rsidRPr="000E5B99" w:rsidRDefault="00E320EB" w:rsidP="00A01151">
      <w:pPr>
        <w:pStyle w:val="NormalWeb"/>
        <w:spacing w:before="0" w:beforeAutospacing="0" w:after="0" w:afterAutospacing="0"/>
        <w:jc w:val="both"/>
        <w:rPr>
          <w:color w:val="0E101A"/>
          <w:sz w:val="22"/>
          <w:szCs w:val="22"/>
        </w:rPr>
      </w:pPr>
    </w:p>
    <w:p w14:paraId="7E4D3FF8" w14:textId="47C0B9D9" w:rsidR="000E5B99" w:rsidRDefault="000E5B99" w:rsidP="00A01151">
      <w:pPr>
        <w:jc w:val="both"/>
        <w:rPr>
          <w:rFonts w:ascii="Times New Roman" w:hAnsi="Times New Roman" w:cs="Times New Roman"/>
          <w:sz w:val="28"/>
          <w:szCs w:val="28"/>
        </w:rPr>
      </w:pPr>
      <w:r w:rsidRPr="000E5B99">
        <w:rPr>
          <w:rFonts w:ascii="Times New Roman" w:hAnsi="Times New Roman" w:cs="Times New Roman"/>
          <w:sz w:val="24"/>
          <w:szCs w:val="24"/>
        </w:rPr>
        <w:t>3.2 Dat</w:t>
      </w:r>
      <w:r>
        <w:rPr>
          <w:rFonts w:ascii="Times New Roman" w:hAnsi="Times New Roman" w:cs="Times New Roman"/>
          <w:sz w:val="28"/>
          <w:szCs w:val="28"/>
        </w:rPr>
        <w:t>a</w:t>
      </w:r>
    </w:p>
    <w:p w14:paraId="47A6A79A" w14:textId="40677766" w:rsidR="000E5B99" w:rsidRDefault="003A29DC" w:rsidP="00A01151">
      <w:pPr>
        <w:jc w:val="both"/>
        <w:rPr>
          <w:rFonts w:ascii="Times New Roman" w:hAnsi="Times New Roman" w:cs="Times New Roman"/>
        </w:rPr>
      </w:pPr>
      <w:r>
        <w:rPr>
          <w:rFonts w:ascii="Times New Roman" w:hAnsi="Times New Roman" w:cs="Times New Roman"/>
        </w:rPr>
        <w:t xml:space="preserve">The data module of stockDL collects the data required for the study. The data is </w:t>
      </w:r>
      <w:r w:rsidR="00296A3F">
        <w:rPr>
          <w:rFonts w:ascii="Times New Roman" w:hAnsi="Times New Roman" w:cs="Times New Roman"/>
        </w:rPr>
        <w:t>retrieved</w:t>
      </w:r>
      <w:r>
        <w:rPr>
          <w:rFonts w:ascii="Times New Roman" w:hAnsi="Times New Roman" w:cs="Times New Roman"/>
        </w:rPr>
        <w:t xml:space="preserve"> from the Yahoo Finance API based on a unique symbol provided to each stock (this unique symbol is called the stock ticker), the starting date, and the end date. </w:t>
      </w:r>
    </w:p>
    <w:p w14:paraId="681241E6" w14:textId="2E891772" w:rsidR="003A29DC" w:rsidRDefault="00963BA3" w:rsidP="00A01151">
      <w:pPr>
        <w:jc w:val="both"/>
        <w:rPr>
          <w:rFonts w:ascii="Times New Roman" w:hAnsi="Times New Roman" w:cs="Times New Roman"/>
        </w:rPr>
      </w:pPr>
      <w:r>
        <w:rPr>
          <w:rFonts w:ascii="Times New Roman" w:hAnsi="Times New Roman" w:cs="Times New Roman"/>
        </w:rPr>
        <w:t xml:space="preserve">The data tables considered in the study include information such as opening rate (of the day), the highest rate (of the day), the lowest rate (of the day), the closing rate (of the day), and the volume traded (on </w:t>
      </w:r>
      <w:r>
        <w:rPr>
          <w:rFonts w:ascii="Times New Roman" w:hAnsi="Times New Roman" w:cs="Times New Roman"/>
        </w:rPr>
        <w:lastRenderedPageBreak/>
        <w:t xml:space="preserve">that day). As we consider dividends and stock split in calculating the annual yield, the columns comprising it are dropped.  </w:t>
      </w:r>
    </w:p>
    <w:p w14:paraId="6B61CF13" w14:textId="12974B53" w:rsidR="003A29DC" w:rsidRDefault="003A29DC" w:rsidP="00963BA3">
      <w:pPr>
        <w:jc w:val="center"/>
        <w:rPr>
          <w:rFonts w:ascii="Times New Roman" w:hAnsi="Times New Roman" w:cs="Times New Roman"/>
        </w:rPr>
      </w:pPr>
      <w:r>
        <w:rPr>
          <w:rFonts w:ascii="Times New Roman" w:hAnsi="Times New Roman" w:cs="Times New Roman"/>
        </w:rPr>
        <w:t xml:space="preserve">Table 1: First five rows of the historical stock data </w:t>
      </w:r>
      <w:r w:rsidR="00963BA3">
        <w:rPr>
          <w:rFonts w:ascii="Times New Roman" w:hAnsi="Times New Roman" w:cs="Times New Roman"/>
        </w:rPr>
        <w:t>for further pre-processing</w:t>
      </w:r>
      <w:r w:rsidR="00395ED7">
        <w:rPr>
          <w:rFonts w:ascii="Times New Roman" w:hAnsi="Times New Roman" w:cs="Times New Roman"/>
        </w:rPr>
        <w:t xml:space="preserve"> of HDFC Bank Limited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2"/>
        <w:gridCol w:w="1062"/>
        <w:gridCol w:w="999"/>
        <w:gridCol w:w="1208"/>
        <w:gridCol w:w="1208"/>
        <w:gridCol w:w="1187"/>
      </w:tblGrid>
      <w:tr w:rsidR="003A29DC" w14:paraId="75D91869" w14:textId="77777777" w:rsidTr="00963BA3">
        <w:trPr>
          <w:trHeight w:val="400"/>
          <w:jc w:val="center"/>
        </w:trPr>
        <w:tc>
          <w:tcPr>
            <w:tcW w:w="1772" w:type="dxa"/>
            <w:tcBorders>
              <w:top w:val="single" w:sz="24" w:space="0" w:color="auto"/>
              <w:bottom w:val="single" w:sz="12" w:space="0" w:color="auto"/>
            </w:tcBorders>
            <w:vAlign w:val="center"/>
          </w:tcPr>
          <w:p w14:paraId="21B61FDB" w14:textId="7669F0B7"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Date</w:t>
            </w:r>
          </w:p>
        </w:tc>
        <w:tc>
          <w:tcPr>
            <w:tcW w:w="1062" w:type="dxa"/>
            <w:tcBorders>
              <w:top w:val="single" w:sz="24" w:space="0" w:color="auto"/>
              <w:bottom w:val="single" w:sz="12" w:space="0" w:color="auto"/>
            </w:tcBorders>
            <w:vAlign w:val="center"/>
          </w:tcPr>
          <w:p w14:paraId="62F0CD94" w14:textId="01531386"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Open</w:t>
            </w:r>
          </w:p>
        </w:tc>
        <w:tc>
          <w:tcPr>
            <w:tcW w:w="999" w:type="dxa"/>
            <w:tcBorders>
              <w:top w:val="single" w:sz="24" w:space="0" w:color="auto"/>
              <w:bottom w:val="single" w:sz="12" w:space="0" w:color="auto"/>
            </w:tcBorders>
            <w:vAlign w:val="center"/>
          </w:tcPr>
          <w:p w14:paraId="4B0B895F" w14:textId="6B20A6B0"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High</w:t>
            </w:r>
          </w:p>
        </w:tc>
        <w:tc>
          <w:tcPr>
            <w:tcW w:w="1208" w:type="dxa"/>
            <w:tcBorders>
              <w:top w:val="single" w:sz="24" w:space="0" w:color="auto"/>
              <w:bottom w:val="single" w:sz="12" w:space="0" w:color="auto"/>
            </w:tcBorders>
            <w:vAlign w:val="center"/>
          </w:tcPr>
          <w:p w14:paraId="14A1DCDA" w14:textId="5EA791D1"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Low</w:t>
            </w:r>
          </w:p>
        </w:tc>
        <w:tc>
          <w:tcPr>
            <w:tcW w:w="1208" w:type="dxa"/>
            <w:tcBorders>
              <w:top w:val="single" w:sz="24" w:space="0" w:color="auto"/>
              <w:bottom w:val="single" w:sz="12" w:space="0" w:color="auto"/>
            </w:tcBorders>
            <w:vAlign w:val="center"/>
          </w:tcPr>
          <w:p w14:paraId="20A25AC8" w14:textId="5D91E93F"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Close</w:t>
            </w:r>
          </w:p>
        </w:tc>
        <w:tc>
          <w:tcPr>
            <w:tcW w:w="1187" w:type="dxa"/>
            <w:tcBorders>
              <w:top w:val="single" w:sz="24" w:space="0" w:color="auto"/>
              <w:bottom w:val="single" w:sz="12" w:space="0" w:color="auto"/>
            </w:tcBorders>
            <w:vAlign w:val="center"/>
          </w:tcPr>
          <w:p w14:paraId="0F817E5B" w14:textId="502A7745"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Volume</w:t>
            </w:r>
          </w:p>
        </w:tc>
      </w:tr>
      <w:tr w:rsidR="003A29DC" w14:paraId="56F4F213" w14:textId="77777777" w:rsidTr="00963BA3">
        <w:trPr>
          <w:trHeight w:val="346"/>
          <w:jc w:val="center"/>
        </w:trPr>
        <w:tc>
          <w:tcPr>
            <w:tcW w:w="1772" w:type="dxa"/>
            <w:tcBorders>
              <w:top w:val="single" w:sz="12" w:space="0" w:color="auto"/>
            </w:tcBorders>
            <w:vAlign w:val="center"/>
          </w:tcPr>
          <w:p w14:paraId="248A6C8E" w14:textId="77CB4FC6"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1996-01-01</w:t>
            </w:r>
          </w:p>
        </w:tc>
        <w:tc>
          <w:tcPr>
            <w:tcW w:w="1062" w:type="dxa"/>
            <w:tcBorders>
              <w:top w:val="single" w:sz="12" w:space="0" w:color="auto"/>
            </w:tcBorders>
            <w:vAlign w:val="center"/>
          </w:tcPr>
          <w:p w14:paraId="6D735987" w14:textId="3AD5DEFA" w:rsidR="003A29DC" w:rsidRDefault="003A29DC" w:rsidP="00963BA3">
            <w:pPr>
              <w:jc w:val="center"/>
              <w:rPr>
                <w:rFonts w:ascii="Times New Roman" w:hAnsi="Times New Roman" w:cs="Times New Roman"/>
              </w:rPr>
            </w:pPr>
            <w:r>
              <w:rPr>
                <w:rFonts w:ascii="Helvetica" w:hAnsi="Helvetica" w:cs="Helvetica"/>
                <w:color w:val="000000"/>
                <w:sz w:val="18"/>
                <w:szCs w:val="18"/>
              </w:rPr>
              <w:t>2.458312</w:t>
            </w:r>
          </w:p>
        </w:tc>
        <w:tc>
          <w:tcPr>
            <w:tcW w:w="999" w:type="dxa"/>
            <w:tcBorders>
              <w:top w:val="single" w:sz="12" w:space="0" w:color="auto"/>
            </w:tcBorders>
            <w:vAlign w:val="center"/>
          </w:tcPr>
          <w:p w14:paraId="7D3E76FE" w14:textId="7D89C784" w:rsidR="003A29DC" w:rsidRDefault="003A29DC" w:rsidP="00963BA3">
            <w:pPr>
              <w:jc w:val="center"/>
              <w:rPr>
                <w:rFonts w:ascii="Times New Roman" w:hAnsi="Times New Roman" w:cs="Times New Roman"/>
              </w:rPr>
            </w:pPr>
            <w:r>
              <w:rPr>
                <w:rFonts w:ascii="Helvetica" w:hAnsi="Helvetica" w:cs="Helvetica"/>
                <w:color w:val="000000"/>
                <w:sz w:val="18"/>
                <w:szCs w:val="18"/>
              </w:rPr>
              <w:t>2.458312</w:t>
            </w:r>
          </w:p>
        </w:tc>
        <w:tc>
          <w:tcPr>
            <w:tcW w:w="1208" w:type="dxa"/>
            <w:tcBorders>
              <w:top w:val="single" w:sz="12" w:space="0" w:color="auto"/>
            </w:tcBorders>
            <w:vAlign w:val="center"/>
          </w:tcPr>
          <w:p w14:paraId="6067DE4A" w14:textId="4DCB37CA"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2.373122</w:t>
            </w:r>
          </w:p>
        </w:tc>
        <w:tc>
          <w:tcPr>
            <w:tcW w:w="1208" w:type="dxa"/>
            <w:tcBorders>
              <w:top w:val="single" w:sz="12" w:space="0" w:color="auto"/>
            </w:tcBorders>
            <w:vAlign w:val="center"/>
          </w:tcPr>
          <w:p w14:paraId="0BC7AC01" w14:textId="04019FB6"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2.417745</w:t>
            </w:r>
          </w:p>
        </w:tc>
        <w:tc>
          <w:tcPr>
            <w:tcW w:w="1187" w:type="dxa"/>
            <w:tcBorders>
              <w:top w:val="single" w:sz="12" w:space="0" w:color="auto"/>
            </w:tcBorders>
            <w:vAlign w:val="center"/>
          </w:tcPr>
          <w:p w14:paraId="061E6427" w14:textId="589D6762" w:rsidR="003A29DC" w:rsidRDefault="003A29DC" w:rsidP="00963BA3">
            <w:pPr>
              <w:jc w:val="center"/>
              <w:rPr>
                <w:rFonts w:ascii="Times New Roman" w:hAnsi="Times New Roman" w:cs="Times New Roman"/>
              </w:rPr>
            </w:pPr>
            <w:r>
              <w:rPr>
                <w:rFonts w:ascii="Helvetica" w:hAnsi="Helvetica" w:cs="Helvetica"/>
                <w:color w:val="000000"/>
                <w:sz w:val="18"/>
                <w:szCs w:val="18"/>
              </w:rPr>
              <w:t>350000</w:t>
            </w:r>
          </w:p>
        </w:tc>
      </w:tr>
      <w:tr w:rsidR="003A29DC" w14:paraId="74333C6D" w14:textId="77777777" w:rsidTr="00963BA3">
        <w:trPr>
          <w:trHeight w:val="329"/>
          <w:jc w:val="center"/>
        </w:trPr>
        <w:tc>
          <w:tcPr>
            <w:tcW w:w="1772" w:type="dxa"/>
            <w:vAlign w:val="center"/>
          </w:tcPr>
          <w:p w14:paraId="0DF7AECD" w14:textId="7B44AC83"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1996-01-02</w:t>
            </w:r>
          </w:p>
        </w:tc>
        <w:tc>
          <w:tcPr>
            <w:tcW w:w="1062" w:type="dxa"/>
            <w:vAlign w:val="center"/>
          </w:tcPr>
          <w:p w14:paraId="71F9B786" w14:textId="26EECC31" w:rsidR="003A29DC" w:rsidRDefault="003A29DC" w:rsidP="00963BA3">
            <w:pPr>
              <w:jc w:val="center"/>
              <w:rPr>
                <w:rFonts w:ascii="Times New Roman" w:hAnsi="Times New Roman" w:cs="Times New Roman"/>
              </w:rPr>
            </w:pPr>
            <w:r>
              <w:rPr>
                <w:rFonts w:ascii="Helvetica" w:hAnsi="Helvetica" w:cs="Helvetica"/>
                <w:color w:val="000000"/>
                <w:sz w:val="18"/>
                <w:szCs w:val="18"/>
              </w:rPr>
              <w:t>2.417746</w:t>
            </w:r>
          </w:p>
        </w:tc>
        <w:tc>
          <w:tcPr>
            <w:tcW w:w="999" w:type="dxa"/>
            <w:vAlign w:val="center"/>
          </w:tcPr>
          <w:p w14:paraId="140293B5" w14:textId="0D151C6D" w:rsidR="003A29DC" w:rsidRDefault="003A29DC" w:rsidP="00963BA3">
            <w:pPr>
              <w:jc w:val="center"/>
              <w:rPr>
                <w:rFonts w:ascii="Times New Roman" w:hAnsi="Times New Roman" w:cs="Times New Roman"/>
              </w:rPr>
            </w:pPr>
            <w:r>
              <w:rPr>
                <w:rFonts w:ascii="Helvetica" w:hAnsi="Helvetica" w:cs="Helvetica"/>
                <w:color w:val="000000"/>
                <w:sz w:val="18"/>
                <w:szCs w:val="18"/>
              </w:rPr>
              <w:t>2.454255</w:t>
            </w:r>
          </w:p>
        </w:tc>
        <w:tc>
          <w:tcPr>
            <w:tcW w:w="1208" w:type="dxa"/>
            <w:vAlign w:val="center"/>
          </w:tcPr>
          <w:p w14:paraId="41E93C54" w14:textId="0B220EBD" w:rsidR="003A29DC" w:rsidRDefault="003A29DC" w:rsidP="00963BA3">
            <w:pPr>
              <w:jc w:val="center"/>
              <w:rPr>
                <w:rFonts w:ascii="Times New Roman" w:hAnsi="Times New Roman" w:cs="Times New Roman"/>
              </w:rPr>
            </w:pPr>
            <w:r>
              <w:rPr>
                <w:rFonts w:ascii="Helvetica" w:hAnsi="Helvetica" w:cs="Helvetica"/>
                <w:color w:val="000000"/>
                <w:sz w:val="18"/>
                <w:szCs w:val="18"/>
              </w:rPr>
              <w:t>2.393406</w:t>
            </w:r>
          </w:p>
        </w:tc>
        <w:tc>
          <w:tcPr>
            <w:tcW w:w="1208" w:type="dxa"/>
            <w:vAlign w:val="center"/>
          </w:tcPr>
          <w:p w14:paraId="2BBC377C" w14:textId="38A876C1" w:rsidR="003A29DC" w:rsidRDefault="003A29DC" w:rsidP="00963BA3">
            <w:pPr>
              <w:jc w:val="center"/>
              <w:rPr>
                <w:rFonts w:ascii="Times New Roman" w:hAnsi="Times New Roman" w:cs="Times New Roman"/>
              </w:rPr>
            </w:pPr>
            <w:r>
              <w:rPr>
                <w:rFonts w:ascii="Helvetica" w:hAnsi="Helvetica" w:cs="Helvetica"/>
                <w:color w:val="000000"/>
                <w:sz w:val="18"/>
                <w:szCs w:val="18"/>
              </w:rPr>
              <w:t>2.413689</w:t>
            </w:r>
          </w:p>
        </w:tc>
        <w:tc>
          <w:tcPr>
            <w:tcW w:w="1187" w:type="dxa"/>
            <w:vAlign w:val="center"/>
          </w:tcPr>
          <w:p w14:paraId="6EA96922" w14:textId="11E352DA" w:rsidR="003A29DC" w:rsidRDefault="003A29DC" w:rsidP="00963BA3">
            <w:pPr>
              <w:jc w:val="center"/>
              <w:rPr>
                <w:rFonts w:ascii="Times New Roman" w:hAnsi="Times New Roman" w:cs="Times New Roman"/>
              </w:rPr>
            </w:pPr>
            <w:r>
              <w:rPr>
                <w:rFonts w:ascii="Helvetica" w:hAnsi="Helvetica" w:cs="Helvetica"/>
                <w:color w:val="000000"/>
                <w:sz w:val="18"/>
                <w:szCs w:val="18"/>
              </w:rPr>
              <w:t>412000</w:t>
            </w:r>
          </w:p>
        </w:tc>
      </w:tr>
      <w:tr w:rsidR="003A29DC" w14:paraId="2041E45B" w14:textId="77777777" w:rsidTr="00963BA3">
        <w:trPr>
          <w:trHeight w:val="329"/>
          <w:jc w:val="center"/>
        </w:trPr>
        <w:tc>
          <w:tcPr>
            <w:tcW w:w="1772" w:type="dxa"/>
            <w:vAlign w:val="center"/>
          </w:tcPr>
          <w:p w14:paraId="6CA22432" w14:textId="35965988"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1996-01-03</w:t>
            </w:r>
          </w:p>
        </w:tc>
        <w:tc>
          <w:tcPr>
            <w:tcW w:w="1062" w:type="dxa"/>
            <w:vAlign w:val="center"/>
          </w:tcPr>
          <w:p w14:paraId="23538315" w14:textId="0D34C8A3" w:rsidR="003A29DC" w:rsidRDefault="003A29DC" w:rsidP="00963BA3">
            <w:pPr>
              <w:jc w:val="center"/>
              <w:rPr>
                <w:rFonts w:ascii="Times New Roman" w:hAnsi="Times New Roman" w:cs="Times New Roman"/>
              </w:rPr>
            </w:pPr>
            <w:r>
              <w:rPr>
                <w:rFonts w:ascii="Helvetica" w:hAnsi="Helvetica" w:cs="Helvetica"/>
                <w:color w:val="000000"/>
                <w:sz w:val="18"/>
                <w:szCs w:val="18"/>
              </w:rPr>
              <w:t>2.413689</w:t>
            </w:r>
          </w:p>
        </w:tc>
        <w:tc>
          <w:tcPr>
            <w:tcW w:w="999" w:type="dxa"/>
            <w:vAlign w:val="center"/>
          </w:tcPr>
          <w:p w14:paraId="55D88C47" w14:textId="069E0184" w:rsidR="003A29DC" w:rsidRDefault="003A29DC" w:rsidP="00963BA3">
            <w:pPr>
              <w:jc w:val="center"/>
              <w:rPr>
                <w:rFonts w:ascii="Times New Roman" w:hAnsi="Times New Roman" w:cs="Times New Roman"/>
              </w:rPr>
            </w:pPr>
            <w:r>
              <w:rPr>
                <w:rFonts w:ascii="Helvetica" w:hAnsi="Helvetica" w:cs="Helvetica"/>
                <w:color w:val="000000"/>
                <w:sz w:val="18"/>
                <w:szCs w:val="18"/>
              </w:rPr>
              <w:t>2.429916</w:t>
            </w:r>
          </w:p>
        </w:tc>
        <w:tc>
          <w:tcPr>
            <w:tcW w:w="1208" w:type="dxa"/>
            <w:vAlign w:val="center"/>
          </w:tcPr>
          <w:p w14:paraId="6F8A5CDA" w14:textId="04577F67" w:rsidR="003A29DC" w:rsidRDefault="003A29DC" w:rsidP="00963BA3">
            <w:pPr>
              <w:jc w:val="center"/>
              <w:rPr>
                <w:rFonts w:ascii="Times New Roman" w:hAnsi="Times New Roman" w:cs="Times New Roman"/>
              </w:rPr>
            </w:pPr>
            <w:r>
              <w:rPr>
                <w:rFonts w:ascii="Helvetica" w:hAnsi="Helvetica" w:cs="Helvetica"/>
                <w:color w:val="000000"/>
                <w:sz w:val="18"/>
                <w:szCs w:val="18"/>
              </w:rPr>
              <w:t>2.393406</w:t>
            </w:r>
          </w:p>
        </w:tc>
        <w:tc>
          <w:tcPr>
            <w:tcW w:w="1208" w:type="dxa"/>
            <w:vAlign w:val="center"/>
          </w:tcPr>
          <w:p w14:paraId="2A1907F7" w14:textId="0EF27BAF" w:rsidR="003A29DC" w:rsidRDefault="003A29DC" w:rsidP="00963BA3">
            <w:pPr>
              <w:jc w:val="center"/>
              <w:rPr>
                <w:rFonts w:ascii="Times New Roman" w:hAnsi="Times New Roman" w:cs="Times New Roman"/>
              </w:rPr>
            </w:pPr>
            <w:r>
              <w:rPr>
                <w:rFonts w:ascii="Helvetica" w:hAnsi="Helvetica" w:cs="Helvetica"/>
                <w:color w:val="000000"/>
                <w:sz w:val="18"/>
                <w:szCs w:val="18"/>
              </w:rPr>
              <w:t>2.421802</w:t>
            </w:r>
          </w:p>
        </w:tc>
        <w:tc>
          <w:tcPr>
            <w:tcW w:w="1187" w:type="dxa"/>
            <w:vAlign w:val="center"/>
          </w:tcPr>
          <w:p w14:paraId="1D535072" w14:textId="297C8AE3" w:rsidR="003A29DC" w:rsidRDefault="003A29DC" w:rsidP="00963BA3">
            <w:pPr>
              <w:jc w:val="center"/>
              <w:rPr>
                <w:rFonts w:ascii="Times New Roman" w:hAnsi="Times New Roman" w:cs="Times New Roman"/>
              </w:rPr>
            </w:pPr>
            <w:r>
              <w:rPr>
                <w:rFonts w:ascii="Helvetica" w:hAnsi="Helvetica" w:cs="Helvetica"/>
                <w:color w:val="000000"/>
                <w:sz w:val="18"/>
                <w:szCs w:val="18"/>
              </w:rPr>
              <w:t>284000</w:t>
            </w:r>
          </w:p>
        </w:tc>
      </w:tr>
      <w:tr w:rsidR="003A29DC" w14:paraId="26EFFD8C" w14:textId="77777777" w:rsidTr="00963BA3">
        <w:trPr>
          <w:trHeight w:val="329"/>
          <w:jc w:val="center"/>
        </w:trPr>
        <w:tc>
          <w:tcPr>
            <w:tcW w:w="1772" w:type="dxa"/>
            <w:vAlign w:val="center"/>
          </w:tcPr>
          <w:p w14:paraId="1AE240B7" w14:textId="03A99AD0"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1996-01-04</w:t>
            </w:r>
          </w:p>
        </w:tc>
        <w:tc>
          <w:tcPr>
            <w:tcW w:w="1062" w:type="dxa"/>
            <w:vAlign w:val="center"/>
          </w:tcPr>
          <w:p w14:paraId="74D97528" w14:textId="245BCFC6"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2.421802</w:t>
            </w:r>
          </w:p>
        </w:tc>
        <w:tc>
          <w:tcPr>
            <w:tcW w:w="999" w:type="dxa"/>
            <w:vAlign w:val="center"/>
          </w:tcPr>
          <w:p w14:paraId="55708713" w14:textId="42822364" w:rsidR="003A29DC" w:rsidRDefault="003A29DC" w:rsidP="00963BA3">
            <w:pPr>
              <w:jc w:val="center"/>
              <w:rPr>
                <w:rFonts w:ascii="Times New Roman" w:hAnsi="Times New Roman" w:cs="Times New Roman"/>
              </w:rPr>
            </w:pPr>
            <w:r>
              <w:rPr>
                <w:rFonts w:ascii="Helvetica" w:hAnsi="Helvetica" w:cs="Helvetica"/>
                <w:color w:val="000000"/>
                <w:sz w:val="18"/>
                <w:szCs w:val="18"/>
              </w:rPr>
              <w:t>2.417746</w:t>
            </w:r>
          </w:p>
        </w:tc>
        <w:tc>
          <w:tcPr>
            <w:tcW w:w="1208" w:type="dxa"/>
            <w:vAlign w:val="center"/>
          </w:tcPr>
          <w:p w14:paraId="58FAD45E" w14:textId="791529E2" w:rsidR="003A29DC" w:rsidRDefault="003A29DC" w:rsidP="00963BA3">
            <w:pPr>
              <w:jc w:val="center"/>
              <w:rPr>
                <w:rFonts w:ascii="Times New Roman" w:hAnsi="Times New Roman" w:cs="Times New Roman"/>
              </w:rPr>
            </w:pPr>
            <w:r>
              <w:rPr>
                <w:rFonts w:ascii="Helvetica" w:hAnsi="Helvetica" w:cs="Helvetica"/>
                <w:color w:val="000000"/>
                <w:sz w:val="18"/>
                <w:szCs w:val="18"/>
              </w:rPr>
              <w:t>2.385293</w:t>
            </w:r>
          </w:p>
        </w:tc>
        <w:tc>
          <w:tcPr>
            <w:tcW w:w="1208" w:type="dxa"/>
            <w:vAlign w:val="center"/>
          </w:tcPr>
          <w:p w14:paraId="29B20CA4" w14:textId="0542E595" w:rsidR="003A29DC" w:rsidRDefault="003A29DC" w:rsidP="00963BA3">
            <w:pPr>
              <w:jc w:val="center"/>
              <w:rPr>
                <w:rFonts w:ascii="Times New Roman" w:hAnsi="Times New Roman" w:cs="Times New Roman"/>
              </w:rPr>
            </w:pPr>
            <w:r>
              <w:rPr>
                <w:rFonts w:ascii="Helvetica" w:hAnsi="Helvetica" w:cs="Helvetica"/>
                <w:color w:val="000000"/>
                <w:sz w:val="18"/>
                <w:szCs w:val="18"/>
              </w:rPr>
              <w:t>2.405576</w:t>
            </w:r>
          </w:p>
        </w:tc>
        <w:tc>
          <w:tcPr>
            <w:tcW w:w="1187" w:type="dxa"/>
            <w:vAlign w:val="center"/>
          </w:tcPr>
          <w:p w14:paraId="2E9BB809" w14:textId="5E768BDF" w:rsidR="003A29DC" w:rsidRDefault="003A29DC" w:rsidP="00963BA3">
            <w:pPr>
              <w:jc w:val="center"/>
              <w:rPr>
                <w:rFonts w:ascii="Times New Roman" w:hAnsi="Times New Roman" w:cs="Times New Roman"/>
              </w:rPr>
            </w:pPr>
            <w:r>
              <w:rPr>
                <w:rFonts w:ascii="Helvetica" w:hAnsi="Helvetica" w:cs="Helvetica"/>
                <w:color w:val="000000"/>
                <w:sz w:val="18"/>
                <w:szCs w:val="18"/>
              </w:rPr>
              <w:t>282000</w:t>
            </w:r>
          </w:p>
        </w:tc>
      </w:tr>
      <w:tr w:rsidR="003A29DC" w14:paraId="1A45C7D4" w14:textId="77777777" w:rsidTr="00963BA3">
        <w:trPr>
          <w:trHeight w:val="329"/>
          <w:jc w:val="center"/>
        </w:trPr>
        <w:tc>
          <w:tcPr>
            <w:tcW w:w="1772" w:type="dxa"/>
            <w:tcBorders>
              <w:bottom w:val="single" w:sz="24" w:space="0" w:color="auto"/>
            </w:tcBorders>
            <w:vAlign w:val="center"/>
          </w:tcPr>
          <w:p w14:paraId="5FDEBA40" w14:textId="49F928CE"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1996-01-05</w:t>
            </w:r>
          </w:p>
        </w:tc>
        <w:tc>
          <w:tcPr>
            <w:tcW w:w="1062" w:type="dxa"/>
            <w:tcBorders>
              <w:bottom w:val="single" w:sz="24" w:space="0" w:color="auto"/>
            </w:tcBorders>
            <w:vAlign w:val="center"/>
          </w:tcPr>
          <w:p w14:paraId="7E9C13A5" w14:textId="55E1A531" w:rsidR="003A29DC" w:rsidRDefault="003A29DC" w:rsidP="00963BA3">
            <w:pPr>
              <w:jc w:val="center"/>
              <w:rPr>
                <w:rFonts w:ascii="Times New Roman" w:hAnsi="Times New Roman" w:cs="Times New Roman"/>
              </w:rPr>
            </w:pPr>
            <w:r>
              <w:rPr>
                <w:rFonts w:ascii="Helvetica" w:hAnsi="Helvetica" w:cs="Helvetica"/>
                <w:color w:val="000000"/>
                <w:sz w:val="18"/>
                <w:szCs w:val="18"/>
              </w:rPr>
              <w:t>2.405576</w:t>
            </w:r>
          </w:p>
        </w:tc>
        <w:tc>
          <w:tcPr>
            <w:tcW w:w="999" w:type="dxa"/>
            <w:tcBorders>
              <w:bottom w:val="single" w:sz="24" w:space="0" w:color="auto"/>
            </w:tcBorders>
            <w:vAlign w:val="center"/>
          </w:tcPr>
          <w:p w14:paraId="44AA9E72" w14:textId="7D331965" w:rsidR="003A29DC" w:rsidRDefault="003A29DC" w:rsidP="00963BA3">
            <w:pPr>
              <w:jc w:val="center"/>
              <w:rPr>
                <w:rFonts w:ascii="Times New Roman" w:hAnsi="Times New Roman" w:cs="Times New Roman"/>
              </w:rPr>
            </w:pPr>
            <w:r>
              <w:rPr>
                <w:rFonts w:ascii="Helvetica" w:hAnsi="Helvetica" w:cs="Helvetica"/>
                <w:color w:val="000000"/>
                <w:sz w:val="18"/>
                <w:szCs w:val="18"/>
              </w:rPr>
              <w:t>2.417746</w:t>
            </w:r>
          </w:p>
        </w:tc>
        <w:tc>
          <w:tcPr>
            <w:tcW w:w="1208" w:type="dxa"/>
            <w:tcBorders>
              <w:bottom w:val="single" w:sz="24" w:space="0" w:color="auto"/>
            </w:tcBorders>
            <w:vAlign w:val="center"/>
          </w:tcPr>
          <w:p w14:paraId="608D5ED8" w14:textId="79EDECC5" w:rsidR="003A29DC" w:rsidRDefault="003A29DC" w:rsidP="00963BA3">
            <w:pPr>
              <w:jc w:val="center"/>
              <w:rPr>
                <w:rFonts w:ascii="Times New Roman" w:hAnsi="Times New Roman" w:cs="Times New Roman"/>
              </w:rPr>
            </w:pPr>
            <w:r>
              <w:rPr>
                <w:rFonts w:ascii="Helvetica" w:hAnsi="Helvetica" w:cs="Helvetica"/>
                <w:color w:val="000000"/>
                <w:sz w:val="18"/>
                <w:szCs w:val="18"/>
              </w:rPr>
              <w:t>2.393406</w:t>
            </w:r>
          </w:p>
        </w:tc>
        <w:tc>
          <w:tcPr>
            <w:tcW w:w="1208" w:type="dxa"/>
            <w:tcBorders>
              <w:bottom w:val="single" w:sz="24" w:space="0" w:color="auto"/>
            </w:tcBorders>
            <w:vAlign w:val="center"/>
          </w:tcPr>
          <w:p w14:paraId="2A7C5FBC" w14:textId="1A0400BD" w:rsidR="003A29DC" w:rsidRDefault="003A29DC" w:rsidP="00963BA3">
            <w:pPr>
              <w:jc w:val="center"/>
              <w:rPr>
                <w:rFonts w:ascii="Times New Roman" w:hAnsi="Times New Roman" w:cs="Times New Roman"/>
              </w:rPr>
            </w:pPr>
            <w:r>
              <w:rPr>
                <w:rFonts w:ascii="Helvetica" w:hAnsi="Helvetica" w:cs="Helvetica"/>
                <w:color w:val="000000"/>
                <w:sz w:val="18"/>
                <w:szCs w:val="18"/>
              </w:rPr>
              <w:t>2.401519</w:t>
            </w:r>
          </w:p>
        </w:tc>
        <w:tc>
          <w:tcPr>
            <w:tcW w:w="1187" w:type="dxa"/>
            <w:tcBorders>
              <w:bottom w:val="single" w:sz="24" w:space="0" w:color="auto"/>
            </w:tcBorders>
            <w:vAlign w:val="center"/>
          </w:tcPr>
          <w:p w14:paraId="00716BEB" w14:textId="5291680A" w:rsidR="003A29DC" w:rsidRPr="003A29DC" w:rsidRDefault="003A29DC" w:rsidP="00963BA3">
            <w:pPr>
              <w:jc w:val="center"/>
            </w:pPr>
            <w:r>
              <w:rPr>
                <w:rFonts w:ascii="Helvetica" w:hAnsi="Helvetica" w:cs="Helvetica"/>
                <w:color w:val="000000"/>
                <w:sz w:val="18"/>
                <w:szCs w:val="18"/>
              </w:rPr>
              <w:t>189000</w:t>
            </w:r>
          </w:p>
        </w:tc>
      </w:tr>
    </w:tbl>
    <w:p w14:paraId="77B311C3" w14:textId="416AD090" w:rsidR="003A29DC" w:rsidRDefault="003A29DC" w:rsidP="00A01151">
      <w:pPr>
        <w:jc w:val="both"/>
        <w:rPr>
          <w:rFonts w:ascii="Times New Roman" w:hAnsi="Times New Roman" w:cs="Times New Roman"/>
        </w:rPr>
      </w:pPr>
    </w:p>
    <w:p w14:paraId="39CFF875" w14:textId="5D746F8A" w:rsidR="003A29DC" w:rsidRDefault="003A29DC" w:rsidP="00963BA3">
      <w:pPr>
        <w:jc w:val="center"/>
        <w:rPr>
          <w:rFonts w:ascii="Times New Roman" w:hAnsi="Times New Roman" w:cs="Times New Roman"/>
        </w:rPr>
      </w:pPr>
      <w:r>
        <w:rPr>
          <w:rFonts w:ascii="Times New Roman" w:hAnsi="Times New Roman" w:cs="Times New Roman"/>
        </w:rPr>
        <w:t>Table 2: Stock Symbols (Ticker) of the stocks used in the study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45"/>
        <w:gridCol w:w="1585"/>
        <w:gridCol w:w="2330"/>
        <w:gridCol w:w="2115"/>
      </w:tblGrid>
      <w:tr w:rsidR="003A29DC" w14:paraId="0D25521F" w14:textId="77777777" w:rsidTr="00963BA3">
        <w:trPr>
          <w:trHeight w:val="353"/>
          <w:jc w:val="center"/>
        </w:trPr>
        <w:tc>
          <w:tcPr>
            <w:tcW w:w="2645" w:type="dxa"/>
            <w:tcBorders>
              <w:top w:val="single" w:sz="24" w:space="0" w:color="auto"/>
              <w:bottom w:val="single" w:sz="12" w:space="0" w:color="auto"/>
            </w:tcBorders>
            <w:vAlign w:val="center"/>
          </w:tcPr>
          <w:p w14:paraId="13B4A456" w14:textId="260F149E" w:rsidR="003A29DC" w:rsidRPr="003A29DC" w:rsidRDefault="003A29DC" w:rsidP="00963BA3">
            <w:pPr>
              <w:jc w:val="center"/>
              <w:rPr>
                <w:rFonts w:ascii="Times New Roman" w:hAnsi="Times New Roman" w:cs="Times New Roman"/>
                <w:b/>
                <w:bCs/>
              </w:rPr>
            </w:pPr>
            <w:r>
              <w:rPr>
                <w:rFonts w:ascii="Times New Roman" w:hAnsi="Times New Roman" w:cs="Times New Roman"/>
                <w:b/>
                <w:bCs/>
              </w:rPr>
              <w:t>Stock Name</w:t>
            </w:r>
          </w:p>
        </w:tc>
        <w:tc>
          <w:tcPr>
            <w:tcW w:w="1585" w:type="dxa"/>
            <w:tcBorders>
              <w:top w:val="single" w:sz="24" w:space="0" w:color="auto"/>
              <w:bottom w:val="single" w:sz="12" w:space="0" w:color="auto"/>
            </w:tcBorders>
            <w:vAlign w:val="center"/>
          </w:tcPr>
          <w:p w14:paraId="14113E21" w14:textId="33E012D0" w:rsidR="003A29DC" w:rsidRPr="003A29DC" w:rsidRDefault="003A29DC" w:rsidP="00963BA3">
            <w:pPr>
              <w:jc w:val="center"/>
              <w:rPr>
                <w:rFonts w:ascii="Times New Roman" w:hAnsi="Times New Roman" w:cs="Times New Roman"/>
                <w:b/>
                <w:bCs/>
              </w:rPr>
            </w:pPr>
            <w:r>
              <w:rPr>
                <w:rFonts w:ascii="Times New Roman" w:hAnsi="Times New Roman" w:cs="Times New Roman"/>
                <w:b/>
                <w:bCs/>
              </w:rPr>
              <w:t>Stock Symbol (Ticker)</w:t>
            </w:r>
          </w:p>
        </w:tc>
        <w:tc>
          <w:tcPr>
            <w:tcW w:w="2330" w:type="dxa"/>
            <w:tcBorders>
              <w:top w:val="single" w:sz="24" w:space="0" w:color="auto"/>
              <w:bottom w:val="single" w:sz="12" w:space="0" w:color="auto"/>
            </w:tcBorders>
            <w:vAlign w:val="center"/>
          </w:tcPr>
          <w:p w14:paraId="74892504" w14:textId="1349CE0A" w:rsidR="003A29DC" w:rsidRPr="003A29DC" w:rsidRDefault="003A29DC" w:rsidP="00963BA3">
            <w:pPr>
              <w:jc w:val="center"/>
              <w:rPr>
                <w:rFonts w:ascii="Times New Roman" w:hAnsi="Times New Roman" w:cs="Times New Roman"/>
                <w:b/>
                <w:bCs/>
              </w:rPr>
            </w:pPr>
            <w:r>
              <w:rPr>
                <w:rFonts w:ascii="Times New Roman" w:hAnsi="Times New Roman" w:cs="Times New Roman"/>
                <w:b/>
                <w:bCs/>
              </w:rPr>
              <w:t>Stock Exchange</w:t>
            </w:r>
          </w:p>
        </w:tc>
        <w:tc>
          <w:tcPr>
            <w:tcW w:w="2115" w:type="dxa"/>
            <w:tcBorders>
              <w:top w:val="single" w:sz="24" w:space="0" w:color="auto"/>
              <w:bottom w:val="single" w:sz="12" w:space="0" w:color="auto"/>
            </w:tcBorders>
            <w:vAlign w:val="center"/>
          </w:tcPr>
          <w:p w14:paraId="4C5E1106" w14:textId="5C0F12DF" w:rsidR="003A29DC" w:rsidRPr="003A29DC" w:rsidRDefault="003A29DC" w:rsidP="00963BA3">
            <w:pPr>
              <w:jc w:val="center"/>
              <w:rPr>
                <w:rFonts w:ascii="Times New Roman" w:hAnsi="Times New Roman" w:cs="Times New Roman"/>
                <w:b/>
                <w:bCs/>
              </w:rPr>
            </w:pPr>
            <w:r>
              <w:rPr>
                <w:rFonts w:ascii="Times New Roman" w:hAnsi="Times New Roman" w:cs="Times New Roman"/>
                <w:b/>
                <w:bCs/>
              </w:rPr>
              <w:t>Currency</w:t>
            </w:r>
          </w:p>
        </w:tc>
      </w:tr>
      <w:tr w:rsidR="003A29DC" w14:paraId="69C086A2" w14:textId="77777777" w:rsidTr="00963BA3">
        <w:trPr>
          <w:trHeight w:val="305"/>
          <w:jc w:val="center"/>
        </w:trPr>
        <w:tc>
          <w:tcPr>
            <w:tcW w:w="2645" w:type="dxa"/>
            <w:tcBorders>
              <w:top w:val="single" w:sz="12" w:space="0" w:color="auto"/>
            </w:tcBorders>
            <w:vAlign w:val="center"/>
          </w:tcPr>
          <w:p w14:paraId="6BCC1C37" w14:textId="567CA900" w:rsidR="003A29DC" w:rsidRDefault="003A29DC" w:rsidP="00963BA3">
            <w:pPr>
              <w:jc w:val="center"/>
              <w:rPr>
                <w:rFonts w:ascii="Times New Roman" w:hAnsi="Times New Roman" w:cs="Times New Roman"/>
              </w:rPr>
            </w:pPr>
            <w:r>
              <w:rPr>
                <w:rFonts w:ascii="Helvetica" w:hAnsi="Helvetica" w:cs="Helvetica"/>
                <w:b/>
                <w:bCs/>
                <w:color w:val="000000"/>
                <w:sz w:val="18"/>
                <w:szCs w:val="18"/>
              </w:rPr>
              <w:t>Alphabet Inc. (Google)</w:t>
            </w:r>
          </w:p>
        </w:tc>
        <w:tc>
          <w:tcPr>
            <w:tcW w:w="1585" w:type="dxa"/>
            <w:tcBorders>
              <w:top w:val="single" w:sz="12" w:space="0" w:color="auto"/>
            </w:tcBorders>
            <w:vAlign w:val="center"/>
          </w:tcPr>
          <w:p w14:paraId="10636996" w14:textId="3FE906E2" w:rsidR="003A29DC" w:rsidRDefault="003A29DC" w:rsidP="00963BA3">
            <w:pPr>
              <w:jc w:val="center"/>
              <w:rPr>
                <w:rFonts w:ascii="Times New Roman" w:hAnsi="Times New Roman" w:cs="Times New Roman"/>
              </w:rPr>
            </w:pPr>
            <w:r>
              <w:rPr>
                <w:rFonts w:ascii="Helvetica" w:hAnsi="Helvetica" w:cs="Helvetica"/>
                <w:color w:val="000000"/>
                <w:sz w:val="18"/>
                <w:szCs w:val="18"/>
              </w:rPr>
              <w:t>GOOG</w:t>
            </w:r>
          </w:p>
        </w:tc>
        <w:tc>
          <w:tcPr>
            <w:tcW w:w="2330" w:type="dxa"/>
            <w:tcBorders>
              <w:top w:val="single" w:sz="12" w:space="0" w:color="auto"/>
            </w:tcBorders>
            <w:vAlign w:val="center"/>
          </w:tcPr>
          <w:p w14:paraId="50D65FDB" w14:textId="7FEFA341" w:rsidR="003A29DC" w:rsidRDefault="003A29DC" w:rsidP="00963BA3">
            <w:pPr>
              <w:jc w:val="center"/>
              <w:rPr>
                <w:rFonts w:ascii="Times New Roman" w:hAnsi="Times New Roman" w:cs="Times New Roman"/>
              </w:rPr>
            </w:pPr>
            <w:r>
              <w:rPr>
                <w:rFonts w:ascii="Helvetica" w:hAnsi="Helvetica" w:cs="Helvetica"/>
                <w:color w:val="000000"/>
                <w:sz w:val="18"/>
                <w:szCs w:val="18"/>
              </w:rPr>
              <w:t>NASDAQ Global Select Market</w:t>
            </w:r>
          </w:p>
        </w:tc>
        <w:tc>
          <w:tcPr>
            <w:tcW w:w="2115" w:type="dxa"/>
            <w:tcBorders>
              <w:top w:val="single" w:sz="12" w:space="0" w:color="auto"/>
            </w:tcBorders>
            <w:vAlign w:val="center"/>
          </w:tcPr>
          <w:p w14:paraId="4B282F85" w14:textId="0C6F5370"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USD</w:t>
            </w:r>
          </w:p>
        </w:tc>
      </w:tr>
      <w:tr w:rsidR="003A29DC" w14:paraId="16BB5BC5" w14:textId="77777777" w:rsidTr="00963BA3">
        <w:trPr>
          <w:trHeight w:val="290"/>
          <w:jc w:val="center"/>
        </w:trPr>
        <w:tc>
          <w:tcPr>
            <w:tcW w:w="2645" w:type="dxa"/>
            <w:vAlign w:val="center"/>
          </w:tcPr>
          <w:p w14:paraId="19F9D882" w14:textId="0A1D797A" w:rsidR="003A29DC" w:rsidRDefault="003A29DC" w:rsidP="00963BA3">
            <w:pPr>
              <w:jc w:val="center"/>
              <w:rPr>
                <w:rFonts w:ascii="Times New Roman" w:hAnsi="Times New Roman" w:cs="Times New Roman"/>
              </w:rPr>
            </w:pPr>
            <w:r>
              <w:rPr>
                <w:rFonts w:ascii="Helvetica" w:hAnsi="Helvetica" w:cs="Helvetica"/>
                <w:b/>
                <w:bCs/>
                <w:color w:val="000000"/>
                <w:sz w:val="18"/>
                <w:szCs w:val="18"/>
              </w:rPr>
              <w:t>Apple Inc</w:t>
            </w:r>
          </w:p>
        </w:tc>
        <w:tc>
          <w:tcPr>
            <w:tcW w:w="1585" w:type="dxa"/>
            <w:vAlign w:val="center"/>
          </w:tcPr>
          <w:p w14:paraId="20F3BD08" w14:textId="2B555E88" w:rsidR="003A29DC" w:rsidRDefault="003A29DC" w:rsidP="00963BA3">
            <w:pPr>
              <w:jc w:val="center"/>
              <w:rPr>
                <w:rFonts w:ascii="Times New Roman" w:hAnsi="Times New Roman" w:cs="Times New Roman"/>
              </w:rPr>
            </w:pPr>
            <w:r>
              <w:rPr>
                <w:rFonts w:ascii="Helvetica" w:hAnsi="Helvetica" w:cs="Helvetica"/>
                <w:color w:val="000000"/>
                <w:sz w:val="18"/>
                <w:szCs w:val="18"/>
              </w:rPr>
              <w:t>AAPL</w:t>
            </w:r>
          </w:p>
        </w:tc>
        <w:tc>
          <w:tcPr>
            <w:tcW w:w="2330" w:type="dxa"/>
            <w:vAlign w:val="center"/>
          </w:tcPr>
          <w:p w14:paraId="41A7B286" w14:textId="47B0AD96" w:rsidR="003A29DC" w:rsidRDefault="003A29DC" w:rsidP="00963BA3">
            <w:pPr>
              <w:jc w:val="center"/>
              <w:rPr>
                <w:rFonts w:ascii="Times New Roman" w:hAnsi="Times New Roman" w:cs="Times New Roman"/>
              </w:rPr>
            </w:pPr>
            <w:r>
              <w:rPr>
                <w:rFonts w:ascii="Helvetica" w:hAnsi="Helvetica" w:cs="Helvetica"/>
                <w:color w:val="000000"/>
                <w:sz w:val="18"/>
                <w:szCs w:val="18"/>
              </w:rPr>
              <w:t>NASDAQ Global Select Market</w:t>
            </w:r>
          </w:p>
        </w:tc>
        <w:tc>
          <w:tcPr>
            <w:tcW w:w="2115" w:type="dxa"/>
            <w:vAlign w:val="center"/>
          </w:tcPr>
          <w:p w14:paraId="5978979E" w14:textId="7CC24ACF" w:rsidR="003A29DC" w:rsidRDefault="003A29DC" w:rsidP="00963BA3">
            <w:pPr>
              <w:jc w:val="center"/>
              <w:rPr>
                <w:rFonts w:ascii="Times New Roman" w:hAnsi="Times New Roman" w:cs="Times New Roman"/>
              </w:rPr>
            </w:pPr>
            <w:r>
              <w:rPr>
                <w:rFonts w:ascii="Helvetica" w:hAnsi="Helvetica" w:cs="Helvetica"/>
                <w:color w:val="000000"/>
                <w:sz w:val="18"/>
                <w:szCs w:val="18"/>
              </w:rPr>
              <w:t>USD</w:t>
            </w:r>
          </w:p>
        </w:tc>
      </w:tr>
      <w:tr w:rsidR="003A29DC" w14:paraId="6D525BBB" w14:textId="77777777" w:rsidTr="00963BA3">
        <w:trPr>
          <w:trHeight w:val="290"/>
          <w:jc w:val="center"/>
        </w:trPr>
        <w:tc>
          <w:tcPr>
            <w:tcW w:w="2645" w:type="dxa"/>
            <w:vAlign w:val="center"/>
          </w:tcPr>
          <w:p w14:paraId="2CBC54DB" w14:textId="031032F5" w:rsidR="003A29DC" w:rsidRDefault="003A29DC" w:rsidP="00963BA3">
            <w:pPr>
              <w:jc w:val="center"/>
              <w:rPr>
                <w:rFonts w:ascii="Times New Roman" w:hAnsi="Times New Roman" w:cs="Times New Roman"/>
              </w:rPr>
            </w:pPr>
            <w:r>
              <w:rPr>
                <w:rFonts w:ascii="Helvetica" w:hAnsi="Helvetica" w:cs="Helvetica"/>
                <w:b/>
                <w:bCs/>
                <w:color w:val="000000"/>
                <w:sz w:val="18"/>
                <w:szCs w:val="18"/>
              </w:rPr>
              <w:t>HDFC Bank Limited</w:t>
            </w:r>
          </w:p>
        </w:tc>
        <w:tc>
          <w:tcPr>
            <w:tcW w:w="1585" w:type="dxa"/>
            <w:vAlign w:val="center"/>
          </w:tcPr>
          <w:p w14:paraId="5010298D" w14:textId="5A2439EE" w:rsidR="003A29DC" w:rsidRDefault="003A29DC" w:rsidP="00963BA3">
            <w:pPr>
              <w:jc w:val="center"/>
              <w:rPr>
                <w:rFonts w:ascii="Times New Roman" w:hAnsi="Times New Roman" w:cs="Times New Roman"/>
              </w:rPr>
            </w:pPr>
            <w:r>
              <w:rPr>
                <w:rFonts w:ascii="Helvetica" w:hAnsi="Helvetica" w:cs="Helvetica"/>
                <w:color w:val="000000"/>
                <w:sz w:val="18"/>
                <w:szCs w:val="18"/>
              </w:rPr>
              <w:t>HDFCBANK.NS</w:t>
            </w:r>
          </w:p>
        </w:tc>
        <w:tc>
          <w:tcPr>
            <w:tcW w:w="2330" w:type="dxa"/>
            <w:vAlign w:val="center"/>
          </w:tcPr>
          <w:p w14:paraId="1716F7D1" w14:textId="7EB72668" w:rsidR="003A29DC" w:rsidRDefault="003A29DC" w:rsidP="00963BA3">
            <w:pPr>
              <w:jc w:val="center"/>
              <w:rPr>
                <w:rFonts w:ascii="Times New Roman" w:hAnsi="Times New Roman" w:cs="Times New Roman"/>
              </w:rPr>
            </w:pPr>
            <w:r>
              <w:rPr>
                <w:rFonts w:ascii="Helvetica" w:hAnsi="Helvetica" w:cs="Helvetica"/>
                <w:color w:val="000000"/>
                <w:sz w:val="18"/>
                <w:szCs w:val="18"/>
              </w:rPr>
              <w:t>National Stock Exchange</w:t>
            </w:r>
          </w:p>
        </w:tc>
        <w:tc>
          <w:tcPr>
            <w:tcW w:w="2115" w:type="dxa"/>
            <w:vAlign w:val="center"/>
          </w:tcPr>
          <w:p w14:paraId="672DCE7C" w14:textId="5D0B48A9" w:rsidR="003A29DC" w:rsidRDefault="003A29DC" w:rsidP="00963BA3">
            <w:pPr>
              <w:jc w:val="center"/>
              <w:rPr>
                <w:rFonts w:ascii="Times New Roman" w:hAnsi="Times New Roman" w:cs="Times New Roman"/>
              </w:rPr>
            </w:pPr>
            <w:r>
              <w:rPr>
                <w:rFonts w:ascii="Helvetica" w:hAnsi="Helvetica" w:cs="Helvetica"/>
                <w:color w:val="000000"/>
                <w:sz w:val="18"/>
                <w:szCs w:val="18"/>
              </w:rPr>
              <w:t>INR</w:t>
            </w:r>
          </w:p>
        </w:tc>
      </w:tr>
      <w:tr w:rsidR="003A29DC" w14:paraId="0C4C9A26" w14:textId="77777777" w:rsidTr="00963BA3">
        <w:trPr>
          <w:trHeight w:val="290"/>
          <w:jc w:val="center"/>
        </w:trPr>
        <w:tc>
          <w:tcPr>
            <w:tcW w:w="2645" w:type="dxa"/>
            <w:tcBorders>
              <w:bottom w:val="single" w:sz="24" w:space="0" w:color="auto"/>
            </w:tcBorders>
            <w:vAlign w:val="center"/>
          </w:tcPr>
          <w:p w14:paraId="0B95FD2A" w14:textId="35600E53" w:rsidR="003A29DC" w:rsidRDefault="003A29DC" w:rsidP="00963BA3">
            <w:pPr>
              <w:jc w:val="center"/>
              <w:rPr>
                <w:rFonts w:ascii="Times New Roman" w:hAnsi="Times New Roman" w:cs="Times New Roman"/>
              </w:rPr>
            </w:pPr>
            <w:r>
              <w:rPr>
                <w:rFonts w:ascii="Helvetica" w:hAnsi="Helvetica" w:cs="Helvetica"/>
                <w:b/>
                <w:bCs/>
                <w:color w:val="000000"/>
                <w:sz w:val="18"/>
                <w:szCs w:val="18"/>
              </w:rPr>
              <w:t>Reliance Industries Limited</w:t>
            </w:r>
          </w:p>
        </w:tc>
        <w:tc>
          <w:tcPr>
            <w:tcW w:w="1585" w:type="dxa"/>
            <w:tcBorders>
              <w:bottom w:val="single" w:sz="24" w:space="0" w:color="auto"/>
            </w:tcBorders>
            <w:vAlign w:val="center"/>
          </w:tcPr>
          <w:p w14:paraId="141DDAD9" w14:textId="348C5BD8"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RELIANCE.NS</w:t>
            </w:r>
          </w:p>
        </w:tc>
        <w:tc>
          <w:tcPr>
            <w:tcW w:w="2330" w:type="dxa"/>
            <w:tcBorders>
              <w:bottom w:val="single" w:sz="24" w:space="0" w:color="auto"/>
            </w:tcBorders>
            <w:vAlign w:val="center"/>
          </w:tcPr>
          <w:p w14:paraId="58617F36" w14:textId="25D7421A" w:rsidR="003A29DC" w:rsidRDefault="003A29DC" w:rsidP="00963BA3">
            <w:pPr>
              <w:jc w:val="center"/>
              <w:rPr>
                <w:rFonts w:ascii="Times New Roman" w:hAnsi="Times New Roman" w:cs="Times New Roman"/>
              </w:rPr>
            </w:pPr>
            <w:r>
              <w:rPr>
                <w:rFonts w:ascii="Helvetica" w:hAnsi="Helvetica" w:cs="Helvetica"/>
                <w:color w:val="000000"/>
                <w:sz w:val="18"/>
                <w:szCs w:val="18"/>
              </w:rPr>
              <w:t>National Stock Exchange</w:t>
            </w:r>
          </w:p>
        </w:tc>
        <w:tc>
          <w:tcPr>
            <w:tcW w:w="2115" w:type="dxa"/>
            <w:tcBorders>
              <w:bottom w:val="single" w:sz="24" w:space="0" w:color="auto"/>
            </w:tcBorders>
            <w:vAlign w:val="center"/>
          </w:tcPr>
          <w:p w14:paraId="2F5A264A" w14:textId="103B9D23" w:rsidR="003A29DC" w:rsidRDefault="003A29DC" w:rsidP="00963BA3">
            <w:pPr>
              <w:jc w:val="center"/>
              <w:rPr>
                <w:rFonts w:ascii="Times New Roman" w:hAnsi="Times New Roman" w:cs="Times New Roman"/>
              </w:rPr>
            </w:pPr>
            <w:r>
              <w:rPr>
                <w:rFonts w:ascii="Helvetica" w:hAnsi="Helvetica" w:cs="Helvetica"/>
                <w:color w:val="000000"/>
                <w:sz w:val="18"/>
                <w:szCs w:val="18"/>
              </w:rPr>
              <w:t>INR</w:t>
            </w:r>
          </w:p>
        </w:tc>
      </w:tr>
    </w:tbl>
    <w:p w14:paraId="56E7F246" w14:textId="4E0FB277" w:rsidR="003A29DC" w:rsidRDefault="003A29DC" w:rsidP="00963BA3">
      <w:pPr>
        <w:jc w:val="center"/>
        <w:rPr>
          <w:rFonts w:ascii="Times New Roman" w:hAnsi="Times New Roman" w:cs="Times New Roman"/>
        </w:rPr>
      </w:pPr>
    </w:p>
    <w:p w14:paraId="4B3E62F6" w14:textId="62F91A44" w:rsidR="003A29DC" w:rsidRDefault="00296A3F" w:rsidP="00A01151">
      <w:pPr>
        <w:jc w:val="both"/>
        <w:rPr>
          <w:rFonts w:ascii="Times New Roman" w:hAnsi="Times New Roman" w:cs="Times New Roman"/>
        </w:rPr>
      </w:pPr>
      <w:r>
        <w:rPr>
          <w:rFonts w:ascii="Times New Roman" w:hAnsi="Times New Roman" w:cs="Times New Roman"/>
          <w:noProof/>
        </w:rPr>
        <w:drawing>
          <wp:inline distT="0" distB="0" distL="0" distR="0" wp14:anchorId="6C17D680" wp14:editId="1E661D91">
            <wp:extent cx="2580005" cy="1753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6712" cy="1764652"/>
                    </a:xfrm>
                    <a:prstGeom prst="rect">
                      <a:avLst/>
                    </a:prstGeom>
                  </pic:spPr>
                </pic:pic>
              </a:graphicData>
            </a:graphic>
          </wp:inline>
        </w:drawing>
      </w:r>
      <w:r>
        <w:rPr>
          <w:rFonts w:ascii="Times New Roman" w:hAnsi="Times New Roman" w:cs="Times New Roman"/>
          <w:noProof/>
        </w:rPr>
        <w:drawing>
          <wp:inline distT="0" distB="0" distL="0" distR="0" wp14:anchorId="4F75068A" wp14:editId="77E4288F">
            <wp:extent cx="2551430" cy="175329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842" cy="1767326"/>
                    </a:xfrm>
                    <a:prstGeom prst="rect">
                      <a:avLst/>
                    </a:prstGeom>
                  </pic:spPr>
                </pic:pic>
              </a:graphicData>
            </a:graphic>
          </wp:inline>
        </w:drawing>
      </w:r>
      <w:r>
        <w:rPr>
          <w:rFonts w:ascii="Times New Roman" w:hAnsi="Times New Roman" w:cs="Times New Roman"/>
          <w:noProof/>
        </w:rPr>
        <w:drawing>
          <wp:inline distT="0" distB="0" distL="0" distR="0" wp14:anchorId="613EB468" wp14:editId="45D1DE49">
            <wp:extent cx="2820044" cy="19210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3807" cy="1971328"/>
                    </a:xfrm>
                    <a:prstGeom prst="rect">
                      <a:avLst/>
                    </a:prstGeom>
                  </pic:spPr>
                </pic:pic>
              </a:graphicData>
            </a:graphic>
          </wp:inline>
        </w:drawing>
      </w:r>
      <w:r>
        <w:rPr>
          <w:rFonts w:ascii="Times New Roman" w:hAnsi="Times New Roman" w:cs="Times New Roman"/>
          <w:noProof/>
        </w:rPr>
        <w:drawing>
          <wp:inline distT="0" distB="0" distL="0" distR="0" wp14:anchorId="42FEB812" wp14:editId="6E1646E1">
            <wp:extent cx="2803346" cy="192107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4759" cy="1963164"/>
                    </a:xfrm>
                    <a:prstGeom prst="rect">
                      <a:avLst/>
                    </a:prstGeom>
                  </pic:spPr>
                </pic:pic>
              </a:graphicData>
            </a:graphic>
          </wp:inline>
        </w:drawing>
      </w:r>
    </w:p>
    <w:p w14:paraId="326E13DC" w14:textId="1ED49828" w:rsidR="00296A3F" w:rsidRPr="00E320EB" w:rsidRDefault="00296A3F" w:rsidP="00296A3F">
      <w:pPr>
        <w:pStyle w:val="NormalWeb"/>
        <w:spacing w:before="0" w:beforeAutospacing="0" w:after="0" w:afterAutospacing="0"/>
        <w:jc w:val="center"/>
        <w:rPr>
          <w:color w:val="0E101A"/>
          <w:sz w:val="20"/>
          <w:szCs w:val="20"/>
        </w:rPr>
      </w:pPr>
      <w:r w:rsidRPr="00E320EB">
        <w:rPr>
          <w:color w:val="0E101A"/>
          <w:sz w:val="20"/>
          <w:szCs w:val="20"/>
        </w:rPr>
        <w:t xml:space="preserve">Figure </w:t>
      </w:r>
      <w:r>
        <w:rPr>
          <w:color w:val="0E101A"/>
          <w:sz w:val="20"/>
          <w:szCs w:val="20"/>
        </w:rPr>
        <w:t>2</w:t>
      </w:r>
      <w:r w:rsidRPr="00E320EB">
        <w:rPr>
          <w:color w:val="0E101A"/>
          <w:sz w:val="20"/>
          <w:szCs w:val="20"/>
        </w:rPr>
        <w:t xml:space="preserve">: </w:t>
      </w:r>
      <w:r>
        <w:rPr>
          <w:color w:val="0E101A"/>
          <w:sz w:val="20"/>
          <w:szCs w:val="20"/>
        </w:rPr>
        <w:t>Candle plots for the stocks considered (a) Apple Inc. (AAPLO (b) Google (GOOGL) (c) HDFC Bank Limited (HDFCBANK.NS) (d) Reliance Industries Limited (RELIANCE.NS)</w:t>
      </w:r>
    </w:p>
    <w:p w14:paraId="312281D7" w14:textId="62633757" w:rsidR="000E5B99" w:rsidRDefault="00B80503" w:rsidP="00B8050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34EF3A7" wp14:editId="2FA72083">
            <wp:extent cx="4338917" cy="2623176"/>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356360" cy="2633722"/>
                    </a:xfrm>
                    <a:prstGeom prst="rect">
                      <a:avLst/>
                    </a:prstGeom>
                  </pic:spPr>
                </pic:pic>
              </a:graphicData>
            </a:graphic>
          </wp:inline>
        </w:drawing>
      </w:r>
    </w:p>
    <w:p w14:paraId="619EABE0" w14:textId="7A9619A9" w:rsidR="00395ED7" w:rsidRPr="00E320EB" w:rsidRDefault="00395ED7" w:rsidP="00395ED7">
      <w:pPr>
        <w:pStyle w:val="NormalWeb"/>
        <w:spacing w:before="0" w:beforeAutospacing="0" w:after="0" w:afterAutospacing="0"/>
        <w:jc w:val="center"/>
        <w:rPr>
          <w:color w:val="0E101A"/>
          <w:sz w:val="20"/>
          <w:szCs w:val="20"/>
        </w:rPr>
      </w:pPr>
      <w:r w:rsidRPr="00E320EB">
        <w:rPr>
          <w:color w:val="0E101A"/>
          <w:sz w:val="20"/>
          <w:szCs w:val="20"/>
        </w:rPr>
        <w:t xml:space="preserve">Figure </w:t>
      </w:r>
      <w:r>
        <w:rPr>
          <w:color w:val="0E101A"/>
          <w:sz w:val="20"/>
          <w:szCs w:val="20"/>
        </w:rPr>
        <w:t>3</w:t>
      </w:r>
      <w:r w:rsidRPr="00E320EB">
        <w:rPr>
          <w:color w:val="0E101A"/>
          <w:sz w:val="20"/>
          <w:szCs w:val="20"/>
        </w:rPr>
        <w:t xml:space="preserve">: </w:t>
      </w:r>
      <w:r>
        <w:rPr>
          <w:color w:val="0E101A"/>
          <w:sz w:val="20"/>
          <w:szCs w:val="20"/>
        </w:rPr>
        <w:t xml:space="preserve">Opening Price of each day of the stocks considered </w:t>
      </w:r>
    </w:p>
    <w:p w14:paraId="263530D2" w14:textId="77777777" w:rsidR="00395ED7" w:rsidRDefault="00395ED7" w:rsidP="00A01151">
      <w:pPr>
        <w:jc w:val="both"/>
        <w:rPr>
          <w:rFonts w:ascii="Times New Roman" w:hAnsi="Times New Roman" w:cs="Times New Roman"/>
        </w:rPr>
      </w:pPr>
    </w:p>
    <w:p w14:paraId="6222F3D4" w14:textId="7341997E" w:rsidR="00963BA3" w:rsidRDefault="00963BA3" w:rsidP="00A01151">
      <w:pPr>
        <w:jc w:val="both"/>
        <w:rPr>
          <w:rFonts w:ascii="Times New Roman" w:hAnsi="Times New Roman" w:cs="Times New Roman"/>
        </w:rPr>
      </w:pPr>
      <w:r>
        <w:rPr>
          <w:rFonts w:ascii="Times New Roman" w:hAnsi="Times New Roman" w:cs="Times New Roman"/>
        </w:rPr>
        <w:t xml:space="preserve">Apart from storing the data related to the stock, we have stored the first date of each month in the six years considered. These first dates will be used in the data </w:t>
      </w:r>
      <w:proofErr w:type="spellStart"/>
      <w:r>
        <w:rPr>
          <w:rFonts w:ascii="Times New Roman" w:hAnsi="Times New Roman" w:cs="Times New Roman"/>
        </w:rPr>
        <w:t>preprocessing</w:t>
      </w:r>
      <w:proofErr w:type="spellEnd"/>
      <w:r>
        <w:rPr>
          <w:rFonts w:ascii="Times New Roman" w:hAnsi="Times New Roman" w:cs="Times New Roman"/>
        </w:rPr>
        <w:t xml:space="preserve"> module, as the strategy is to decide if we should stay in the market and trade for that particular month or move out with the existing amount. </w:t>
      </w:r>
    </w:p>
    <w:p w14:paraId="36AA5ABB" w14:textId="523DD7AC" w:rsidR="00963BA3" w:rsidRDefault="00395ED7" w:rsidP="00A01151">
      <w:pPr>
        <w:jc w:val="both"/>
        <w:rPr>
          <w:rFonts w:ascii="Times New Roman" w:hAnsi="Times New Roman" w:cs="Times New Roman"/>
        </w:rPr>
      </w:pPr>
      <w:r>
        <w:rPr>
          <w:rFonts w:ascii="Times New Roman" w:hAnsi="Times New Roman" w:cs="Times New Roman"/>
        </w:rPr>
        <w:t xml:space="preserve">3.2.1 Data </w:t>
      </w:r>
      <w:proofErr w:type="spellStart"/>
      <w:r>
        <w:rPr>
          <w:rFonts w:ascii="Times New Roman" w:hAnsi="Times New Roman" w:cs="Times New Roman"/>
        </w:rPr>
        <w:t>Preprocessing</w:t>
      </w:r>
      <w:proofErr w:type="spellEnd"/>
    </w:p>
    <w:p w14:paraId="39328BB9" w14:textId="55439311" w:rsidR="00B80503" w:rsidRDefault="00395ED7" w:rsidP="00A01151">
      <w:pPr>
        <w:jc w:val="both"/>
        <w:rPr>
          <w:rFonts w:ascii="Times New Roman" w:hAnsi="Times New Roman" w:cs="Times New Roman"/>
        </w:rPr>
      </w:pPr>
      <w:r>
        <w:rPr>
          <w:rFonts w:ascii="Times New Roman" w:hAnsi="Times New Roman" w:cs="Times New Roman"/>
        </w:rPr>
        <w:t xml:space="preserve">After dropping the extra columns, we converted the data obtained from the API from daily stock data to monthly stock data. The projection model will use this monthly data to decide if it is profitable to trade in the month by considering the historical data. </w:t>
      </w:r>
      <w:r w:rsidR="00B80503">
        <w:rPr>
          <w:rFonts w:ascii="Times New Roman" w:hAnsi="Times New Roman" w:cs="Times New Roman"/>
        </w:rPr>
        <w:t xml:space="preserve">We have calculated the moving average for 12 months (yearly) and 24 years after generating the monthly data. </w:t>
      </w:r>
      <w:r>
        <w:rPr>
          <w:rFonts w:ascii="Times New Roman" w:hAnsi="Times New Roman" w:cs="Times New Roman"/>
        </w:rPr>
        <w:t>This module also creates a six-year window of the past six years from the day of making predictions</w:t>
      </w:r>
      <w:r w:rsidR="00B80503">
        <w:rPr>
          <w:rFonts w:ascii="Times New Roman" w:hAnsi="Times New Roman" w:cs="Times New Roman"/>
        </w:rPr>
        <w:t xml:space="preserve">, which will be the final data for the LSTM network after scaling. </w:t>
      </w:r>
    </w:p>
    <w:p w14:paraId="1C6DCD18" w14:textId="5B50C443" w:rsidR="00B80503" w:rsidRDefault="00B80503" w:rsidP="00B80503">
      <w:pPr>
        <w:jc w:val="center"/>
        <w:rPr>
          <w:rFonts w:ascii="Times New Roman" w:hAnsi="Times New Roman" w:cs="Times New Roman"/>
        </w:rPr>
      </w:pPr>
      <w:r>
        <w:rPr>
          <w:rFonts w:ascii="Times New Roman" w:hAnsi="Times New Roman" w:cs="Times New Roman"/>
          <w:noProof/>
        </w:rPr>
        <w:drawing>
          <wp:inline distT="0" distB="0" distL="0" distR="0" wp14:anchorId="4486273D" wp14:editId="5D0989C6">
            <wp:extent cx="4367700" cy="31197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377987" cy="3127064"/>
                    </a:xfrm>
                    <a:prstGeom prst="rect">
                      <a:avLst/>
                    </a:prstGeom>
                  </pic:spPr>
                </pic:pic>
              </a:graphicData>
            </a:graphic>
          </wp:inline>
        </w:drawing>
      </w:r>
    </w:p>
    <w:p w14:paraId="2412CAE4" w14:textId="6187986C" w:rsidR="00B80503" w:rsidRDefault="00B80503" w:rsidP="00B80503">
      <w:pPr>
        <w:jc w:val="center"/>
        <w:rPr>
          <w:rFonts w:ascii="Times New Roman" w:hAnsi="Times New Roman" w:cs="Times New Roman"/>
        </w:rPr>
      </w:pPr>
      <w:r w:rsidRPr="00E320EB">
        <w:rPr>
          <w:color w:val="0E101A"/>
          <w:sz w:val="20"/>
          <w:szCs w:val="20"/>
        </w:rPr>
        <w:t xml:space="preserve">Figure </w:t>
      </w:r>
      <w:r>
        <w:rPr>
          <w:color w:val="0E101A"/>
          <w:sz w:val="20"/>
          <w:szCs w:val="20"/>
        </w:rPr>
        <w:t>3</w:t>
      </w:r>
      <w:r w:rsidRPr="00E320EB">
        <w:rPr>
          <w:color w:val="0E101A"/>
          <w:sz w:val="20"/>
          <w:szCs w:val="20"/>
        </w:rPr>
        <w:t xml:space="preserve">: </w:t>
      </w:r>
      <w:r>
        <w:rPr>
          <w:color w:val="0E101A"/>
          <w:sz w:val="20"/>
          <w:szCs w:val="20"/>
        </w:rPr>
        <w:t>Opening Prices of the considered stocks for the first trading day of each month</w:t>
      </w:r>
    </w:p>
    <w:p w14:paraId="04FEEDCF" w14:textId="5D925866" w:rsidR="00395ED7" w:rsidRDefault="00395ED7" w:rsidP="00A01151">
      <w:pPr>
        <w:jc w:val="both"/>
        <w:rPr>
          <w:rFonts w:ascii="Times New Roman" w:hAnsi="Times New Roman" w:cs="Times New Roman"/>
        </w:rPr>
      </w:pPr>
    </w:p>
    <w:p w14:paraId="3A9ECE16" w14:textId="3B85279B" w:rsidR="00A01151" w:rsidRDefault="00A01151" w:rsidP="00A01151">
      <w:pPr>
        <w:jc w:val="both"/>
        <w:rPr>
          <w:rFonts w:ascii="Times New Roman" w:hAnsi="Times New Roman" w:cs="Times New Roman"/>
          <w:sz w:val="28"/>
          <w:szCs w:val="28"/>
        </w:rPr>
      </w:pPr>
      <w:r>
        <w:rPr>
          <w:rFonts w:ascii="Times New Roman" w:hAnsi="Times New Roman" w:cs="Times New Roman"/>
          <w:sz w:val="28"/>
          <w:szCs w:val="28"/>
        </w:rPr>
        <w:t>3</w:t>
      </w:r>
      <w:r w:rsidRPr="00632BFA">
        <w:rPr>
          <w:rFonts w:ascii="Times New Roman" w:hAnsi="Times New Roman" w:cs="Times New Roman"/>
          <w:sz w:val="28"/>
          <w:szCs w:val="28"/>
        </w:rPr>
        <w:t xml:space="preserve">. </w:t>
      </w:r>
      <w:r>
        <w:rPr>
          <w:rFonts w:ascii="Times New Roman" w:hAnsi="Times New Roman" w:cs="Times New Roman"/>
          <w:sz w:val="28"/>
          <w:szCs w:val="28"/>
        </w:rPr>
        <w:t>YIELD PREDICTION</w:t>
      </w:r>
    </w:p>
    <w:p w14:paraId="1A21652D" w14:textId="0E332D9E" w:rsidR="001C77C1" w:rsidRPr="00242F28" w:rsidRDefault="001C77C1" w:rsidP="00A01151">
      <w:pPr>
        <w:jc w:val="both"/>
        <w:rPr>
          <w:rFonts w:ascii="Times New Roman" w:hAnsi="Times New Roman" w:cs="Times New Roman"/>
          <w:sz w:val="20"/>
          <w:szCs w:val="20"/>
        </w:rPr>
      </w:pPr>
    </w:p>
    <w:p w14:paraId="5C69B7B3" w14:textId="77777777" w:rsidR="001C77C1" w:rsidRPr="00242F28" w:rsidRDefault="001C77C1" w:rsidP="00A01151">
      <w:pPr>
        <w:jc w:val="both"/>
        <w:rPr>
          <w:rFonts w:ascii="Times New Roman" w:hAnsi="Times New Roman" w:cs="Times New Roman"/>
        </w:rPr>
      </w:pPr>
    </w:p>
    <w:sectPr w:rsidR="001C77C1" w:rsidRPr="00242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A46CEC"/>
    <w:multiLevelType w:val="hybridMultilevel"/>
    <w:tmpl w:val="CA7694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ExMba0NDU2tzRQ0lEKTi0uzszPAykwNKgFADiSp0wtAAAA"/>
  </w:docVars>
  <w:rsids>
    <w:rsidRoot w:val="00961EF1"/>
    <w:rsid w:val="000E5B99"/>
    <w:rsid w:val="001C77C1"/>
    <w:rsid w:val="00242F28"/>
    <w:rsid w:val="00254CBB"/>
    <w:rsid w:val="00296A3F"/>
    <w:rsid w:val="003032DC"/>
    <w:rsid w:val="00395ED7"/>
    <w:rsid w:val="003A29DC"/>
    <w:rsid w:val="004129FE"/>
    <w:rsid w:val="00632BFA"/>
    <w:rsid w:val="00641257"/>
    <w:rsid w:val="00664069"/>
    <w:rsid w:val="00817F8C"/>
    <w:rsid w:val="00847E7B"/>
    <w:rsid w:val="00903FF9"/>
    <w:rsid w:val="00940E1F"/>
    <w:rsid w:val="00961EF1"/>
    <w:rsid w:val="00963BA3"/>
    <w:rsid w:val="00A01151"/>
    <w:rsid w:val="00A935CC"/>
    <w:rsid w:val="00B4362D"/>
    <w:rsid w:val="00B80503"/>
    <w:rsid w:val="00C2579E"/>
    <w:rsid w:val="00CF5F1A"/>
    <w:rsid w:val="00E320EB"/>
    <w:rsid w:val="00E55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A267"/>
  <w15:chartTrackingRefBased/>
  <w15:docId w15:val="{6D54CF3E-BB69-45B2-B829-16E692A1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9DC"/>
  </w:style>
  <w:style w:type="paragraph" w:styleId="Heading1">
    <w:name w:val="heading 1"/>
    <w:basedOn w:val="Normal"/>
    <w:next w:val="Normal"/>
    <w:link w:val="Heading1Char"/>
    <w:uiPriority w:val="9"/>
    <w:qFormat/>
    <w:rsid w:val="00961E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61E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1E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1E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1EF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1EF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1E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1E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1E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61E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1E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1E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1E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1E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1E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1E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1E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1E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1E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1EF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1E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1EF1"/>
    <w:rPr>
      <w:color w:val="5A5A5A" w:themeColor="text1" w:themeTint="A5"/>
      <w:spacing w:val="10"/>
    </w:rPr>
  </w:style>
  <w:style w:type="character" w:styleId="Strong">
    <w:name w:val="Strong"/>
    <w:basedOn w:val="DefaultParagraphFont"/>
    <w:uiPriority w:val="22"/>
    <w:qFormat/>
    <w:rsid w:val="00961EF1"/>
    <w:rPr>
      <w:b/>
      <w:bCs/>
      <w:color w:val="000000" w:themeColor="text1"/>
    </w:rPr>
  </w:style>
  <w:style w:type="character" w:styleId="Emphasis">
    <w:name w:val="Emphasis"/>
    <w:basedOn w:val="DefaultParagraphFont"/>
    <w:uiPriority w:val="20"/>
    <w:qFormat/>
    <w:rsid w:val="00961EF1"/>
    <w:rPr>
      <w:i/>
      <w:iCs/>
      <w:color w:val="auto"/>
    </w:rPr>
  </w:style>
  <w:style w:type="paragraph" w:styleId="NoSpacing">
    <w:name w:val="No Spacing"/>
    <w:uiPriority w:val="1"/>
    <w:qFormat/>
    <w:rsid w:val="00961EF1"/>
    <w:pPr>
      <w:spacing w:after="0" w:line="240" w:lineRule="auto"/>
    </w:pPr>
  </w:style>
  <w:style w:type="paragraph" w:styleId="Quote">
    <w:name w:val="Quote"/>
    <w:basedOn w:val="Normal"/>
    <w:next w:val="Normal"/>
    <w:link w:val="QuoteChar"/>
    <w:uiPriority w:val="29"/>
    <w:qFormat/>
    <w:rsid w:val="00961EF1"/>
    <w:pPr>
      <w:spacing w:before="160"/>
      <w:ind w:left="720" w:right="720"/>
    </w:pPr>
    <w:rPr>
      <w:i/>
      <w:iCs/>
      <w:color w:val="000000" w:themeColor="text1"/>
    </w:rPr>
  </w:style>
  <w:style w:type="character" w:customStyle="1" w:styleId="QuoteChar">
    <w:name w:val="Quote Char"/>
    <w:basedOn w:val="DefaultParagraphFont"/>
    <w:link w:val="Quote"/>
    <w:uiPriority w:val="29"/>
    <w:rsid w:val="00961EF1"/>
    <w:rPr>
      <w:i/>
      <w:iCs/>
      <w:color w:val="000000" w:themeColor="text1"/>
    </w:rPr>
  </w:style>
  <w:style w:type="paragraph" w:styleId="IntenseQuote">
    <w:name w:val="Intense Quote"/>
    <w:basedOn w:val="Normal"/>
    <w:next w:val="Normal"/>
    <w:link w:val="IntenseQuoteChar"/>
    <w:uiPriority w:val="30"/>
    <w:qFormat/>
    <w:rsid w:val="00961E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1EF1"/>
    <w:rPr>
      <w:color w:val="000000" w:themeColor="text1"/>
      <w:shd w:val="clear" w:color="auto" w:fill="F2F2F2" w:themeFill="background1" w:themeFillShade="F2"/>
    </w:rPr>
  </w:style>
  <w:style w:type="character" w:styleId="SubtleEmphasis">
    <w:name w:val="Subtle Emphasis"/>
    <w:basedOn w:val="DefaultParagraphFont"/>
    <w:uiPriority w:val="19"/>
    <w:qFormat/>
    <w:rsid w:val="00961EF1"/>
    <w:rPr>
      <w:i/>
      <w:iCs/>
      <w:color w:val="404040" w:themeColor="text1" w:themeTint="BF"/>
    </w:rPr>
  </w:style>
  <w:style w:type="character" w:styleId="IntenseEmphasis">
    <w:name w:val="Intense Emphasis"/>
    <w:basedOn w:val="DefaultParagraphFont"/>
    <w:uiPriority w:val="21"/>
    <w:qFormat/>
    <w:rsid w:val="00961EF1"/>
    <w:rPr>
      <w:b/>
      <w:bCs/>
      <w:i/>
      <w:iCs/>
      <w:caps/>
    </w:rPr>
  </w:style>
  <w:style w:type="character" w:styleId="SubtleReference">
    <w:name w:val="Subtle Reference"/>
    <w:basedOn w:val="DefaultParagraphFont"/>
    <w:uiPriority w:val="31"/>
    <w:qFormat/>
    <w:rsid w:val="00961E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1EF1"/>
    <w:rPr>
      <w:b/>
      <w:bCs/>
      <w:smallCaps/>
      <w:u w:val="single"/>
    </w:rPr>
  </w:style>
  <w:style w:type="character" w:styleId="BookTitle">
    <w:name w:val="Book Title"/>
    <w:basedOn w:val="DefaultParagraphFont"/>
    <w:uiPriority w:val="33"/>
    <w:qFormat/>
    <w:rsid w:val="00961EF1"/>
    <w:rPr>
      <w:b w:val="0"/>
      <w:bCs w:val="0"/>
      <w:smallCaps/>
      <w:spacing w:val="5"/>
    </w:rPr>
  </w:style>
  <w:style w:type="paragraph" w:styleId="TOCHeading">
    <w:name w:val="TOC Heading"/>
    <w:basedOn w:val="Heading1"/>
    <w:next w:val="Normal"/>
    <w:uiPriority w:val="39"/>
    <w:semiHidden/>
    <w:unhideWhenUsed/>
    <w:qFormat/>
    <w:rsid w:val="00961EF1"/>
    <w:pPr>
      <w:outlineLvl w:val="9"/>
    </w:pPr>
  </w:style>
  <w:style w:type="paragraph" w:styleId="NormalWeb">
    <w:name w:val="Normal (Web)"/>
    <w:basedOn w:val="Normal"/>
    <w:uiPriority w:val="99"/>
    <w:unhideWhenUsed/>
    <w:rsid w:val="006640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3FF9"/>
    <w:pPr>
      <w:ind w:left="720"/>
      <w:contextualSpacing/>
    </w:pPr>
  </w:style>
  <w:style w:type="character" w:styleId="PlaceholderText">
    <w:name w:val="Placeholder Text"/>
    <w:basedOn w:val="DefaultParagraphFont"/>
    <w:uiPriority w:val="99"/>
    <w:semiHidden/>
    <w:rsid w:val="00A01151"/>
    <w:rPr>
      <w:color w:val="808080"/>
    </w:rPr>
  </w:style>
  <w:style w:type="table" w:styleId="TableGrid">
    <w:name w:val="Table Grid"/>
    <w:basedOn w:val="TableNormal"/>
    <w:uiPriority w:val="39"/>
    <w:rsid w:val="003A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3787">
      <w:bodyDiv w:val="1"/>
      <w:marLeft w:val="0"/>
      <w:marRight w:val="0"/>
      <w:marTop w:val="0"/>
      <w:marBottom w:val="0"/>
      <w:divBdr>
        <w:top w:val="none" w:sz="0" w:space="0" w:color="auto"/>
        <w:left w:val="none" w:sz="0" w:space="0" w:color="auto"/>
        <w:bottom w:val="none" w:sz="0" w:space="0" w:color="auto"/>
        <w:right w:val="none" w:sz="0" w:space="0" w:color="auto"/>
      </w:divBdr>
    </w:div>
    <w:div w:id="1270433967">
      <w:bodyDiv w:val="1"/>
      <w:marLeft w:val="0"/>
      <w:marRight w:val="0"/>
      <w:marTop w:val="0"/>
      <w:marBottom w:val="0"/>
      <w:divBdr>
        <w:top w:val="none" w:sz="0" w:space="0" w:color="auto"/>
        <w:left w:val="none" w:sz="0" w:space="0" w:color="auto"/>
        <w:bottom w:val="none" w:sz="0" w:space="0" w:color="auto"/>
        <w:right w:val="none" w:sz="0" w:space="0" w:color="auto"/>
      </w:divBdr>
    </w:div>
    <w:div w:id="1347100122">
      <w:bodyDiv w:val="1"/>
      <w:marLeft w:val="0"/>
      <w:marRight w:val="0"/>
      <w:marTop w:val="0"/>
      <w:marBottom w:val="0"/>
      <w:divBdr>
        <w:top w:val="none" w:sz="0" w:space="0" w:color="auto"/>
        <w:left w:val="none" w:sz="0" w:space="0" w:color="auto"/>
        <w:bottom w:val="none" w:sz="0" w:space="0" w:color="auto"/>
        <w:right w:val="none" w:sz="0" w:space="0" w:color="auto"/>
      </w:divBdr>
    </w:div>
    <w:div w:id="1528712102">
      <w:bodyDiv w:val="1"/>
      <w:marLeft w:val="0"/>
      <w:marRight w:val="0"/>
      <w:marTop w:val="0"/>
      <w:marBottom w:val="0"/>
      <w:divBdr>
        <w:top w:val="none" w:sz="0" w:space="0" w:color="auto"/>
        <w:left w:val="none" w:sz="0" w:space="0" w:color="auto"/>
        <w:bottom w:val="none" w:sz="0" w:space="0" w:color="auto"/>
        <w:right w:val="none" w:sz="0" w:space="0" w:color="auto"/>
      </w:divBdr>
    </w:div>
    <w:div w:id="1571502930">
      <w:bodyDiv w:val="1"/>
      <w:marLeft w:val="0"/>
      <w:marRight w:val="0"/>
      <w:marTop w:val="0"/>
      <w:marBottom w:val="0"/>
      <w:divBdr>
        <w:top w:val="none" w:sz="0" w:space="0" w:color="auto"/>
        <w:left w:val="none" w:sz="0" w:space="0" w:color="auto"/>
        <w:bottom w:val="none" w:sz="0" w:space="0" w:color="auto"/>
        <w:right w:val="none" w:sz="0" w:space="0" w:color="auto"/>
      </w:divBdr>
    </w:div>
    <w:div w:id="19123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5DE0-A3F7-4C18-A57E-2D8FFF34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5849</Words>
  <Characters>33342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24</cp:revision>
  <cp:lastPrinted>2021-10-20T17:51:00Z</cp:lastPrinted>
  <dcterms:created xsi:type="dcterms:W3CDTF">2021-10-19T08:07:00Z</dcterms:created>
  <dcterms:modified xsi:type="dcterms:W3CDTF">2021-10-20T17:54:00Z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45fdd3e6-c696-356e-af97-ede8efa6c673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