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2DA27" w14:textId="021A250A" w:rsidR="00664069" w:rsidRPr="00F370A2" w:rsidRDefault="004F70A0" w:rsidP="00F370A2">
      <w:pPr>
        <w:pStyle w:val="Title"/>
        <w:rPr>
          <w:sz w:val="32"/>
          <w:szCs w:val="32"/>
        </w:rPr>
      </w:pPr>
      <w:bookmarkStart w:id="0" w:name="_Hlk87900053"/>
      <w:r w:rsidRPr="00F370A2">
        <w:rPr>
          <w:sz w:val="32"/>
          <w:szCs w:val="32"/>
        </w:rPr>
        <w:t xml:space="preserve">stockDL: A </w:t>
      </w:r>
      <w:r w:rsidR="005E4CF9" w:rsidRPr="00F370A2">
        <w:rPr>
          <w:sz w:val="32"/>
          <w:szCs w:val="32"/>
        </w:rPr>
        <w:t>Hybrid deep learning Library to predict the annual yields from stocks for an inexpensive computational environment.</w:t>
      </w:r>
    </w:p>
    <w:bookmarkEnd w:id="0"/>
    <w:p w14:paraId="53F013AE" w14:textId="77777777" w:rsidR="005E4CF9" w:rsidRDefault="005E4CF9" w:rsidP="00A01151">
      <w:pPr>
        <w:pStyle w:val="NormalWeb"/>
        <w:spacing w:before="0" w:beforeAutospacing="0" w:after="0" w:afterAutospacing="0"/>
        <w:jc w:val="both"/>
        <w:rPr>
          <w:rStyle w:val="Strong"/>
          <w:rFonts w:eastAsiaTheme="majorEastAsia"/>
          <w:b w:val="0"/>
          <w:bCs w:val="0"/>
          <w:i/>
          <w:iCs/>
          <w:color w:val="0E101A"/>
          <w:sz w:val="28"/>
          <w:szCs w:val="28"/>
        </w:rPr>
      </w:pPr>
    </w:p>
    <w:p w14:paraId="7C494830" w14:textId="2B7C9A0D" w:rsidR="00664069" w:rsidRPr="00664069" w:rsidRDefault="00664069" w:rsidP="00A01151">
      <w:pPr>
        <w:pStyle w:val="NormalWeb"/>
        <w:spacing w:before="0" w:beforeAutospacing="0" w:after="0" w:afterAutospacing="0"/>
        <w:jc w:val="both"/>
        <w:rPr>
          <w:rFonts w:eastAsiaTheme="majorEastAsia"/>
          <w:b/>
          <w:bCs/>
          <w:color w:val="0E101A"/>
          <w:sz w:val="22"/>
          <w:szCs w:val="22"/>
        </w:rPr>
      </w:pPr>
      <w:r w:rsidRPr="00664069">
        <w:rPr>
          <w:rStyle w:val="Strong"/>
          <w:rFonts w:eastAsiaTheme="majorEastAsia"/>
          <w:b w:val="0"/>
          <w:bCs w:val="0"/>
          <w:i/>
          <w:iCs/>
          <w:color w:val="0E101A"/>
          <w:sz w:val="28"/>
          <w:szCs w:val="28"/>
        </w:rPr>
        <w:t>A</w:t>
      </w:r>
      <w:r w:rsidR="00254CBB">
        <w:rPr>
          <w:rStyle w:val="Strong"/>
          <w:rFonts w:eastAsiaTheme="majorEastAsia"/>
          <w:b w:val="0"/>
          <w:bCs w:val="0"/>
          <w:i/>
          <w:iCs/>
          <w:color w:val="0E101A"/>
          <w:sz w:val="28"/>
          <w:szCs w:val="28"/>
        </w:rPr>
        <w:t>BSTRACT</w:t>
      </w:r>
      <w:r w:rsidRPr="00664069">
        <w:rPr>
          <w:rStyle w:val="Strong"/>
          <w:rFonts w:eastAsiaTheme="majorEastAsia"/>
          <w:b w:val="0"/>
          <w:bCs w:val="0"/>
          <w:i/>
          <w:iCs/>
          <w:color w:val="0E101A"/>
          <w:sz w:val="28"/>
          <w:szCs w:val="28"/>
        </w:rPr>
        <w:t>:</w:t>
      </w:r>
      <w:r w:rsidRPr="00664069">
        <w:rPr>
          <w:rStyle w:val="Strong"/>
          <w:rFonts w:eastAsiaTheme="majorEastAsia"/>
          <w:color w:val="0E101A"/>
          <w:sz w:val="22"/>
          <w:szCs w:val="22"/>
        </w:rPr>
        <w:t> </w:t>
      </w:r>
      <w:r>
        <w:rPr>
          <w:rStyle w:val="Strong"/>
          <w:rFonts w:eastAsiaTheme="majorEastAsia"/>
          <w:color w:val="0E101A"/>
          <w:sz w:val="22"/>
          <w:szCs w:val="22"/>
        </w:rPr>
        <w:t xml:space="preserve"> </w:t>
      </w:r>
      <w:bookmarkStart w:id="1" w:name="_Hlk87900262"/>
      <w:r w:rsidRPr="00664069">
        <w:rPr>
          <w:color w:val="0E101A"/>
          <w:sz w:val="22"/>
          <w:szCs w:val="22"/>
        </w:rPr>
        <w:t xml:space="preserve">Predicting and </w:t>
      </w:r>
      <w:proofErr w:type="spellStart"/>
      <w:r w:rsidRPr="00664069">
        <w:rPr>
          <w:color w:val="0E101A"/>
          <w:sz w:val="22"/>
          <w:szCs w:val="22"/>
        </w:rPr>
        <w:t>analyzing</w:t>
      </w:r>
      <w:proofErr w:type="spellEnd"/>
      <w:r w:rsidRPr="00664069">
        <w:rPr>
          <w:color w:val="0E101A"/>
          <w:sz w:val="22"/>
          <w:szCs w:val="22"/>
        </w:rPr>
        <w:t xml:space="preserve"> the stock market has been of primary interest</w:t>
      </w:r>
      <w:r w:rsidR="005E4CF9">
        <w:rPr>
          <w:color w:val="0E101A"/>
          <w:sz w:val="22"/>
          <w:szCs w:val="22"/>
        </w:rPr>
        <w:t xml:space="preserve"> to researchers, </w:t>
      </w:r>
      <w:r w:rsidRPr="00664069">
        <w:rPr>
          <w:color w:val="0E101A"/>
          <w:sz w:val="22"/>
          <w:szCs w:val="22"/>
        </w:rPr>
        <w:t>investors</w:t>
      </w:r>
      <w:r w:rsidR="005E4CF9">
        <w:rPr>
          <w:color w:val="0E101A"/>
          <w:sz w:val="22"/>
          <w:szCs w:val="22"/>
        </w:rPr>
        <w:t>,</w:t>
      </w:r>
      <w:r w:rsidRPr="00664069">
        <w:rPr>
          <w:color w:val="0E101A"/>
          <w:sz w:val="22"/>
          <w:szCs w:val="22"/>
        </w:rPr>
        <w:t xml:space="preserve"> and market experts. The technology has</w:t>
      </w:r>
      <w:r w:rsidR="005E4CF9">
        <w:rPr>
          <w:color w:val="0E101A"/>
          <w:sz w:val="22"/>
          <w:szCs w:val="22"/>
        </w:rPr>
        <w:t xml:space="preserve"> been</w:t>
      </w:r>
      <w:r w:rsidRPr="00664069">
        <w:rPr>
          <w:color w:val="0E101A"/>
          <w:sz w:val="22"/>
          <w:szCs w:val="22"/>
        </w:rPr>
        <w:t xml:space="preserve"> evolv</w:t>
      </w:r>
      <w:r w:rsidR="005E4CF9">
        <w:rPr>
          <w:color w:val="0E101A"/>
          <w:sz w:val="22"/>
          <w:szCs w:val="22"/>
        </w:rPr>
        <w:t>ing continuously</w:t>
      </w:r>
      <w:r w:rsidRPr="00664069">
        <w:rPr>
          <w:color w:val="0E101A"/>
          <w:sz w:val="22"/>
          <w:szCs w:val="22"/>
        </w:rPr>
        <w:t xml:space="preserve"> from manual</w:t>
      </w:r>
      <w:r w:rsidR="005E4CF9">
        <w:rPr>
          <w:color w:val="0E101A"/>
          <w:sz w:val="22"/>
          <w:szCs w:val="22"/>
        </w:rPr>
        <w:t xml:space="preserve"> to automated</w:t>
      </w:r>
      <w:r w:rsidRPr="00664069">
        <w:rPr>
          <w:color w:val="0E101A"/>
          <w:sz w:val="22"/>
          <w:szCs w:val="22"/>
        </w:rPr>
        <w:t xml:space="preserve"> collection</w:t>
      </w:r>
      <w:r w:rsidR="005E4CF9">
        <w:rPr>
          <w:color w:val="0E101A"/>
          <w:sz w:val="22"/>
          <w:szCs w:val="22"/>
        </w:rPr>
        <w:t xml:space="preserve">, </w:t>
      </w:r>
      <w:r w:rsidRPr="00664069">
        <w:rPr>
          <w:color w:val="0E101A"/>
          <w:sz w:val="22"/>
          <w:szCs w:val="22"/>
        </w:rPr>
        <w:t>tuning</w:t>
      </w:r>
      <w:r w:rsidR="005E4CF9">
        <w:rPr>
          <w:color w:val="0E101A"/>
          <w:sz w:val="22"/>
          <w:szCs w:val="22"/>
        </w:rPr>
        <w:t>,</w:t>
      </w:r>
      <w:r w:rsidRPr="00664069">
        <w:rPr>
          <w:color w:val="0E101A"/>
          <w:sz w:val="22"/>
          <w:szCs w:val="22"/>
        </w:rPr>
        <w:t xml:space="preserve"> </w:t>
      </w:r>
      <w:r w:rsidR="005E4CF9">
        <w:rPr>
          <w:color w:val="0E101A"/>
          <w:sz w:val="22"/>
          <w:szCs w:val="22"/>
        </w:rPr>
        <w:t>and data analysis</w:t>
      </w:r>
      <w:r w:rsidRPr="00664069">
        <w:rPr>
          <w:color w:val="0E101A"/>
          <w:sz w:val="22"/>
          <w:szCs w:val="22"/>
        </w:rPr>
        <w:t xml:space="preserve"> to generate insights and predict the rise or fall of a stock. </w:t>
      </w:r>
      <w:r w:rsidR="00632BFA">
        <w:rPr>
          <w:color w:val="0E101A"/>
          <w:sz w:val="22"/>
          <w:szCs w:val="22"/>
        </w:rPr>
        <w:t>This work presents</w:t>
      </w:r>
      <w:r w:rsidRPr="00664069">
        <w:rPr>
          <w:color w:val="0E101A"/>
          <w:sz w:val="22"/>
          <w:szCs w:val="22"/>
        </w:rPr>
        <w:t xml:space="preserve"> stockDL, a deep learning solution to </w:t>
      </w:r>
      <w:proofErr w:type="spellStart"/>
      <w:r w:rsidRPr="00664069">
        <w:rPr>
          <w:color w:val="0E101A"/>
          <w:sz w:val="22"/>
          <w:szCs w:val="22"/>
        </w:rPr>
        <w:t>analyze</w:t>
      </w:r>
      <w:proofErr w:type="spellEnd"/>
      <w:r w:rsidRPr="00664069">
        <w:rPr>
          <w:color w:val="0E101A"/>
          <w:sz w:val="22"/>
          <w:szCs w:val="22"/>
        </w:rPr>
        <w:t>, understand the historical stock data and calculate the gross and annual yield for the chosen stock ticker.</w:t>
      </w:r>
      <w:r w:rsidR="003828C7">
        <w:rPr>
          <w:color w:val="0E101A"/>
          <w:sz w:val="22"/>
          <w:szCs w:val="22"/>
        </w:rPr>
        <w:t xml:space="preserve"> </w:t>
      </w:r>
      <w:r w:rsidR="005E4CF9">
        <w:rPr>
          <w:color w:val="0E101A"/>
          <w:sz w:val="22"/>
          <w:szCs w:val="22"/>
        </w:rPr>
        <w:t xml:space="preserve">The proposed solution is comprehensive and user-friendly. It includes data collection and </w:t>
      </w:r>
      <w:proofErr w:type="spellStart"/>
      <w:r w:rsidR="005E4CF9">
        <w:rPr>
          <w:color w:val="0E101A"/>
          <w:sz w:val="22"/>
          <w:szCs w:val="22"/>
        </w:rPr>
        <w:t>preprocessing</w:t>
      </w:r>
      <w:proofErr w:type="spellEnd"/>
      <w:r w:rsidR="005E4CF9">
        <w:rPr>
          <w:color w:val="0E101A"/>
          <w:sz w:val="22"/>
          <w:szCs w:val="22"/>
        </w:rPr>
        <w:t xml:space="preserve"> and utilizes various mathematical and deep learning techniques for feature extraction combined with state-of-art neural network architectures to predict the market trends. </w:t>
      </w:r>
      <w:r w:rsidRPr="00664069">
        <w:rPr>
          <w:color w:val="0E101A"/>
          <w:sz w:val="22"/>
          <w:szCs w:val="22"/>
        </w:rPr>
        <w:t xml:space="preserve">The stockDL algorithm </w:t>
      </w:r>
      <w:r w:rsidR="005E4CF9">
        <w:rPr>
          <w:color w:val="0E101A"/>
          <w:sz w:val="22"/>
          <w:szCs w:val="22"/>
        </w:rPr>
        <w:t>assimilates</w:t>
      </w:r>
      <w:r w:rsidRPr="00664069">
        <w:rPr>
          <w:color w:val="0E101A"/>
          <w:sz w:val="22"/>
          <w:szCs w:val="22"/>
        </w:rPr>
        <w:t xml:space="preserve"> two traditional stock trading techniques, Buy and Hold strategy and Moving Average ribbon trading strategy, with two Deep Learning Models created using the state-of-art Long </w:t>
      </w:r>
      <w:r w:rsidR="00A935CC" w:rsidRPr="00664069">
        <w:rPr>
          <w:color w:val="0E101A"/>
          <w:sz w:val="22"/>
          <w:szCs w:val="22"/>
        </w:rPr>
        <w:t>Short-Term</w:t>
      </w:r>
      <w:r w:rsidRPr="00664069">
        <w:rPr>
          <w:color w:val="0E101A"/>
          <w:sz w:val="22"/>
          <w:szCs w:val="22"/>
        </w:rPr>
        <w:t xml:space="preserve"> Memory networks. The first model is a pure LSTM network, whereas the second network is a Mixture of Convolution Neural networks and LSTMs. stockDL uses the data of the past five years from the date of generating the predictions, making the model immune from any sudden fluctuations in the historical data. When evaluated on </w:t>
      </w:r>
      <w:r w:rsidR="00817F8C">
        <w:rPr>
          <w:color w:val="0E101A"/>
          <w:sz w:val="22"/>
          <w:szCs w:val="22"/>
        </w:rPr>
        <w:t>the four</w:t>
      </w:r>
      <w:r w:rsidRPr="00664069">
        <w:rPr>
          <w:color w:val="0E101A"/>
          <w:sz w:val="22"/>
          <w:szCs w:val="22"/>
        </w:rPr>
        <w:t xml:space="preserve"> stock symbols (AAPL, GOOGL, </w:t>
      </w:r>
      <w:r>
        <w:rPr>
          <w:color w:val="0E101A"/>
          <w:sz w:val="22"/>
          <w:szCs w:val="22"/>
        </w:rPr>
        <w:t>HDFCBANK.NSE</w:t>
      </w:r>
      <w:r w:rsidRPr="00664069">
        <w:rPr>
          <w:color w:val="0E101A"/>
          <w:sz w:val="22"/>
          <w:szCs w:val="22"/>
        </w:rPr>
        <w:t>,</w:t>
      </w:r>
      <w:r>
        <w:rPr>
          <w:color w:val="0E101A"/>
          <w:sz w:val="22"/>
          <w:szCs w:val="22"/>
        </w:rPr>
        <w:t xml:space="preserve"> RELIANCE.NSE</w:t>
      </w:r>
      <w:r w:rsidRPr="00664069">
        <w:rPr>
          <w:color w:val="0E101A"/>
          <w:sz w:val="22"/>
          <w:szCs w:val="22"/>
        </w:rPr>
        <w:t>), the model has attained state-of-art for deep learning backed algorithmic trading in a controlled computational environment.</w:t>
      </w:r>
      <w:r w:rsidR="00817F8C">
        <w:rPr>
          <w:color w:val="0E101A"/>
          <w:sz w:val="22"/>
          <w:szCs w:val="22"/>
        </w:rPr>
        <w:t xml:space="preserve"> </w:t>
      </w:r>
      <w:r w:rsidR="000E5B99">
        <w:rPr>
          <w:color w:val="0E101A"/>
          <w:sz w:val="22"/>
          <w:szCs w:val="22"/>
        </w:rPr>
        <w:t xml:space="preserve">The novel solution </w:t>
      </w:r>
      <w:r w:rsidR="00296A3F">
        <w:rPr>
          <w:color w:val="0E101A"/>
          <w:sz w:val="22"/>
          <w:szCs w:val="22"/>
        </w:rPr>
        <w:t>introduced</w:t>
      </w:r>
      <w:r w:rsidR="000E5B99">
        <w:rPr>
          <w:color w:val="0E101A"/>
          <w:sz w:val="22"/>
          <w:szCs w:val="22"/>
        </w:rPr>
        <w:t xml:space="preserve"> in this study is faster</w:t>
      </w:r>
      <w:r w:rsidR="003A29DC">
        <w:rPr>
          <w:color w:val="0E101A"/>
          <w:sz w:val="22"/>
          <w:szCs w:val="22"/>
        </w:rPr>
        <w:t xml:space="preserve"> and more accurate</w:t>
      </w:r>
      <w:r w:rsidR="000E5B99">
        <w:rPr>
          <w:color w:val="0E101A"/>
          <w:sz w:val="22"/>
          <w:szCs w:val="22"/>
        </w:rPr>
        <w:t xml:space="preserve"> than any existing </w:t>
      </w:r>
      <w:r w:rsidR="003A29DC">
        <w:rPr>
          <w:color w:val="0E101A"/>
          <w:sz w:val="22"/>
          <w:szCs w:val="22"/>
        </w:rPr>
        <w:t xml:space="preserve">deep-learning </w:t>
      </w:r>
      <w:r w:rsidR="000E5B99">
        <w:rPr>
          <w:color w:val="0E101A"/>
          <w:sz w:val="22"/>
          <w:szCs w:val="22"/>
        </w:rPr>
        <w:t>solutions available</w:t>
      </w:r>
      <w:r w:rsidR="003A29DC">
        <w:rPr>
          <w:color w:val="0E101A"/>
          <w:sz w:val="22"/>
          <w:szCs w:val="22"/>
        </w:rPr>
        <w:t>. It is</w:t>
      </w:r>
      <w:r w:rsidR="000E5B99">
        <w:rPr>
          <w:color w:val="0E101A"/>
          <w:sz w:val="22"/>
          <w:szCs w:val="22"/>
        </w:rPr>
        <w:t xml:space="preserve"> immune f</w:t>
      </w:r>
      <w:r w:rsidR="003A29DC">
        <w:rPr>
          <w:color w:val="0E101A"/>
          <w:sz w:val="22"/>
          <w:szCs w:val="22"/>
        </w:rPr>
        <w:t>ro</w:t>
      </w:r>
      <w:r w:rsidR="000E5B99">
        <w:rPr>
          <w:color w:val="0E101A"/>
          <w:sz w:val="22"/>
          <w:szCs w:val="22"/>
        </w:rPr>
        <w:t xml:space="preserve">m any sudden </w:t>
      </w:r>
      <w:r w:rsidR="003828C7">
        <w:rPr>
          <w:color w:val="0E101A"/>
          <w:sz w:val="22"/>
          <w:szCs w:val="22"/>
        </w:rPr>
        <w:t xml:space="preserve">dramatic decline among significant sections of the stock market </w:t>
      </w:r>
      <w:proofErr w:type="spellStart"/>
      <w:r w:rsidR="003828C7">
        <w:rPr>
          <w:color w:val="0E101A"/>
          <w:sz w:val="22"/>
          <w:szCs w:val="22"/>
        </w:rPr>
        <w:t>Market</w:t>
      </w:r>
      <w:proofErr w:type="spellEnd"/>
      <w:r w:rsidR="003828C7">
        <w:rPr>
          <w:color w:val="0E101A"/>
          <w:sz w:val="22"/>
          <w:szCs w:val="22"/>
        </w:rPr>
        <w:t xml:space="preserve"> Crash)</w:t>
      </w:r>
      <w:r w:rsidR="000E5B99">
        <w:rPr>
          <w:color w:val="0E101A"/>
          <w:sz w:val="22"/>
          <w:szCs w:val="22"/>
        </w:rPr>
        <w:t xml:space="preserve">. This work contributes to the stock analysis and research community in both </w:t>
      </w:r>
      <w:r w:rsidR="003A29DC">
        <w:rPr>
          <w:color w:val="0E101A"/>
          <w:sz w:val="22"/>
          <w:szCs w:val="22"/>
        </w:rPr>
        <w:t xml:space="preserve">the technical and financial domains. </w:t>
      </w:r>
      <w:bookmarkEnd w:id="1"/>
    </w:p>
    <w:p w14:paraId="64181107" w14:textId="07A13923" w:rsidR="00664069" w:rsidRDefault="00664069" w:rsidP="00A01151">
      <w:pPr>
        <w:jc w:val="both"/>
        <w:rPr>
          <w:rFonts w:ascii="Times New Roman" w:hAnsi="Times New Roman" w:cs="Times New Roman"/>
          <w:sz w:val="28"/>
          <w:szCs w:val="28"/>
        </w:rPr>
      </w:pPr>
    </w:p>
    <w:p w14:paraId="4F199715" w14:textId="0AD135A2" w:rsidR="00FF49E2" w:rsidRPr="00FF49E2" w:rsidRDefault="00FF49E2" w:rsidP="00A01151">
      <w:pPr>
        <w:jc w:val="both"/>
        <w:rPr>
          <w:rFonts w:ascii="Times New Roman" w:hAnsi="Times New Roman" w:cs="Times New Roman"/>
          <w:i/>
          <w:iCs/>
          <w:sz w:val="28"/>
          <w:szCs w:val="28"/>
        </w:rPr>
      </w:pPr>
      <w:r w:rsidRPr="00FF49E2">
        <w:rPr>
          <w:rFonts w:ascii="Times New Roman" w:hAnsi="Times New Roman" w:cs="Times New Roman"/>
          <w:b/>
          <w:bCs/>
          <w:i/>
          <w:iCs/>
          <w:sz w:val="28"/>
          <w:szCs w:val="28"/>
        </w:rPr>
        <w:t>Keywords:</w:t>
      </w:r>
      <w:r w:rsidRPr="00FF49E2">
        <w:rPr>
          <w:rFonts w:ascii="Times New Roman" w:hAnsi="Times New Roman" w:cs="Times New Roman"/>
          <w:i/>
          <w:iCs/>
          <w:sz w:val="28"/>
          <w:szCs w:val="28"/>
        </w:rPr>
        <w:t xml:space="preserve"> LSTMs, RNN, CNN, Financial Deep Learning, Stacked LSTMs, Stocks, Time Series prediction</w:t>
      </w:r>
    </w:p>
    <w:p w14:paraId="7332C9BC" w14:textId="77777777" w:rsidR="00FF49E2" w:rsidRDefault="00FF49E2" w:rsidP="00A01151">
      <w:pPr>
        <w:jc w:val="both"/>
        <w:rPr>
          <w:rFonts w:ascii="Times New Roman" w:hAnsi="Times New Roman" w:cs="Times New Roman"/>
          <w:sz w:val="28"/>
          <w:szCs w:val="28"/>
        </w:rPr>
      </w:pPr>
    </w:p>
    <w:p w14:paraId="6B248F8F" w14:textId="1703431F" w:rsidR="00961EF1" w:rsidRPr="00961EF1" w:rsidRDefault="00961EF1" w:rsidP="00A01151">
      <w:pPr>
        <w:jc w:val="both"/>
        <w:rPr>
          <w:rFonts w:ascii="Times New Roman" w:hAnsi="Times New Roman" w:cs="Times New Roman"/>
          <w:sz w:val="28"/>
          <w:szCs w:val="28"/>
        </w:rPr>
      </w:pPr>
      <w:r w:rsidRPr="00961EF1">
        <w:rPr>
          <w:rFonts w:ascii="Times New Roman" w:hAnsi="Times New Roman" w:cs="Times New Roman"/>
          <w:sz w:val="28"/>
          <w:szCs w:val="28"/>
        </w:rPr>
        <w:t xml:space="preserve">1. </w:t>
      </w:r>
      <w:r w:rsidR="00254CBB">
        <w:rPr>
          <w:rFonts w:ascii="Times New Roman" w:hAnsi="Times New Roman" w:cs="Times New Roman"/>
          <w:sz w:val="28"/>
          <w:szCs w:val="28"/>
        </w:rPr>
        <w:t>INTRODUCTION</w:t>
      </w:r>
    </w:p>
    <w:p w14:paraId="05BE09A1" w14:textId="535BA056" w:rsidR="00961EF1" w:rsidRDefault="00632BFA" w:rsidP="00A01151">
      <w:pPr>
        <w:jc w:val="both"/>
        <w:rPr>
          <w:rFonts w:ascii="Times New Roman" w:hAnsi="Times New Roman" w:cs="Times New Roman"/>
        </w:rPr>
      </w:pPr>
      <w:r>
        <w:rPr>
          <w:rFonts w:ascii="Times New Roman" w:hAnsi="Times New Roman" w:cs="Times New Roman"/>
        </w:rPr>
        <w:t xml:space="preserve">The stock market is an area of high profit and high risks, and this is considered while devising and generating a quantitative investment strategy to predict and judge the stock's future price using the historical stock data. </w:t>
      </w:r>
      <w:r w:rsidR="004129FE">
        <w:rPr>
          <w:rFonts w:ascii="Times New Roman" w:hAnsi="Times New Roman" w:cs="Times New Roman"/>
        </w:rPr>
        <w:t xml:space="preserve">The market governed by various financial and non-financial factors poses a new challenge to the researchers to develop a best-fit solution for predicting the stock prices or the annual yield by investing in a particular stock. The three significant factors measuring the outcome of investing in a company or business </w:t>
      </w:r>
      <w:r w:rsidR="00A935CC">
        <w:rPr>
          <w:rFonts w:ascii="Times New Roman" w:hAnsi="Times New Roman" w:cs="Times New Roman"/>
        </w:rPr>
        <w:t>are Environment</w:t>
      </w:r>
      <w:r w:rsidR="004129FE">
        <w:rPr>
          <w:rFonts w:ascii="Times New Roman" w:hAnsi="Times New Roman" w:cs="Times New Roman"/>
        </w:rPr>
        <w:t xml:space="preserve">, Social, and Governance (ESG). Considering ESGs while making investing decisions leads to a </w:t>
      </w:r>
      <w:proofErr w:type="spellStart"/>
      <w:r w:rsidR="004129FE">
        <w:rPr>
          <w:rFonts w:ascii="Times New Roman" w:hAnsi="Times New Roman" w:cs="Times New Roman"/>
        </w:rPr>
        <w:t>favorable</w:t>
      </w:r>
      <w:proofErr w:type="spellEnd"/>
      <w:r w:rsidR="004129FE">
        <w:rPr>
          <w:rFonts w:ascii="Times New Roman" w:hAnsi="Times New Roman" w:cs="Times New Roman"/>
        </w:rPr>
        <w:t xml:space="preserve"> outcome in most cases</w:t>
      </w:r>
      <w:r w:rsidR="004129FE">
        <w:rPr>
          <w:rFonts w:ascii="Times New Roman" w:hAnsi="Times New Roman" w:cs="Times New Roman"/>
        </w:rPr>
        <w:fldChar w:fldCharType="begin" w:fldLock="1"/>
      </w:r>
      <w:r w:rsidR="00664069">
        <w:rPr>
          <w:rFonts w:ascii="Times New Roman" w:hAnsi="Times New Roman" w:cs="Times New Roman"/>
        </w:rPr>
        <w:instrText>ADDIN CSL_CITATION {"citationItems":[{"id":"ITEM-1","itemData":{"DOI":"10.1080/20430795.2015.1118917","ISSN":"2043-0809","author":[{"dropping-particle":"","family":"Friede","given":"Gunnar","non-dropping-particle":"","parse-names":false,"suffix":""},{"dropping-particle":"","family":"Busch","given":"Timo","non-dropping-particle":"","parse-names":false,"suffix":""},{"dropping-particle":"","family":"Bassen","given":"Alexander","non-dropping-particle":"","parse-names":false,"suffix":""}],"container-title":"Journal of Sustainable Finance &amp; Investment","id":"ITEM-1","issue":"4","issued":{"date-parts":[["2015"]]},"page":"210-233","title":"Journal of Sustainable Finance &amp; Investment ESG and financial performance: aggregated evidence from more than 2000 empirical studies","type":"article-journal","volume":"5"},"uris":["http://www.mendeley.com/documents/?uuid=23884da3-62a0-3c52-90a0-514e58a028c9"]}],"mendeley":{"formattedCitation":"[1]","plainTextFormattedCitation":"[1]","previouslyFormattedCitation":"[1]"},"properties":{"noteIndex":0},"schema":"https://github.com/citation-style-language/schema/raw/master/csl-citation.json"}</w:instrText>
      </w:r>
      <w:r w:rsidR="004129FE">
        <w:rPr>
          <w:rFonts w:ascii="Times New Roman" w:hAnsi="Times New Roman" w:cs="Times New Roman"/>
        </w:rPr>
        <w:fldChar w:fldCharType="separate"/>
      </w:r>
      <w:r w:rsidR="004129FE" w:rsidRPr="004129FE">
        <w:rPr>
          <w:rFonts w:ascii="Times New Roman" w:hAnsi="Times New Roman" w:cs="Times New Roman"/>
          <w:noProof/>
        </w:rPr>
        <w:t>[1]</w:t>
      </w:r>
      <w:r w:rsidR="004129FE">
        <w:rPr>
          <w:rFonts w:ascii="Times New Roman" w:hAnsi="Times New Roman" w:cs="Times New Roman"/>
        </w:rPr>
        <w:fldChar w:fldCharType="end"/>
      </w:r>
      <w:r w:rsidR="004129FE">
        <w:rPr>
          <w:rFonts w:ascii="Times New Roman" w:hAnsi="Times New Roman" w:cs="Times New Roman"/>
        </w:rPr>
        <w:t xml:space="preserve">. </w:t>
      </w:r>
    </w:p>
    <w:p w14:paraId="44EC3FD3" w14:textId="59DD0CD8" w:rsidR="00664069" w:rsidRDefault="00664069" w:rsidP="00A01151">
      <w:pPr>
        <w:jc w:val="both"/>
        <w:rPr>
          <w:rFonts w:ascii="Times New Roman" w:hAnsi="Times New Roman" w:cs="Times New Roman"/>
        </w:rPr>
      </w:pPr>
      <w:r>
        <w:rPr>
          <w:rFonts w:ascii="Times New Roman" w:hAnsi="Times New Roman" w:cs="Times New Roman"/>
        </w:rPr>
        <w:t>The Environm</w:t>
      </w:r>
      <w:r w:rsidR="00632BFA">
        <w:rPr>
          <w:rFonts w:ascii="Times New Roman" w:hAnsi="Times New Roman" w:cs="Times New Roman"/>
        </w:rPr>
        <w:t>en</w:t>
      </w:r>
      <w:r>
        <w:rPr>
          <w:rFonts w:ascii="Times New Roman" w:hAnsi="Times New Roman" w:cs="Times New Roman"/>
        </w:rPr>
        <w:t>t of an investment market involve</w:t>
      </w:r>
      <w:r w:rsidR="00632BFA">
        <w:rPr>
          <w:rFonts w:ascii="Times New Roman" w:hAnsi="Times New Roman" w:cs="Times New Roman"/>
        </w:rPr>
        <w:t>s</w:t>
      </w:r>
      <w:r>
        <w:rPr>
          <w:rFonts w:ascii="Times New Roman" w:hAnsi="Times New Roman" w:cs="Times New Roman"/>
        </w:rPr>
        <w:t xml:space="preserve"> Assessment and Investment vehicles, Financial Markets, Market Structure, Market Intermediaries, Investment process, Regulation, and Economy. The Indian Financial markets include </w:t>
      </w:r>
      <w:r w:rsidR="00632BFA">
        <w:rPr>
          <w:rFonts w:ascii="Times New Roman" w:hAnsi="Times New Roman" w:cs="Times New Roman"/>
        </w:rPr>
        <w:t xml:space="preserve">the </w:t>
      </w:r>
      <w:r>
        <w:rPr>
          <w:rFonts w:ascii="Times New Roman" w:hAnsi="Times New Roman" w:cs="Times New Roman"/>
        </w:rPr>
        <w:t>Credit Market, Money Market, Foreign Exchange Market, Debt Market</w:t>
      </w:r>
      <w:r w:rsidR="00632BFA">
        <w:rPr>
          <w:rFonts w:ascii="Times New Roman" w:hAnsi="Times New Roman" w:cs="Times New Roman"/>
        </w:rPr>
        <w:t>,</w:t>
      </w:r>
      <w:r>
        <w:rPr>
          <w:rFonts w:ascii="Times New Roman" w:hAnsi="Times New Roman" w:cs="Times New Roman"/>
        </w:rPr>
        <w:t xml:space="preserve"> and Capital Market. The Social factors include the interactions between </w:t>
      </w:r>
      <w:proofErr w:type="spellStart"/>
      <w:r>
        <w:rPr>
          <w:rFonts w:ascii="Times New Roman" w:hAnsi="Times New Roman" w:cs="Times New Roman"/>
        </w:rPr>
        <w:t>neighbors</w:t>
      </w:r>
      <w:proofErr w:type="spellEnd"/>
      <w:r>
        <w:rPr>
          <w:rFonts w:ascii="Times New Roman" w:hAnsi="Times New Roman" w:cs="Times New Roman"/>
        </w:rPr>
        <w:t>, friends, colle</w:t>
      </w:r>
      <w:r w:rsidR="00632BFA">
        <w:rPr>
          <w:rFonts w:ascii="Times New Roman" w:hAnsi="Times New Roman" w:cs="Times New Roman"/>
        </w:rPr>
        <w:t>a</w:t>
      </w:r>
      <w:r>
        <w:rPr>
          <w:rFonts w:ascii="Times New Roman" w:hAnsi="Times New Roman" w:cs="Times New Roman"/>
        </w:rPr>
        <w:t>gues, advi</w:t>
      </w:r>
      <w:r w:rsidR="00632BFA">
        <w:rPr>
          <w:rFonts w:ascii="Times New Roman" w:hAnsi="Times New Roman" w:cs="Times New Roman"/>
        </w:rPr>
        <w:t>ce</w:t>
      </w:r>
      <w:r>
        <w:rPr>
          <w:rFonts w:ascii="Times New Roman" w:hAnsi="Times New Roman" w:cs="Times New Roman"/>
        </w:rPr>
        <w:t xml:space="preserve"> given by analysts, planners, bankers</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{"citationItems":[{"id":"ITEM-1","itemData":{"DOI":"10.1016/S2212-5671(12)00084-6","ISSN":"2212-5671","abstract":"Individual investors’ trading behaviour has drawn the attention of academicians and investment practitioners globally. The emergence of behavioural finance as a new domain in the capital market research is a case in point. Studies indicate that individual investors are characterized by excessive trading and often to their detriment (Barber and Odean, 2000).In this study, we apply the theory of reasoned action (TRA) and the theory of planned behaviour (TPB) to explain individual investor behaviour. Further, an attempt has also been made to study the influence of social factors such as social interactions, media and internet","author":[{"dropping-particle":"","family":"Shanmugham","given":"R.","non-dropping-particle":"","parse-names":false,"suffix":""},{"dropping-particle":"","family":"Ramya","given":"K.","non-dropping-particle":"","parse-names":false,"suffix":""}],"container-title":"Procedia Economics and Finance","id":"ITEM-1","issued":{"date-parts":[["2012","1","1"]]},"page":"237-246","publisher":"Elsevier","title":"Impact of Social Factors on Individual Investors’ Trading Behaviour","type":"article-journal","volume":"2"},"uris":["http://www.mendeley.com/documents/?uuid=2919d682-ccf3-3611-95bf-e267b78f0a98"]}],"mendeley":{"formattedCitation":"[2]","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Pr="00664069">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Social media and Interactions </w:t>
      </w:r>
      <w:r w:rsidR="00632BFA">
        <w:rPr>
          <w:rFonts w:ascii="Times New Roman" w:hAnsi="Times New Roman" w:cs="Times New Roman"/>
        </w:rPr>
        <w:t>are</w:t>
      </w:r>
      <w:r>
        <w:rPr>
          <w:rFonts w:ascii="Times New Roman" w:hAnsi="Times New Roman" w:cs="Times New Roman"/>
        </w:rPr>
        <w:t xml:space="preserve"> prominent area</w:t>
      </w:r>
      <w:r w:rsidR="00632BFA">
        <w:rPr>
          <w:rFonts w:ascii="Times New Roman" w:hAnsi="Times New Roman" w:cs="Times New Roman"/>
        </w:rPr>
        <w:t>s</w:t>
      </w:r>
      <w:r>
        <w:rPr>
          <w:rFonts w:ascii="Times New Roman" w:hAnsi="Times New Roman" w:cs="Times New Roman"/>
        </w:rPr>
        <w:t xml:space="preserve"> to </w:t>
      </w:r>
      <w:proofErr w:type="spellStart"/>
      <w:r>
        <w:rPr>
          <w:rFonts w:ascii="Times New Roman" w:hAnsi="Times New Roman" w:cs="Times New Roman"/>
        </w:rPr>
        <w:t>analy</w:t>
      </w:r>
      <w:r w:rsidR="00632BFA">
        <w:rPr>
          <w:rFonts w:ascii="Times New Roman" w:hAnsi="Times New Roman" w:cs="Times New Roman"/>
        </w:rPr>
        <w:t>z</w:t>
      </w:r>
      <w:r>
        <w:rPr>
          <w:rFonts w:ascii="Times New Roman" w:hAnsi="Times New Roman" w:cs="Times New Roman"/>
        </w:rPr>
        <w:t>e</w:t>
      </w:r>
      <w:proofErr w:type="spellEnd"/>
      <w:r>
        <w:rPr>
          <w:rFonts w:ascii="Times New Roman" w:hAnsi="Times New Roman" w:cs="Times New Roman"/>
        </w:rPr>
        <w:t xml:space="preserve"> and predict the market trends based on recent activit</w:t>
      </w:r>
      <w:r w:rsidR="00632BFA">
        <w:rPr>
          <w:rFonts w:ascii="Times New Roman" w:hAnsi="Times New Roman" w:cs="Times New Roman"/>
        </w:rPr>
        <w:t>i</w:t>
      </w:r>
      <w:r>
        <w:rPr>
          <w:rFonts w:ascii="Times New Roman" w:hAnsi="Times New Roman" w:cs="Times New Roman"/>
        </w:rPr>
        <w:t xml:space="preserve">es of </w:t>
      </w:r>
      <w:r w:rsidR="00632BFA">
        <w:rPr>
          <w:rFonts w:ascii="Times New Roman" w:hAnsi="Times New Roman" w:cs="Times New Roman"/>
        </w:rPr>
        <w:t>significant</w:t>
      </w:r>
      <w:r>
        <w:rPr>
          <w:rFonts w:ascii="Times New Roman" w:hAnsi="Times New Roman" w:cs="Times New Roman"/>
        </w:rPr>
        <w:t xml:space="preserve"> investors, executives</w:t>
      </w:r>
      <w:r w:rsidR="00632BFA">
        <w:rPr>
          <w:rFonts w:ascii="Times New Roman" w:hAnsi="Times New Roman" w:cs="Times New Roman"/>
        </w:rPr>
        <w:t>,</w:t>
      </w:r>
      <w:r>
        <w:rPr>
          <w:rFonts w:ascii="Times New Roman" w:hAnsi="Times New Roman" w:cs="Times New Roman"/>
        </w:rPr>
        <w:t xml:space="preserve"> and influencers</w:t>
      </w:r>
      <w:r>
        <w:rPr>
          <w:rFonts w:ascii="Times New Roman" w:hAnsi="Times New Roman" w:cs="Times New Roman"/>
        </w:rPr>
        <w:fldChar w:fldCharType="begin" w:fldLock="1"/>
      </w:r>
      <w:r>
        <w:rPr>
          <w:rFonts w:ascii="Times New Roman" w:hAnsi="Times New Roman" w:cs="Times New Roman"/>
        </w:rPr>
        <w:instrText>ADDIN CSL_CITATION {"citationItems":[{"id":"ITEM-1","itemData":{"DOI":"10.1109/SOCIALCOM.2013.141","abstract":"The study on the interactions between social media and financial markets is an interesting topic. This paper is to investigate this issue for stocks from the Shanghai/Shenzhen stock exchange, based on a popular online Chinese stock forum Guba.com.cn. Other than the traditional sentimental analysis method, for each stock, we build a Social Behavior Graph based on human's online behavior, calculate some key characteristics of the graph, and find out the correlations between trading volume/price and those characteristics. Furthermore, we make use of a BP-neural network to predict the trading volume and price of stocks. Our method has achieved a better outcomes compared to the traditional trading volume/price based time series models. A trading strategy based on our method achieved 56.28% benefits in only three month's time, when the stock price just increased 1.17%. © 2013 IEEE.","author":[{"dropping-particle":"","family":"Chen","given":"Zheng","non-dropping-particle":"","parse-names":false,"suffix":""},{"dropping-particle":"","family":"Du","given":"Xiaoqing","non-dropping-particle":"","parse-names":false,"suffix":""}],"container-title":"Proceedings - SocialCom/PASSAT/BigData/EconCom/BioMedCom 2013","id":"ITEM-1","issued":{"date-parts":[["2013"]]},"page":"913-916","title":"Study of stock prediction based on social network","type":"article-journal"},"uris":["http://www.mendeley.com/documents/?uuid=27cf61d3-a8df-31e5-8756-8ff23c37e4fd"]}],"mendeley":{"formattedCitation":"[3]","plainTextFormattedCitation":"[3]","previouslyFormattedCitation":"[3]"},"properties":{"noteIndex":0},"schema":"https://github.com/citation-style-language/schema/raw/master/csl-citation.json"}</w:instrText>
      </w:r>
      <w:r>
        <w:rPr>
          <w:rFonts w:ascii="Times New Roman" w:hAnsi="Times New Roman" w:cs="Times New Roman"/>
        </w:rPr>
        <w:fldChar w:fldCharType="separate"/>
      </w:r>
      <w:r w:rsidRPr="00664069">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w:t>
      </w:r>
      <w:r w:rsidR="00632BFA">
        <w:rPr>
          <w:rFonts w:ascii="Times New Roman" w:hAnsi="Times New Roman" w:cs="Times New Roman"/>
        </w:rPr>
        <w:t>Security and Exchange Board India, established on April 12, 1992, handles India's stock market governance</w:t>
      </w:r>
      <w:r>
        <w:rPr>
          <w:rFonts w:ascii="Times New Roman" w:hAnsi="Times New Roman" w:cs="Times New Roman"/>
        </w:rPr>
        <w:t xml:space="preserve">. Corporate Governance drafts the rules and regulations for the companies and the shareholders and assists in </w:t>
      </w:r>
      <w:r w:rsidR="00632BFA">
        <w:rPr>
          <w:rFonts w:ascii="Times New Roman" w:hAnsi="Times New Roman" w:cs="Times New Roman"/>
        </w:rPr>
        <w:t xml:space="preserve">the </w:t>
      </w:r>
      <w:r>
        <w:rPr>
          <w:rFonts w:ascii="Times New Roman" w:hAnsi="Times New Roman" w:cs="Times New Roman"/>
        </w:rPr>
        <w:t>smooth day</w:t>
      </w:r>
      <w:r w:rsidR="00632BFA">
        <w:rPr>
          <w:rFonts w:ascii="Times New Roman" w:hAnsi="Times New Roman" w:cs="Times New Roman"/>
        </w:rPr>
        <w:t>-to-</w:t>
      </w:r>
      <w:r>
        <w:rPr>
          <w:rFonts w:ascii="Times New Roman" w:hAnsi="Times New Roman" w:cs="Times New Roman"/>
        </w:rPr>
        <w:t>day functioning of trade, The Governance also handles illegal trade practices like Insider Trade, Security Frauds, et cetera</w:t>
      </w:r>
      <w:r>
        <w:rPr>
          <w:rFonts w:ascii="Times New Roman" w:hAnsi="Times New Roman" w:cs="Times New Roman"/>
        </w:rPr>
        <w:fldChar w:fldCharType="begin" w:fldLock="1"/>
      </w:r>
      <w:r w:rsidR="00632BFA">
        <w:rPr>
          <w:rFonts w:ascii="Times New Roman" w:hAnsi="Times New Roman" w:cs="Times New Roman"/>
        </w:rPr>
        <w:instrText>ADDIN CSL_CITATION {"citationItems":[{"id":"ITEM-1","itemData":{"DOI":"10.5281/ZENODO.4155459","abstract":"This study aims to evaluate the application of good corporate governance to the stock prices of Indonesian manufacturing companies. It is used a descriptive method with a quantitative approach. The population in this study is the manufacturing companies in Indonesia from 2016 to 2018. The research data uses secondary information, and financial statements of the companies. The results of the study indicate that the Independent Commissioner and Managerial Ownership have an impact on stock prices, while the Institutional Ownership does not have an impact.","author":[{"dropping-particle":"","family":"Prabowo","given":"Bahtiar","non-dropping-particle":"","parse-names":false,"suffix":""},{"dropping-particle":"","family":"Rochmatulaili","given":"Eny","non-dropping-particle":"","parse-names":false,"suffix":""},{"dropping-particle":"","family":"Rusdiyanto","given":"","non-dropping-particle":"","parse-names":false,"suffix":""},{"dropping-particle":"","family":"Sulistyowati","given":"Eny","non-dropping-particle":"","parse-names":false,"suffix":""}],"container-title":"Utopia y Praxis Latinoamericana","id":"ITEM-1","issue":"Extra10","issued":{"date-parts":[["2020"]]},"page":"187-196","publisher":"Universidad del Zulia","title":"Corporate governance and its impact in company's stock price: case study","type":"article-journal","volume":"25"},"uris":["http://www.mendeley.com/documents/?uuid=2ba7902b-8974-33b2-a9bb-376ca2a73700"]}],"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664069">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p>
    <w:p w14:paraId="0EADB1B0" w14:textId="7ECAF642" w:rsidR="00632BFA" w:rsidRDefault="00632BFA" w:rsidP="00A01151">
      <w:pPr>
        <w:jc w:val="both"/>
        <w:rPr>
          <w:rFonts w:ascii="Times New Roman" w:hAnsi="Times New Roman" w:cs="Times New Roman"/>
        </w:rPr>
      </w:pPr>
      <w:r>
        <w:rPr>
          <w:rFonts w:ascii="Times New Roman" w:hAnsi="Times New Roman" w:cs="Times New Roman"/>
        </w:rPr>
        <w:t xml:space="preserve">This study follows the idea of conquering one step (or problem) at a time. It focuses on providing a solution to predict the fluctuations on a stock based on the Environment (the Historical Data). With the </w:t>
      </w:r>
      <w:r>
        <w:rPr>
          <w:rFonts w:ascii="Times New Roman" w:hAnsi="Times New Roman" w:cs="Times New Roman"/>
        </w:rPr>
        <w:lastRenderedPageBreak/>
        <w:t xml:space="preserve">availability of a massive amount of data, the challenge is to use it and draw meaningful conclusions from it. We have </w:t>
      </w:r>
      <w:proofErr w:type="spellStart"/>
      <w:r>
        <w:rPr>
          <w:rFonts w:ascii="Times New Roman" w:hAnsi="Times New Roman" w:cs="Times New Roman"/>
        </w:rPr>
        <w:t>analyzed</w:t>
      </w:r>
      <w:proofErr w:type="spellEnd"/>
      <w:r>
        <w:rPr>
          <w:rFonts w:ascii="Times New Roman" w:hAnsi="Times New Roman" w:cs="Times New Roman"/>
        </w:rPr>
        <w:t xml:space="preserve"> the data from the date of the initial issue to the date of making predictions. The two deep learning algorithms introduced in this study include a Long Short Term Memory (LSTM), a recurrent neural network architecture for time-series prediction </w:t>
      </w:r>
      <w:r>
        <w:rPr>
          <w:rFonts w:ascii="Times New Roman" w:hAnsi="Times New Roman" w:cs="Times New Roman"/>
        </w:rPr>
        <w:fldChar w:fldCharType="begin" w:fldLock="1"/>
      </w:r>
      <w:r w:rsidR="00903FF9">
        <w:rPr>
          <w:rFonts w:ascii="Times New Roman" w:hAnsi="Times New Roman" w:cs="Times New Roman"/>
        </w:rPr>
        <w:instrText>ADDIN CSL_CITATION {"citationItems":[{"id":"ITEM-1","itemData":{"DOI":"10.1162/NECO.1997.9.8.1735","ISSN":"0899-7667","abstract":"Learning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Press","title":"Long Short-Term Memory","type":"article-journal","volume":"9"},"uris":["http://www.mendeley.com/documents/?uuid=9350c61a-0928-3132-9e5f-3f6a1cc72e2b"]}],"mendeley":{"formattedCitation":"[5]","plainTextFormattedCitation":"[5]","previouslyFormattedCitation":"[5]"},"properties":{"noteIndex":0},"schema":"https://github.com/citation-style-language/schema/raw/master/csl-citation.json"}</w:instrText>
      </w:r>
      <w:r>
        <w:rPr>
          <w:rFonts w:ascii="Times New Roman" w:hAnsi="Times New Roman" w:cs="Times New Roman"/>
        </w:rPr>
        <w:fldChar w:fldCharType="separate"/>
      </w:r>
      <w:r w:rsidRPr="00632BFA">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and a Convolution Neural Network (CNN) and LSTM mix architecture for making the predictions. The baseline comparison of the deep-learning strategy is with two traditional stock trading strategies, the Buy and Hold system and the Moving Averages. </w:t>
      </w:r>
    </w:p>
    <w:p w14:paraId="7C137399" w14:textId="77777777" w:rsidR="00632BFA" w:rsidRDefault="00632BFA" w:rsidP="00A01151">
      <w:pPr>
        <w:jc w:val="both"/>
        <w:rPr>
          <w:rFonts w:ascii="Times New Roman" w:hAnsi="Times New Roman" w:cs="Times New Roman"/>
        </w:rPr>
      </w:pPr>
      <w:r>
        <w:rPr>
          <w:rFonts w:ascii="Times New Roman" w:hAnsi="Times New Roman" w:cs="Times New Roman"/>
        </w:rPr>
        <w:t>The deep learning model is trained end-to-end on new data (between a training window of the past six years from the day of making the predictions). This strategy is to prevent any sudden old fluctuations in the data from contaminating the projections. All outliers are scaled using a min-max scaler to stop them from dominating in the results.</w:t>
      </w:r>
    </w:p>
    <w:p w14:paraId="0C07EA1F" w14:textId="6DE3C00B" w:rsidR="00632BFA" w:rsidRDefault="00632BFA" w:rsidP="00A01151">
      <w:pPr>
        <w:jc w:val="both"/>
        <w:rPr>
          <w:rFonts w:ascii="Times New Roman" w:hAnsi="Times New Roman" w:cs="Times New Roman"/>
        </w:rPr>
      </w:pPr>
      <w:r>
        <w:rPr>
          <w:rFonts w:ascii="Times New Roman" w:hAnsi="Times New Roman" w:cs="Times New Roman"/>
        </w:rPr>
        <w:t xml:space="preserve">Our results suggest a substantial promise in integrating the traditional and computer-generated strategies for developing an improved quantitative investment strategy. The algorithms outperform the baselines set by the conventional approach, and the enhanced LSTM-CNN mix model provides better performance with reduced computational cost. Integration of this model with other deep learning strategies to handle other governing factors like Governance and Social can bring a new revolution in algorithmic trading using Deep Learning. </w:t>
      </w:r>
    </w:p>
    <w:p w14:paraId="554B5125" w14:textId="77777777" w:rsidR="00940E1F" w:rsidRDefault="00940E1F" w:rsidP="00A01151">
      <w:pPr>
        <w:jc w:val="both"/>
        <w:rPr>
          <w:rFonts w:ascii="Times New Roman" w:hAnsi="Times New Roman" w:cs="Times New Roman"/>
        </w:rPr>
      </w:pPr>
    </w:p>
    <w:p w14:paraId="43A32B7F" w14:textId="166903FF" w:rsidR="00632BFA" w:rsidRPr="00632BFA" w:rsidRDefault="00632BFA" w:rsidP="00A01151">
      <w:pPr>
        <w:jc w:val="both"/>
        <w:rPr>
          <w:rFonts w:ascii="Times New Roman" w:hAnsi="Times New Roman" w:cs="Times New Roman"/>
          <w:sz w:val="28"/>
          <w:szCs w:val="28"/>
        </w:rPr>
      </w:pPr>
      <w:r w:rsidRPr="00632BFA">
        <w:rPr>
          <w:rFonts w:ascii="Times New Roman" w:hAnsi="Times New Roman" w:cs="Times New Roman"/>
          <w:sz w:val="28"/>
          <w:szCs w:val="28"/>
        </w:rPr>
        <w:t xml:space="preserve">2. </w:t>
      </w:r>
      <w:r w:rsidR="00254CBB">
        <w:rPr>
          <w:rFonts w:ascii="Times New Roman" w:hAnsi="Times New Roman" w:cs="Times New Roman"/>
          <w:sz w:val="28"/>
          <w:szCs w:val="28"/>
        </w:rPr>
        <w:t>RELATED WORK</w:t>
      </w:r>
    </w:p>
    <w:p w14:paraId="7DA24189" w14:textId="77777777" w:rsidR="00940E1F" w:rsidRDefault="00903FF9" w:rsidP="00A01151">
      <w:pPr>
        <w:jc w:val="both"/>
        <w:rPr>
          <w:rFonts w:ascii="Times New Roman" w:hAnsi="Times New Roman" w:cs="Times New Roman"/>
        </w:rPr>
      </w:pPr>
      <w:r>
        <w:rPr>
          <w:rFonts w:ascii="Times New Roman" w:hAnsi="Times New Roman" w:cs="Times New Roman"/>
        </w:rPr>
        <w:t xml:space="preserve">Our work connects several relevant pieces of literature. Recent work highlights how Deep Learning can be in algorithmic trading. With researchers working on individual factors affecting the stock prices, as the social factor, Environment, and Governance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{"citationItems":[{"id":"ITEM-1","itemData":{"abstract":"As deep reinforcement learning (DRL) has been recognized as an effective approach in quantitative finance, getting hands-on experiences is attractive to beginners. However, to train a practical DRL trading agent that decides where to trade, at what price, and what quantity involves error-prone and arduous development and debugging. In this paper, we introduce a DRL library FinRL that facilitates beginners to expose themselves to quantitative finance and to develop their own stock trading strategies. Along with easily-reproducible tutorials, FinRL library allows users to streamline their own developments and to compare with existing schemes easily. Within FinRL, virtual environments are configured with stock market datasets, trading agents are trained with neural networks, and extensive backtesting is analyzed via trading performance. Moreover, it incorporates important trading constraints such as transaction cost, market liquidity and the investor's degree of risk-aversion. FinRL is featured with completeness, hands-on tutorial and reproducibility that favors beginners: (i) at multiple levels of time granularity, FinRL simulates trading environments across various stock markets, including NASDAQ-100, DJIA, S&amp;P 500, HSI, SSE 50, and CSI 300; (ii) organized in a layered architecture with modular structure, FinRL provides fine-tuned state-of-the-art DRL algorithms (DQN, DDPG, PPO, SAC, A2C, TD3, etc.), commonly-used reward functions and standard evaluation baselines to alleviate the debug-ging workloads and promote the reproducibility, and (iii) being highly extendable, FinRL reserves a complete set of user-import interfaces. Furthermore, we incorporated three application demonstrations, namely single stock trading, multiple stock trading, and portfolio allocation. The FinRL library will be available on Github at link https://github.com/AI4Finance-LLC/FinRL-Library.","author":[{"dropping-particle":"","family":"Liu","given":"Xiao-Yang","non-dropping-particle":"","parse-names":false,"suffix":""},{"dropping-particle":"","family":"Yang","given":"Hongyang","non-dropping-particle":"","parse-names":false,"suffix":""},{"dropping-particle":"","family":"Chen","given":"Qian","non-dropping-particle":"","parse-names":false,"suffix":""},{"dropping-particle":"","family":"Zhang","given":"Runjia","non-dropping-particle":"","parse-names":false,"suffix":""},{"dropping-particle":"","family":"Yang","given":"Liuqing","non-dropping-particle":"","parse-names":false,"suffix":""},{"dropping-particle":"","family":"Xiao","given":"Bowen","non-dropping-particle":"","parse-names":false,"suffix":""},{"dropping-particle":"","family":"Wang","given":"Christina Dan","non-dropping-particle":"","parse-names":false,"suffix":""}],"id":"ITEM-1","issued":{"date-parts":[["0"]]},"title":"FinRL: A Deep Reinforcement Learning Library for Automated Stock Trading in Quantitative Finance","type":"article-journal"},"uris":["http://www.mendeley.com/documents/?uuid=fe698ab9-f710-3623-8394-46dbacf10167"]},{"id":"ITEM-2","itemData":{"DOI":"10.1109/SSP.2011.5967675","abstract":"This paper investigates the extent to which sentiment revealed by traditional media and social media affects the stock market. We extract sentiment by conducting a textual analysis of articles published in the Wall Street Journal and Seeking Alpha, a popular social-media platform. We find that social-media sentiment associates strongly with contemporaneous and subsequent stock returns, even after controlling for traditional-media sentiment. The media effect is stronger for articles more closely followed by market participants and for companies mostly held by retail investors. Together, these findings point to the importance of social media as an additional channel through which views become reflected in the stock price. © 2011 IEEE.","author":[{"dropping-particle":"","family":"Chen","given":"Hailiang","non-dropping-particle":"","parse-names":false,"suffix":""},{"dropping-particle":"","family":"De","given":"Prabuddha","non-dropping-particle":"","parse-names":false,"suffix":""},{"dropping-particle":"","family":"Hu","given":"Yu","non-dropping-particle":"","parse-names":false,"suffix":""},{"dropping-particle":"","family":"Hwang","given":"Byoung Hyoun","non-dropping-particle":"","parse-names":false,"suffix":""}],"container-title":"IEEE Workshop on Statistical Signal Processing Proceedings","id":"ITEM-2","issued":{"date-parts":[["2011"]]},"page":"25-28","title":"Sentiment revealed in social media and its effect on the stock market","type":"article-journal"},"uris":["http://www.mendeley.com/documents/?uuid=e815aa5a-c8ac-33c2-9f1f-78e1ef588db3"]},{"id":"ITEM-3","itemData":{"DOI":"10.1109/SOCIALCOM.2013.141","abstract":"The study on the interactions between social media and financial markets is an interesting topic. This paper is to investigate this issue for stocks from the Shanghai/Shenzhen stock exchange, based on a popular online Chinese stock forum Guba.com.cn. Other than the traditional sentimental analysis method, for each stock, we build a Social Behavior Graph based on human's online behavior, calculate some key characteristics of the graph, and find out the correlations between trading volume/price and those characteristics. Furthermore, we make use of a BP-neural network to predict the trading volume and price of stocks. Our method has achieved a better outcomes compared to the traditional trading volume/price based time series models. A trading strategy based on our method achieved 56.28% benefits in only three month's time, when the stock price just increased 1.17%. © 2013 IEEE.","author":[{"dropping-particle":"","family":"Chen","given":"Zheng","non-dropping-particle":"","parse-names":false,"suffix":""},{"dropping-particle":"","family":"Du","given":"Xiaoqing","non-dropping-particle":"","parse-names":false,"suffix":""}],"container-title":"Proceedings - SocialCom/PASSAT/BigData/EconCom/BioMedCom 2013","id":"ITEM-3","issued":{"date-parts":[["2013"]]},"page":"913-916","title":"Study of stock prediction based on social network","type":"article-journal"},"uris":["http://www.mendeley.com/documents/?uuid=27cf61d3-a8df-31e5-8756-8ff23c37e4fd"]},{"id":"ITEM-4","itemData":{"DOI":"10.5281/ZENODO.4155459","abstract":"This study aims to evaluate the application of good corporate governance to the stock prices of Indonesian manufacturing companies. It is used a descriptive method with a quantitative approach. The population in this study is the manufacturing companies in Indonesia from 2016 to 2018. The research data uses secondary information, and financial statements of the companies. The results of the study indicate that the Independent Commissioner and Managerial Ownership have an impact on stock prices, while the Institutional Ownership does not have an impact.","author":[{"dropping-particle":"","family":"Prabowo","given":"Bahtiar","non-dropping-particle":"","parse-names":false,"suffix":""},{"dropping-particle":"","family":"Rochmatulaili","given":"Eny","non-dropping-particle":"","parse-names":false,"suffix":""},{"dropping-particle":"","family":"Rusdiyanto","given":"","non-dropping-particle":"","parse-names":false,"suffix":""},{"dropping-particle":"","family":"Sulistyowati","given":"Eny","non-dropping-particle":"","parse-names":false,"suffix":""}],"container-title":"Utopia y Praxis Latinoamericana","id":"ITEM-4","issue":"Extra10","issued":{"date-parts":[["2020"]]},"page":"187-196","publisher":"Universidad del Zulia","title":"Corporate governance and its impact in company's stock price: case study","type":"article-journal","volume":"25"},"uris":["http://www.mendeley.com/documents/?uuid=2ba7902b-8974-33b2-a9bb-376ca2a73700"]}],"mendeley":{"formattedCitation":"[3], [4], [6], [7]","manualFormatting":"[3, 4, 6, 7]","plainTextFormattedCitation":"[3], [4], [6], [7]","previouslyFormattedCitation":"[3], [4], [6], [7]"},"properties":{"noteIndex":0},"schema":"https://github.com/citation-style-language/schema/raw/master/csl-citation.json"}</w:instrText>
      </w:r>
      <w:r>
        <w:rPr>
          <w:rFonts w:ascii="Times New Roman" w:hAnsi="Times New Roman" w:cs="Times New Roman"/>
        </w:rPr>
        <w:fldChar w:fldCharType="separate"/>
      </w:r>
      <w:r w:rsidRPr="00903FF9">
        <w:rPr>
          <w:rFonts w:ascii="Times New Roman" w:hAnsi="Times New Roman" w:cs="Times New Roman"/>
          <w:noProof/>
        </w:rPr>
        <w:t>[3, 4, 6, 7]</w:t>
      </w:r>
      <w:r>
        <w:rPr>
          <w:rFonts w:ascii="Times New Roman" w:hAnsi="Times New Roman" w:cs="Times New Roman"/>
        </w:rPr>
        <w:fldChar w:fldCharType="end"/>
      </w:r>
      <w:r>
        <w:rPr>
          <w:rFonts w:ascii="Times New Roman" w:hAnsi="Times New Roman" w:cs="Times New Roman"/>
        </w:rPr>
        <w:t xml:space="preserve">, a new vision is being added to the analysis and projection of stock prices based on the contributing factors. Reinforcement Learning libraries like </w:t>
      </w:r>
      <w:proofErr w:type="spellStart"/>
      <w:r>
        <w:rPr>
          <w:rFonts w:ascii="Times New Roman" w:hAnsi="Times New Roman" w:cs="Times New Roman"/>
        </w:rPr>
        <w:t>finRL</w:t>
      </w:r>
      <w:proofErr w:type="spellEnd"/>
      <w:r>
        <w:rPr>
          <w:rFonts w:ascii="Times New Roman" w:hAnsi="Times New Roman" w:cs="Times New Roman"/>
        </w:rPr>
        <w:t xml:space="preserve"> (Financial Reinforcement Learning) and TA-Lib (Technical Analysis Library in Python) have set a new benchmark in Artificial Intelligence for finance. </w:t>
      </w:r>
    </w:p>
    <w:p w14:paraId="53144566" w14:textId="5DD6D19C" w:rsidR="00903FF9" w:rsidRDefault="00940E1F" w:rsidP="00A01151">
      <w:pPr>
        <w:jc w:val="both"/>
        <w:rPr>
          <w:rFonts w:ascii="Times New Roman" w:hAnsi="Times New Roman" w:cs="Times New Roman"/>
        </w:rPr>
      </w:pPr>
      <w:r>
        <w:rPr>
          <w:rFonts w:ascii="Times New Roman" w:hAnsi="Times New Roman" w:cs="Times New Roman"/>
        </w:rPr>
        <w:t xml:space="preserve">The use of machine learning algorithms like Support Vector Machine (SVM)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{"citationItems":[{"id":"ITEM-1","itemData":{"DOI":"10.1016/J.ESWA.2009.02.038","ISSN":"0957-4174","abstract":"In this paper, we developed a prediction model based on support vector machine (SVM) with a hybrid feature selection method to predict the trend of stock markets. This proposed hybrid feature selection method, named F-score and Supported Sequential Forward Search (F_SSFS), combines the advantages of filter methods and wrapper methods to select the optimal feature subset from original feature set. To evaluate the prediction accuracy of this SVM-based model combined with F_SSFS, we compare its performance with back-propagation neural network (BPNN) along with three commonly used feature selection methods including Information gain, Symmetrical uncertainty, and Correlation-based feature selection via paired t-test. The grid-search technique using 5-fold cross-validation is used to find out the best parameter value of kernel function of SVM. In this study, we show that SVM outperforms BPN to the problem of stock trend prediction. In addition, our experimental results show that the proposed SVM-based model combined with F_SSFS has the highest level of accuracies and generalization performance in comparison with the other three feature selection methods. With these results, we claim that SVM combined with F_SSFS can serve as a promising addition to the existing stock trend prediction methods. © 2009 Elsevier Ltd. All rights reserved.","author":[{"dropping-particle":"","family":"Lee","given":"Ming Chi","non-dropping-particle":"","parse-names":false,"suffix":""}],"container-title":"Expert Systems with Applications","id":"ITEM-1","issue":"8","issued":{"date-parts":[["2009","10","1"]]},"page":"10896-10904","publisher":"Pergamon","title":"Using support vector machine with a hybrid feature selection method to the stock trend prediction","type":"article-journal","volume":"36"},"uris":["http://www.mendeley.com/documents/?uuid=14c6f8ba-ee47-3fe2-b2cf-e55f7202efbb"]}],"mendeley":{"formattedCitation":"[8]","plainTextFormattedCitation":"[8]","previouslyFormattedCitation":"[8]"},"properties":{"noteIndex":0},"schema":"https://github.com/citation-style-language/schema/raw/master/csl-citation.json"}</w:instrText>
      </w:r>
      <w:r>
        <w:rPr>
          <w:rFonts w:ascii="Times New Roman" w:hAnsi="Times New Roman" w:cs="Times New Roman"/>
        </w:rPr>
        <w:fldChar w:fldCharType="separate"/>
      </w:r>
      <w:r w:rsidRPr="00940E1F">
        <w:rPr>
          <w:rFonts w:ascii="Times New Roman" w:hAnsi="Times New Roman" w:cs="Times New Roman"/>
          <w:noProof/>
        </w:rPr>
        <w:t>[8]</w:t>
      </w:r>
      <w:r>
        <w:rPr>
          <w:rFonts w:ascii="Times New Roman" w:hAnsi="Times New Roman" w:cs="Times New Roman"/>
        </w:rPr>
        <w:fldChar w:fldCharType="end"/>
      </w:r>
      <w:r>
        <w:rPr>
          <w:rFonts w:ascii="Times New Roman" w:hAnsi="Times New Roman" w:cs="Times New Roman"/>
        </w:rPr>
        <w:t xml:space="preserve"> and a hybrid feature selection method provided a detailed parameter adjustment procedure with performance under different parameter values. The performance of this algorithm is significantly less than the state-of-art LSTMs. </w:t>
      </w:r>
    </w:p>
    <w:p w14:paraId="5DCF79D0" w14:textId="2A020902" w:rsidR="00940E1F" w:rsidRDefault="00940E1F" w:rsidP="00A01151">
      <w:pPr>
        <w:jc w:val="both"/>
        <w:rPr>
          <w:rFonts w:ascii="Times New Roman" w:hAnsi="Times New Roman" w:cs="Times New Roman"/>
        </w:rPr>
      </w:pPr>
      <w:r>
        <w:rPr>
          <w:rFonts w:ascii="Times New Roman" w:hAnsi="Times New Roman" w:cs="Times New Roman"/>
        </w:rPr>
        <w:t xml:space="preserve">Various other LSTM based models on long-term data fail to address the computational complexities and the efforts required to train it </w:t>
      </w:r>
      <w:r>
        <w:rPr>
          <w:rFonts w:ascii="Times New Roman" w:hAnsi="Times New Roman" w:cs="Times New Roman"/>
        </w:rPr>
        <w:fldChar w:fldCharType="begin" w:fldLock="1"/>
      </w:r>
      <w:r w:rsidR="00A01151">
        <w:rPr>
          <w:rFonts w:ascii="Times New Roman" w:hAnsi="Times New Roman" w:cs="Times New Roman"/>
        </w:rPr>
        <w:instrText>ADDIN CSL_CITATION {"citationItems":[{"id":"ITEM-1","itemData":{"DOI":"10.1016/J.EJOR.2017.11.054","ISSN":"0377-2217","abstract":"Long short-term memory (LSTM) networks are a state-of-the-art technique for sequence learning. They are less commonly applied to financial time series predictions, yet inherently suitable for this domain. We deploy LSTM networks for predicting out-of-sample directional movements for the constituent stocks of the S&amp;P 500 from 1992 until 2015. With daily returns of 0.46 percent and a Sharpe ratio of 5.8 prior to transaction costs, we find LSTM networks to outperform memory-free classification methods, i.e., a random forest (RAF), a deep neural net (DNN), and a logistic regression classifier (LOG). The outperformance relative to the general market is very clear from 1992 to 2009, but as of 2010, excess returns seem to have been arbitraged away with LSTM profitability fluctuating around zero after transaction costs. We further unveil sources of profitability, thereby shedding light into the black box of artificial neural networks. Specifically, we find one common pattern among the stocks selected for trading – they exhibit high volatility and a short-term reversal return profile. Leveraging these findings, we are able to formalize a rules-based short-term reversal strategy that yields 0.23 percent prior to transaction costs. Further regression analysis unveils low exposure of the LSTM returns to common sources of systematic risk – also compared to the three benchmark models.","author":[{"dropping-particle":"","family":"Fischer","given":"Thomas","non-dropping-particle":"","parse-names":false,"suffix":""},{"dropping-particle":"","family":"Krauss","given":"Christopher","non-dropping-particle":"","parse-names":false,"suffix":""}],"container-title":"European Journal of Operational Research","id":"ITEM-1","issue":"2","issued":{"date-parts":[["2018","10","16"]]},"page":"654-669","publisher":"North-Holland","title":"Deep learning with long short-term memory networks for financial market predictions","type":"article-journal","volume":"270"},"uris":["http://www.mendeley.com/documents/?uuid=51bdd48f-9e9b-31bc-b862-408f62480b27"]}],"mendeley":{"formattedCitation":"[9]","plainTextFormattedCitation":"[9]","previouslyFormattedCitation":"[9]"},"properties":{"noteIndex":0},"schema":"https://github.com/citation-style-language/schema/raw/master/csl-citation.json"}</w:instrText>
      </w:r>
      <w:r>
        <w:rPr>
          <w:rFonts w:ascii="Times New Roman" w:hAnsi="Times New Roman" w:cs="Times New Roman"/>
        </w:rPr>
        <w:fldChar w:fldCharType="separate"/>
      </w:r>
      <w:r w:rsidRPr="00940E1F">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 xml:space="preserve">. Our study focuses on the training aspect of the model and tries to reduce the training time even in a limited computational environment. </w:t>
      </w:r>
    </w:p>
    <w:p w14:paraId="60DF5941" w14:textId="7603C3A4" w:rsidR="00940E1F" w:rsidRDefault="00903FF9" w:rsidP="00A01151">
      <w:pPr>
        <w:jc w:val="both"/>
        <w:rPr>
          <w:rFonts w:ascii="Times New Roman" w:hAnsi="Times New Roman" w:cs="Times New Roman"/>
        </w:rPr>
      </w:pPr>
      <w:r>
        <w:rPr>
          <w:rFonts w:ascii="Times New Roman" w:hAnsi="Times New Roman" w:cs="Times New Roman"/>
        </w:rPr>
        <w:t xml:space="preserve">The limitation of these developments is that they fail to scale because of high computational requirements </w:t>
      </w:r>
      <w:r>
        <w:rPr>
          <w:rFonts w:ascii="Times New Roman" w:hAnsi="Times New Roman" w:cs="Times New Roman"/>
        </w:rPr>
        <w:fldChar w:fldCharType="begin" w:fldLock="1"/>
      </w:r>
      <w:r w:rsidR="00A01151">
        <w:rPr>
          <w:rFonts w:ascii="Times New Roman" w:hAnsi="Times New Roman" w:cs="Times New Roman"/>
        </w:rPr>
        <w:instrText>ADDIN CSL_CITATION {"citationItems":[{"id":"ITEM-1","itemData":{"abstract":"Liquidation is the process of selling a large number of shares of one stock\nsequentially within a given time frame, taking into consideration the costs\narising from market impact and a trader's risk aversion. The main challenge in\noptimizing liquidation is to find an appropriate modeling system that can\nincorporate the complexities of the stock market and generate practical trading\nstrategies. In this paper, we propose to use multi-agent deep reinforcement\nlearning model, which better captures high-level complexities comparing to\nvarious machine learning methods, such that agents can learn how to make the\nbest selling decisions. First, we theoretically analyze the Almgren and Chriss\nmodel and extend its fundamental mechanism so it can be used as the multi-agent\ntrading environment. Our work builds the foundation for future multi-agent\nenvironment trading analysis. Secondly, we analyze the cooperative and\ncompetitive behaviours between agents by adjusting the reward functions for\neach agent, which overcomes the limitation of single-agent reinforcement\nlearning algorithms. Finally, we simulate trading and develop an optimal\ntrading strategy with practical constraints by using a reinforcement learning\nmethod, which shows the capabilities of reinforcement learning methods in\nsolving realistic liquidation problems.","author":[{"dropping-particle":"","family":"Bao","given":"Wenhang","non-dropping-particle":"","parse-names":false,"suffix":""},{"dropping-particle":"","family":"Liu","given":"Xiao-yang","non-dropping-particle":"","parse-names":false,"suffix":""}],"id":"ITEM-1","issued":{"date-parts":[["2019","6","24"]]},"title":"Multi-Agent Deep Reinforcement Learning for Liquidation Strategy Analysis","type":"article-journal"},"uris":["http://www.mendeley.com/documents/?uuid=f1c33c61-1ef9-3cc5-939b-16eb81fab913"]}],"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00940E1F" w:rsidRPr="00940E1F">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The creation of new replicas of the trading environment and dummy data generation fail to use the existing data. The current deep learning solutions using LSTMs and LSTM-CNN Mix are tested only on short-term predictions ranging from 1 day to 10 days </w:t>
      </w:r>
      <w:r>
        <w:rPr>
          <w:rFonts w:ascii="Times New Roman" w:hAnsi="Times New Roman" w:cs="Times New Roman"/>
        </w:rPr>
        <w:fldChar w:fldCharType="begin" w:fldLock="1"/>
      </w:r>
      <w:r w:rsidR="00A01151">
        <w:rPr>
          <w:rFonts w:ascii="Times New Roman" w:hAnsi="Times New Roman" w:cs="Times New Roman"/>
        </w:rPr>
        <w:instrText>ADDIN CSL_CITATION {"citationItems":[{"id":"ITEM-1","itemData":{"DOI":"10.1186/S40537-020-00333-6","ISSN":"2196-1115","abstract":"In the era of big data, deep learning for predicting stock market prices and trends has become even more popular than before. We collected 2 years of data from Chinese stock market and proposed a comprehensive customization of feature engineering and deep learning-based model for predicting price trend of stock markets. The proposed solution is comprehensive as it includes pre-processing of the stock market dataset, utilization of multiple feature engineering techniques, combined with a customized deep learning based system for stock market price trend prediction. We conducted comprehensive evaluations on frequently used machine learning models and conclude that our proposed solution outperforms due to the comprehensive feature engineering that we built. The system achieves overall high accuracy for stock market trend prediction. With the detailed design and evaluation of prediction term lengths, feature engineering, and data pre-processing methods, this work contributes to the stock analysis research community both in the financial and technical domains.","author":[{"dropping-particle":"","family":"Shen","given":"Jingyi","non-dropping-particle":"","parse-names":false,"suffix":""},{"dropping-particle":"","family":"Shafiq","given":"M. Omair","non-dropping-particle":"","parse-names":false,"suffix":""}],"container-title":"Journal of Big Data 2020 7:1","id":"ITEM-1","issue":"1","issued":{"date-parts":[["2020","8","28"]]},"page":"1-33","publisher":"SpringerOpen","title":"Short-term stock market price trend prediction using a comprehensive deep learning system","type":"article-journal","volume":"7"},"uris":["http://www.mendeley.com/documents/?uuid=19f0f3a3-b4ca-39c7-9a94-87c9a25b3c35"]}],"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00940E1F" w:rsidRPr="00940E1F">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p>
    <w:p w14:paraId="377BEFA1" w14:textId="7A3A252E" w:rsidR="00903FF9" w:rsidRDefault="00903FF9" w:rsidP="00A01151">
      <w:pPr>
        <w:jc w:val="both"/>
        <w:rPr>
          <w:rFonts w:ascii="Times New Roman" w:hAnsi="Times New Roman" w:cs="Times New Roman"/>
        </w:rPr>
      </w:pPr>
      <w:r>
        <w:rPr>
          <w:rFonts w:ascii="Times New Roman" w:hAnsi="Times New Roman" w:cs="Times New Roman"/>
        </w:rPr>
        <w:t>The main contribution of our work to this problem is</w:t>
      </w:r>
      <w:r w:rsidR="00CF5F1A">
        <w:rPr>
          <w:rFonts w:ascii="Times New Roman" w:hAnsi="Times New Roman" w:cs="Times New Roman"/>
        </w:rPr>
        <w:t xml:space="preserve"> to</w:t>
      </w:r>
      <w:r>
        <w:rPr>
          <w:rFonts w:ascii="Times New Roman" w:hAnsi="Times New Roman" w:cs="Times New Roman"/>
        </w:rPr>
        <w:t>:</w:t>
      </w:r>
    </w:p>
    <w:p w14:paraId="4E591059" w14:textId="361D41D8" w:rsidR="00903FF9" w:rsidRDefault="00903FF9" w:rsidP="00A01151">
      <w:pPr>
        <w:pStyle w:val="ListParagraph"/>
        <w:numPr>
          <w:ilvl w:val="0"/>
          <w:numId w:val="11"/>
        </w:numPr>
        <w:jc w:val="both"/>
        <w:rPr>
          <w:rFonts w:ascii="Times New Roman" w:hAnsi="Times New Roman" w:cs="Times New Roman"/>
        </w:rPr>
      </w:pPr>
      <w:r>
        <w:rPr>
          <w:rFonts w:ascii="Times New Roman" w:hAnsi="Times New Roman" w:cs="Times New Roman"/>
        </w:rPr>
        <w:t>Us</w:t>
      </w:r>
      <w:r w:rsidR="00CF5F1A">
        <w:rPr>
          <w:rFonts w:ascii="Times New Roman" w:hAnsi="Times New Roman" w:cs="Times New Roman"/>
        </w:rPr>
        <w:t>e</w:t>
      </w:r>
      <w:r>
        <w:rPr>
          <w:rFonts w:ascii="Times New Roman" w:hAnsi="Times New Roman" w:cs="Times New Roman"/>
        </w:rPr>
        <w:t xml:space="preserve"> existing, </w:t>
      </w:r>
      <w:proofErr w:type="spellStart"/>
      <w:r>
        <w:rPr>
          <w:rFonts w:ascii="Times New Roman" w:hAnsi="Times New Roman" w:cs="Times New Roman"/>
        </w:rPr>
        <w:t>publically</w:t>
      </w:r>
      <w:proofErr w:type="spellEnd"/>
      <w:r>
        <w:rPr>
          <w:rFonts w:ascii="Times New Roman" w:hAnsi="Times New Roman" w:cs="Times New Roman"/>
        </w:rPr>
        <w:t xml:space="preserve"> available historical data of stocks to train and test the model. </w:t>
      </w:r>
    </w:p>
    <w:p w14:paraId="41984D73" w14:textId="3C1A4E06" w:rsidR="00903FF9" w:rsidRDefault="00CF5F1A" w:rsidP="00A01151">
      <w:pPr>
        <w:pStyle w:val="ListParagraph"/>
        <w:numPr>
          <w:ilvl w:val="0"/>
          <w:numId w:val="11"/>
        </w:numPr>
        <w:jc w:val="both"/>
        <w:rPr>
          <w:rFonts w:ascii="Times New Roman" w:hAnsi="Times New Roman" w:cs="Times New Roman"/>
        </w:rPr>
      </w:pPr>
      <w:r>
        <w:rPr>
          <w:rFonts w:ascii="Times New Roman" w:hAnsi="Times New Roman" w:cs="Times New Roman"/>
        </w:rPr>
        <w:t>Development of a</w:t>
      </w:r>
      <w:r w:rsidR="00903FF9">
        <w:rPr>
          <w:rFonts w:ascii="Times New Roman" w:hAnsi="Times New Roman" w:cs="Times New Roman"/>
        </w:rPr>
        <w:t xml:space="preserve"> computationally cheaper and simple deep-learning solution</w:t>
      </w:r>
      <w:r>
        <w:rPr>
          <w:rFonts w:ascii="Times New Roman" w:hAnsi="Times New Roman" w:cs="Times New Roman"/>
        </w:rPr>
        <w:t xml:space="preserve"> to</w:t>
      </w:r>
      <w:r w:rsidR="00903FF9">
        <w:rPr>
          <w:rFonts w:ascii="Times New Roman" w:hAnsi="Times New Roman" w:cs="Times New Roman"/>
        </w:rPr>
        <w:t xml:space="preserve"> provide</w:t>
      </w:r>
      <w:r>
        <w:rPr>
          <w:rFonts w:ascii="Times New Roman" w:hAnsi="Times New Roman" w:cs="Times New Roman"/>
        </w:rPr>
        <w:t xml:space="preserve"> </w:t>
      </w:r>
      <w:r w:rsidR="00903FF9">
        <w:rPr>
          <w:rFonts w:ascii="Times New Roman" w:hAnsi="Times New Roman" w:cs="Times New Roman"/>
        </w:rPr>
        <w:t xml:space="preserve">enhanced performance and improved scalability. </w:t>
      </w:r>
    </w:p>
    <w:p w14:paraId="47707462" w14:textId="5D164D87" w:rsidR="00903FF9" w:rsidRDefault="00903FF9" w:rsidP="00A01151">
      <w:pPr>
        <w:pStyle w:val="ListParagraph"/>
        <w:numPr>
          <w:ilvl w:val="0"/>
          <w:numId w:val="11"/>
        </w:numPr>
        <w:jc w:val="both"/>
        <w:rPr>
          <w:rFonts w:ascii="Times New Roman" w:hAnsi="Times New Roman" w:cs="Times New Roman"/>
        </w:rPr>
      </w:pPr>
      <w:r>
        <w:rPr>
          <w:rFonts w:ascii="Times New Roman" w:hAnsi="Times New Roman" w:cs="Times New Roman"/>
        </w:rPr>
        <w:t>Compar</w:t>
      </w:r>
      <w:r w:rsidR="00CF5F1A">
        <w:rPr>
          <w:rFonts w:ascii="Times New Roman" w:hAnsi="Times New Roman" w:cs="Times New Roman"/>
        </w:rPr>
        <w:t>ing</w:t>
      </w:r>
      <w:r>
        <w:rPr>
          <w:rFonts w:ascii="Times New Roman" w:hAnsi="Times New Roman" w:cs="Times New Roman"/>
        </w:rPr>
        <w:t xml:space="preserve"> various investment strategies (Traditional and Deep Learning) makes it easier for the user to create a rational decision. </w:t>
      </w:r>
    </w:p>
    <w:p w14:paraId="40496813" w14:textId="24AAC509" w:rsidR="00903FF9" w:rsidRDefault="00CF5F1A" w:rsidP="00A01151">
      <w:pPr>
        <w:jc w:val="both"/>
        <w:rPr>
          <w:rFonts w:ascii="Times New Roman" w:hAnsi="Times New Roman" w:cs="Times New Roman"/>
        </w:rPr>
      </w:pPr>
      <w:r>
        <w:rPr>
          <w:rFonts w:ascii="Times New Roman" w:hAnsi="Times New Roman" w:cs="Times New Roman"/>
        </w:rPr>
        <w:t xml:space="preserve">Our work uses the stock market to focus on a crucial issue, to align the human devised strategies with the computer-generated strategy for algorithmic trading and quantitative finance. </w:t>
      </w:r>
    </w:p>
    <w:p w14:paraId="1F9496C4" w14:textId="77777777" w:rsidR="00242F28" w:rsidRDefault="00242F28" w:rsidP="00A01151">
      <w:pPr>
        <w:jc w:val="both"/>
        <w:rPr>
          <w:rFonts w:ascii="Times New Roman" w:hAnsi="Times New Roman" w:cs="Times New Roman"/>
        </w:rPr>
      </w:pPr>
    </w:p>
    <w:p w14:paraId="2268AC68" w14:textId="3C25C724" w:rsidR="00242F28" w:rsidRDefault="00242F28" w:rsidP="00A01151">
      <w:pPr>
        <w:jc w:val="both"/>
        <w:rPr>
          <w:rFonts w:ascii="Times New Roman" w:hAnsi="Times New Roman" w:cs="Times New Roman"/>
          <w:sz w:val="28"/>
          <w:szCs w:val="28"/>
        </w:rPr>
      </w:pPr>
      <w:r>
        <w:rPr>
          <w:rFonts w:ascii="Times New Roman" w:hAnsi="Times New Roman" w:cs="Times New Roman"/>
          <w:sz w:val="28"/>
          <w:szCs w:val="28"/>
        </w:rPr>
        <w:t>3</w:t>
      </w:r>
      <w:r w:rsidRPr="00632BFA">
        <w:rPr>
          <w:rFonts w:ascii="Times New Roman" w:hAnsi="Times New Roman" w:cs="Times New Roman"/>
          <w:sz w:val="28"/>
          <w:szCs w:val="28"/>
        </w:rPr>
        <w:t xml:space="preserve">. </w:t>
      </w:r>
      <w:r w:rsidR="00254CBB">
        <w:rPr>
          <w:rFonts w:ascii="Times New Roman" w:hAnsi="Times New Roman" w:cs="Times New Roman"/>
          <w:sz w:val="28"/>
          <w:szCs w:val="28"/>
        </w:rPr>
        <w:t>DATA AND BACKGROUND</w:t>
      </w:r>
    </w:p>
    <w:p w14:paraId="105580EE" w14:textId="075DDAF1" w:rsidR="00A01151" w:rsidRPr="00A01151" w:rsidRDefault="00A01151" w:rsidP="00A01151">
      <w:pPr>
        <w:jc w:val="both"/>
        <w:rPr>
          <w:rFonts w:ascii="Times New Roman" w:hAnsi="Times New Roman" w:cs="Times New Roman"/>
          <w:sz w:val="24"/>
          <w:szCs w:val="24"/>
        </w:rPr>
      </w:pPr>
      <w:r w:rsidRPr="00A01151">
        <w:rPr>
          <w:rFonts w:ascii="Times New Roman" w:hAnsi="Times New Roman" w:cs="Times New Roman"/>
          <w:sz w:val="24"/>
          <w:szCs w:val="24"/>
        </w:rPr>
        <w:t>3.1 B</w:t>
      </w:r>
      <w:r>
        <w:rPr>
          <w:rFonts w:ascii="Times New Roman" w:hAnsi="Times New Roman" w:cs="Times New Roman"/>
          <w:sz w:val="24"/>
          <w:szCs w:val="24"/>
        </w:rPr>
        <w:t>ackground</w:t>
      </w:r>
    </w:p>
    <w:p w14:paraId="750E2498" w14:textId="1542C645" w:rsidR="00A01151" w:rsidRPr="00E320EB" w:rsidRDefault="00E55817" w:rsidP="00A01151">
      <w:pPr>
        <w:jc w:val="both"/>
        <w:rPr>
          <w:rFonts w:ascii="Times New Roman" w:hAnsi="Times New Roman" w:cs="Times New Roman"/>
          <w:b/>
          <w:bCs/>
        </w:rPr>
      </w:pPr>
      <w:r w:rsidRPr="00E320EB">
        <w:rPr>
          <w:rFonts w:ascii="Times New Roman" w:hAnsi="Times New Roman" w:cs="Times New Roman"/>
        </w:rPr>
        <w:t>Our work leverages three radically different approaches</w:t>
      </w:r>
      <w:r w:rsidR="00A01151" w:rsidRPr="00E320EB">
        <w:rPr>
          <w:rFonts w:ascii="Times New Roman" w:hAnsi="Times New Roman" w:cs="Times New Roman"/>
        </w:rPr>
        <w:t>. T</w:t>
      </w:r>
      <w:r w:rsidRPr="00E320EB">
        <w:rPr>
          <w:rFonts w:ascii="Times New Roman" w:hAnsi="Times New Roman" w:cs="Times New Roman"/>
        </w:rPr>
        <w:t>he moving average method is purely mathematical</w:t>
      </w:r>
      <w:r w:rsidR="00A01151" w:rsidRPr="00E320EB">
        <w:rPr>
          <w:rFonts w:ascii="Times New Roman" w:hAnsi="Times New Roman" w:cs="Times New Roman"/>
        </w:rPr>
        <w:t xml:space="preserve">, and the Buy and Hold strategy is positional and confidence-based. In contrast, stockDL focuses on two deep learning architectures, a black-box, and tries to understand the pattern in the historical data and derive meaningful insights from it. </w:t>
      </w:r>
    </w:p>
    <w:p w14:paraId="205789F3" w14:textId="60F98ED1" w:rsidR="00A01151" w:rsidRPr="00E320EB" w:rsidRDefault="00A01151" w:rsidP="00A01151">
      <w:pPr>
        <w:pStyle w:val="NormalWeb"/>
        <w:spacing w:before="0" w:beforeAutospacing="0" w:after="0" w:afterAutospacing="0"/>
        <w:jc w:val="both"/>
        <w:rPr>
          <w:color w:val="0E101A"/>
          <w:sz w:val="22"/>
          <w:szCs w:val="22"/>
        </w:rPr>
      </w:pPr>
      <w:r w:rsidRPr="00E320EB">
        <w:rPr>
          <w:b/>
          <w:bCs/>
          <w:sz w:val="22"/>
          <w:szCs w:val="22"/>
        </w:rPr>
        <w:t xml:space="preserve">Moving Average Strategy: </w:t>
      </w:r>
      <w:r w:rsidRPr="00E320EB">
        <w:rPr>
          <w:sz w:val="22"/>
          <w:szCs w:val="22"/>
        </w:rPr>
        <w:t xml:space="preserve">It follows a set of rules to decide whether to Trade </w:t>
      </w:r>
      <w:proofErr w:type="gramStart"/>
      <w:r w:rsidRPr="00E320EB">
        <w:rPr>
          <w:sz w:val="22"/>
          <w:szCs w:val="22"/>
        </w:rPr>
        <w:t>In</w:t>
      </w:r>
      <w:proofErr w:type="gramEnd"/>
      <w:r w:rsidRPr="00E320EB">
        <w:rPr>
          <w:sz w:val="22"/>
          <w:szCs w:val="22"/>
        </w:rPr>
        <w:t xml:space="preserve"> or Stay Out of the market for the month considered. This strategy focuses on</w:t>
      </w:r>
      <w:r w:rsidRPr="00E320EB">
        <w:rPr>
          <w:color w:val="0E101A"/>
          <w:sz w:val="22"/>
          <w:szCs w:val="22"/>
        </w:rPr>
        <w:t xml:space="preserve"> smoothening out the price trends by filtering out the noise from short-term predictions. It acts as a support in case of an uptrend of the time frame taken. This method helps in understanding where Moving Averages will offer support and where it offers resistance. Support indicates a price level where we can expect a downtrend, whereas resistance suggests an increase in the price level, that is, an uptrend. Traditional investors have developed various tools to use the moving average to indicate upcoming trends in the prices. </w:t>
      </w:r>
    </w:p>
    <w:p w14:paraId="7D9EE754" w14:textId="05DA5080" w:rsidR="00A01151" w:rsidRPr="00E320EB" w:rsidRDefault="00A01151" w:rsidP="00A01151">
      <w:pPr>
        <w:pStyle w:val="NormalWeb"/>
        <w:spacing w:before="0" w:beforeAutospacing="0" w:after="0" w:afterAutospacing="0"/>
        <w:jc w:val="both"/>
        <w:rPr>
          <w:color w:val="0E101A"/>
          <w:sz w:val="22"/>
          <w:szCs w:val="22"/>
        </w:rPr>
      </w:pPr>
    </w:p>
    <w:p w14:paraId="234F016A" w14:textId="71718105" w:rsidR="00A01151" w:rsidRPr="00E320EB" w:rsidRDefault="00BF0399" w:rsidP="00A01151">
      <w:pPr>
        <w:pStyle w:val="NormalWeb"/>
        <w:spacing w:before="0" w:beforeAutospacing="0" w:after="0" w:afterAutospacing="0"/>
        <w:jc w:val="both"/>
        <w:rPr>
          <w:color w:val="0E101A"/>
          <w:sz w:val="22"/>
          <w:szCs w:val="22"/>
        </w:rPr>
      </w:pPr>
      <m:oMathPara>
        <m:oMath>
          <m:f>
            <m:fPr>
              <m:ctrlPr>
                <w:rPr>
                  <w:rFonts w:ascii="Cambria Math" w:hAnsi="Cambria Math"/>
                  <w:color w:val="0E101A"/>
                  <w:sz w:val="22"/>
                  <w:szCs w:val="22"/>
                </w:rPr>
              </m:ctrlPr>
            </m:fPr>
            <m:num>
              <m:nary>
                <m:naryPr>
                  <m:chr m:val="∑"/>
                  <m:ctrlPr>
                    <w:rPr>
                      <w:rFonts w:ascii="Cambria Math" w:hAnsi="Cambria Math"/>
                      <w:color w:val="0E101A"/>
                      <w:sz w:val="22"/>
                      <w:szCs w:val="22"/>
                    </w:rPr>
                  </m:ctrlPr>
                </m:naryPr>
                <m:sub>
                  <m:r>
                    <w:rPr>
                      <w:rFonts w:ascii="Cambria Math" w:hAnsi="Cambria Math"/>
                      <w:color w:val="0E101A"/>
                      <w:sz w:val="22"/>
                      <w:szCs w:val="22"/>
                    </w:rPr>
                    <m:t>i=m</m:t>
                  </m:r>
                  <m:ctrlPr>
                    <w:rPr>
                      <w:rFonts w:ascii="Cambria Math" w:hAnsi="Cambria Math"/>
                      <w:i/>
                      <w:color w:val="0E101A"/>
                      <w:sz w:val="22"/>
                      <w:szCs w:val="22"/>
                    </w:rPr>
                  </m:ctrlPr>
                </m:sub>
                <m:sup>
                  <m:r>
                    <w:rPr>
                      <w:rFonts w:ascii="Cambria Math" w:hAnsi="Cambria Math"/>
                      <w:color w:val="0E101A"/>
                      <w:sz w:val="22"/>
                      <w:szCs w:val="22"/>
                    </w:rPr>
                    <m:t>n</m:t>
                  </m:r>
                  <m:ctrlPr>
                    <w:rPr>
                      <w:rFonts w:ascii="Cambria Math" w:hAnsi="Cambria Math"/>
                      <w:i/>
                      <w:color w:val="0E101A"/>
                      <w:sz w:val="22"/>
                      <w:szCs w:val="22"/>
                    </w:rPr>
                  </m:ctrlPr>
                </m:sup>
                <m:e>
                  <m:r>
                    <w:rPr>
                      <w:rFonts w:ascii="Cambria Math" w:hAnsi="Cambria Math"/>
                      <w:color w:val="0E101A"/>
                      <w:sz w:val="22"/>
                      <w:szCs w:val="22"/>
                    </w:rPr>
                    <m:t>Price</m:t>
                  </m:r>
                  <m:ctrlPr>
                    <w:rPr>
                      <w:rFonts w:ascii="Cambria Math" w:hAnsi="Cambria Math"/>
                      <w:i/>
                      <w:color w:val="0E101A"/>
                      <w:sz w:val="22"/>
                      <w:szCs w:val="22"/>
                    </w:rPr>
                  </m:ctrlPr>
                </m:e>
              </m:nary>
              <m:ctrlPr>
                <w:rPr>
                  <w:rFonts w:ascii="Cambria Math" w:hAnsi="Cambria Math"/>
                  <w:i/>
                  <w:color w:val="0E101A"/>
                  <w:sz w:val="22"/>
                  <w:szCs w:val="22"/>
                </w:rPr>
              </m:ctrlPr>
            </m:num>
            <m:den>
              <m:r>
                <w:rPr>
                  <w:rFonts w:ascii="Cambria Math" w:hAnsi="Cambria Math"/>
                  <w:color w:val="0E101A"/>
                  <w:sz w:val="22"/>
                  <w:szCs w:val="22"/>
                </w:rPr>
                <m:t>m-n</m:t>
              </m:r>
              <m:ctrlPr>
                <w:rPr>
                  <w:rFonts w:ascii="Cambria Math" w:hAnsi="Cambria Math"/>
                  <w:i/>
                  <w:color w:val="0E101A"/>
                  <w:sz w:val="22"/>
                  <w:szCs w:val="22"/>
                </w:rPr>
              </m:ctrlPr>
            </m:den>
          </m:f>
        </m:oMath>
      </m:oMathPara>
    </w:p>
    <w:p w14:paraId="2A6F8C8A" w14:textId="77777777" w:rsidR="00A01151" w:rsidRPr="00E320EB" w:rsidRDefault="00A01151" w:rsidP="00A01151">
      <w:pPr>
        <w:pStyle w:val="NormalWeb"/>
        <w:spacing w:before="0" w:beforeAutospacing="0" w:after="0" w:afterAutospacing="0"/>
        <w:jc w:val="both"/>
        <w:rPr>
          <w:color w:val="0E101A"/>
          <w:sz w:val="22"/>
          <w:szCs w:val="22"/>
        </w:rPr>
      </w:pPr>
    </w:p>
    <w:p w14:paraId="3A57838E" w14:textId="4DAEE9E7" w:rsidR="00A01151" w:rsidRPr="00E320EB" w:rsidRDefault="00A01151" w:rsidP="00A01151">
      <w:pPr>
        <w:pStyle w:val="NormalWeb"/>
        <w:spacing w:before="0" w:beforeAutospacing="0" w:after="0" w:afterAutospacing="0"/>
        <w:jc w:val="both"/>
        <w:rPr>
          <w:color w:val="0E101A"/>
          <w:sz w:val="22"/>
          <w:szCs w:val="22"/>
        </w:rPr>
      </w:pPr>
      <m:oMathPara>
        <m:oMath>
          <m:r>
            <w:rPr>
              <w:rFonts w:ascii="Cambria Math" w:hAnsi="Cambria Math"/>
              <w:color w:val="0E101A"/>
              <w:sz w:val="22"/>
              <w:szCs w:val="22"/>
            </w:rPr>
            <m:t xml:space="preserve">Where m→is the starting date </m:t>
          </m:r>
          <m:d>
            <m:dPr>
              <m:ctrlPr>
                <w:rPr>
                  <w:rFonts w:ascii="Cambria Math" w:hAnsi="Cambria Math"/>
                  <w:i/>
                  <w:color w:val="0E101A"/>
                  <w:sz w:val="22"/>
                  <w:szCs w:val="22"/>
                </w:rPr>
              </m:ctrlPr>
            </m:dPr>
            <m:e>
              <m:r>
                <w:rPr>
                  <w:rFonts w:ascii="Cambria Math" w:hAnsi="Cambria Math"/>
                  <w:color w:val="0E101A"/>
                  <w:sz w:val="22"/>
                  <w:szCs w:val="22"/>
                </w:rPr>
                <m:t>Six years before n</m:t>
              </m:r>
            </m:e>
          </m:d>
        </m:oMath>
      </m:oMathPara>
    </w:p>
    <w:p w14:paraId="5DF0BBC5" w14:textId="446200D1" w:rsidR="00A01151" w:rsidRPr="00E320EB" w:rsidRDefault="00A01151" w:rsidP="00A01151">
      <w:pPr>
        <w:pStyle w:val="NormalWeb"/>
        <w:spacing w:before="0" w:beforeAutospacing="0" w:after="0" w:afterAutospacing="0"/>
        <w:jc w:val="both"/>
        <w:rPr>
          <w:color w:val="0E101A"/>
          <w:sz w:val="22"/>
          <w:szCs w:val="22"/>
        </w:rPr>
      </w:pPr>
      <m:oMathPara>
        <m:oMath>
          <m:r>
            <w:rPr>
              <w:rFonts w:ascii="Cambria Math" w:hAnsi="Cambria Math"/>
              <w:color w:val="0E101A"/>
              <w:sz w:val="22"/>
              <w:szCs w:val="22"/>
            </w:rPr>
            <m:t xml:space="preserve">And n→is the final date </m:t>
          </m:r>
          <m:d>
            <m:dPr>
              <m:ctrlPr>
                <w:rPr>
                  <w:rFonts w:ascii="Cambria Math" w:hAnsi="Cambria Math"/>
                  <w:i/>
                  <w:color w:val="0E101A"/>
                  <w:sz w:val="22"/>
                  <w:szCs w:val="22"/>
                </w:rPr>
              </m:ctrlPr>
            </m:dPr>
            <m:e>
              <m:r>
                <w:rPr>
                  <w:rFonts w:ascii="Cambria Math" w:hAnsi="Cambria Math"/>
                  <w:color w:val="0E101A"/>
                  <w:sz w:val="22"/>
                  <w:szCs w:val="22"/>
                </w:rPr>
                <m:t>Date of makeing the prediction, Current date</m:t>
              </m:r>
            </m:e>
          </m:d>
        </m:oMath>
      </m:oMathPara>
    </w:p>
    <w:p w14:paraId="1C550CD7" w14:textId="7CD5BE1B" w:rsidR="00A01151" w:rsidRPr="00E320EB" w:rsidRDefault="00A01151" w:rsidP="00A01151">
      <w:pPr>
        <w:pStyle w:val="NormalWeb"/>
        <w:spacing w:before="0" w:beforeAutospacing="0" w:after="0" w:afterAutospacing="0"/>
        <w:jc w:val="both"/>
        <w:rPr>
          <w:color w:val="0E101A"/>
          <w:sz w:val="22"/>
          <w:szCs w:val="22"/>
        </w:rPr>
      </w:pPr>
    </w:p>
    <w:p w14:paraId="0C0BD5E6" w14:textId="7EC6235F" w:rsidR="00A01151" w:rsidRPr="00E320EB" w:rsidRDefault="00A01151" w:rsidP="00A01151">
      <w:pPr>
        <w:pStyle w:val="NormalWeb"/>
        <w:spacing w:before="0" w:beforeAutospacing="0" w:after="0" w:afterAutospacing="0"/>
        <w:jc w:val="both"/>
        <w:rPr>
          <w:color w:val="0E101A"/>
          <w:sz w:val="22"/>
          <w:szCs w:val="22"/>
        </w:rPr>
      </w:pPr>
      <w:r w:rsidRPr="00E320EB">
        <w:rPr>
          <w:b/>
          <w:bCs/>
          <w:color w:val="0E101A"/>
          <w:sz w:val="22"/>
          <w:szCs w:val="22"/>
        </w:rPr>
        <w:t xml:space="preserve">Buy and Hold Strategy: </w:t>
      </w:r>
      <w:r w:rsidRPr="00E320EB">
        <w:rPr>
          <w:color w:val="0E101A"/>
          <w:sz w:val="22"/>
          <w:szCs w:val="22"/>
        </w:rPr>
        <w:t xml:space="preserve">The investor using this strategy buys stocks and holds them for a long time irrespective of the market fluctuations. This approach is generally long-term and relies on the confidence of the investor. It is a passive investment strategy, and the investor might not sell the possessions at the optimal time. </w:t>
      </w:r>
    </w:p>
    <w:p w14:paraId="1247DE5D" w14:textId="0C68802C" w:rsidR="00A01151" w:rsidRPr="00E320EB" w:rsidRDefault="00A01151" w:rsidP="00A01151">
      <w:pPr>
        <w:pStyle w:val="NormalWeb"/>
        <w:spacing w:before="0" w:beforeAutospacing="0" w:after="0" w:afterAutospacing="0"/>
        <w:jc w:val="both"/>
        <w:rPr>
          <w:color w:val="0E101A"/>
          <w:sz w:val="22"/>
          <w:szCs w:val="22"/>
        </w:rPr>
      </w:pPr>
    </w:p>
    <w:p w14:paraId="749C050D" w14:textId="110CF08A" w:rsidR="000E5B99" w:rsidRDefault="00A01151" w:rsidP="000E5B99">
      <w:pPr>
        <w:pStyle w:val="NormalWeb"/>
        <w:spacing w:before="0" w:beforeAutospacing="0" w:after="0" w:afterAutospacing="0"/>
        <w:jc w:val="both"/>
        <w:rPr>
          <w:color w:val="0E101A"/>
        </w:rPr>
      </w:pPr>
      <w:r w:rsidRPr="00E320EB">
        <w:rPr>
          <w:b/>
          <w:bCs/>
          <w:color w:val="0E101A"/>
          <w:sz w:val="22"/>
          <w:szCs w:val="22"/>
        </w:rPr>
        <w:t>Deep Learning (LSTM Strateg</w:t>
      </w:r>
      <w:r w:rsidR="00641257" w:rsidRPr="00E320EB">
        <w:rPr>
          <w:b/>
          <w:bCs/>
          <w:color w:val="0E101A"/>
          <w:sz w:val="22"/>
          <w:szCs w:val="22"/>
        </w:rPr>
        <w:t>y</w:t>
      </w:r>
      <w:r w:rsidRPr="00E320EB">
        <w:rPr>
          <w:b/>
          <w:bCs/>
          <w:color w:val="0E101A"/>
          <w:sz w:val="22"/>
          <w:szCs w:val="22"/>
        </w:rPr>
        <w:t>):</w:t>
      </w:r>
      <w:r w:rsidR="000E5B99">
        <w:rPr>
          <w:b/>
          <w:bCs/>
          <w:color w:val="0E101A"/>
          <w:sz w:val="22"/>
          <w:szCs w:val="22"/>
        </w:rPr>
        <w:t xml:space="preserve"> </w:t>
      </w:r>
      <w:r w:rsidR="000E5B99">
        <w:rPr>
          <w:color w:val="0E101A"/>
        </w:rPr>
        <w:t>LSTM is the backbone of the two architectures defined in this study.</w:t>
      </w:r>
      <w:r w:rsidRPr="00E320EB">
        <w:rPr>
          <w:b/>
          <w:bCs/>
          <w:color w:val="0E101A"/>
          <w:sz w:val="22"/>
          <w:szCs w:val="22"/>
        </w:rPr>
        <w:t xml:space="preserve"> </w:t>
      </w:r>
      <w:r w:rsidRPr="00E320EB">
        <w:rPr>
          <w:color w:val="0E101A"/>
          <w:sz w:val="22"/>
          <w:szCs w:val="22"/>
        </w:rPr>
        <w:t xml:space="preserve">LSTM learns to keep the relevant information and forget non-relevant data. RNNs can retain the information at time t about the input seen many timestamps before t; this fails in practical implementation due to the problem of vanishing gradients (the gradient gradually becomes zero because of multiplication of long series of numbers less than zero). LSTM saves the information for later and prevents the older signals from being lost during the processing. The LSTM cells allow the past information to be reinjected later, overcoming the vanishing gradient problem. </w:t>
      </w:r>
    </w:p>
    <w:p w14:paraId="3440285B" w14:textId="77777777" w:rsidR="00847E7B" w:rsidRDefault="00847E7B" w:rsidP="00A01151">
      <w:pPr>
        <w:pStyle w:val="NormalWeb"/>
        <w:spacing w:before="0" w:beforeAutospacing="0" w:after="0" w:afterAutospacing="0"/>
        <w:jc w:val="both"/>
        <w:rPr>
          <w:noProof/>
          <w:color w:val="0E101A"/>
        </w:rPr>
      </w:pPr>
    </w:p>
    <w:p w14:paraId="2050FA4E" w14:textId="27599F47" w:rsidR="00E320EB" w:rsidRDefault="00A01151" w:rsidP="00A01151">
      <w:pPr>
        <w:pStyle w:val="NormalWeb"/>
        <w:spacing w:before="0" w:beforeAutospacing="0" w:after="0" w:afterAutospacing="0"/>
        <w:jc w:val="both"/>
        <w:rPr>
          <w:color w:val="0E101A"/>
        </w:rPr>
      </w:pPr>
      <w:r>
        <w:rPr>
          <w:noProof/>
          <w:color w:val="0E101A"/>
        </w:rPr>
        <w:drawing>
          <wp:inline distT="0" distB="0" distL="0" distR="0" wp14:anchorId="469116F9" wp14:editId="6CFCAC92">
            <wp:extent cx="3028950" cy="212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035021" cy="2124515"/>
                    </a:xfrm>
                    <a:prstGeom prst="rect">
                      <a:avLst/>
                    </a:prstGeom>
                    <a:ln w="3175">
                      <a:noFill/>
                    </a:ln>
                  </pic:spPr>
                </pic:pic>
              </a:graphicData>
            </a:graphic>
          </wp:inline>
        </w:drawing>
      </w:r>
      <w:r w:rsidR="00847E7B">
        <w:rPr>
          <w:noProof/>
          <w:color w:val="0E101A"/>
        </w:rPr>
        <w:t xml:space="preserve">    </w:t>
      </w:r>
      <w:r>
        <w:rPr>
          <w:noProof/>
          <w:color w:val="0E101A"/>
        </w:rPr>
        <w:drawing>
          <wp:inline distT="0" distB="0" distL="0" distR="0" wp14:anchorId="44A88F6D" wp14:editId="7DA62AF0">
            <wp:extent cx="2472055" cy="211967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15721" cy="2157116"/>
                    </a:xfrm>
                    <a:prstGeom prst="rect">
                      <a:avLst/>
                    </a:prstGeom>
                    <a:ln w="3175">
                      <a:noFill/>
                    </a:ln>
                  </pic:spPr>
                </pic:pic>
              </a:graphicData>
            </a:graphic>
          </wp:inline>
        </w:drawing>
      </w:r>
    </w:p>
    <w:p w14:paraId="6AA9B6F1" w14:textId="436C955E" w:rsidR="00A01151" w:rsidRPr="00E320EB" w:rsidRDefault="00A01151" w:rsidP="003A29DC">
      <w:pPr>
        <w:pStyle w:val="NormalWeb"/>
        <w:spacing w:before="0" w:beforeAutospacing="0" w:after="0" w:afterAutospacing="0"/>
        <w:jc w:val="center"/>
        <w:rPr>
          <w:color w:val="0E101A"/>
          <w:sz w:val="20"/>
          <w:szCs w:val="20"/>
        </w:rPr>
      </w:pPr>
      <w:r w:rsidRPr="00E320EB">
        <w:rPr>
          <w:color w:val="0E101A"/>
          <w:sz w:val="20"/>
          <w:szCs w:val="20"/>
        </w:rPr>
        <w:t>Figure 1: (a) Anatomy of an LSTM with three input cells</w:t>
      </w:r>
      <w:r w:rsidRPr="00E320EB">
        <w:rPr>
          <w:color w:val="0E101A"/>
          <w:sz w:val="20"/>
          <w:szCs w:val="20"/>
        </w:rPr>
        <w:fldChar w:fldCharType="begin" w:fldLock="1"/>
      </w:r>
      <w:r w:rsidRPr="00E320EB">
        <w:rPr>
          <w:color w:val="0E101A"/>
          <w:sz w:val="20"/>
          <w:szCs w:val="20"/>
        </w:rPr>
        <w:instrText>ADDIN CSL_CITATION {"citationItems":[{"id":"ITEM-1","itemData":{"ISBN":"9781617294433","abstract":"The European Union Integrated Tokamak Modelling Task Force (ITM-TF) has developed a standardized platform and an integrated modeling suite of codes for the simulation and prediction of a complete plasma discharge in any tokamak. The framework developed by ITM-TF allows for the development of sophisticated integrated simulations (workflows) for physics application, e.g., free-boundary equilibrium with feedback control, magnetohydrodynamic stability analysis, core/ edge plasma transport, and heating and current drive. A significant effort is also under way to integrate syn thetic diagnostic modules in the ITM-TF environment, namely, focusing on three-dimensional reflectometry, motional Stark effect, and neutron and neutral particle analyzer diagnostics. This paper gives an overview of the conceptual design of ITM-TF and preliminary results of the aforementioned synthetic diagnostic modules.","author":[{"dropping-particle":"","family":"Chollet","given":"François","non-dropping-particle":"","parse-names":false,"suffix":""}],"container-title":"Manning","id":"ITEM-1","issued":{"date-parts":[["2018"]]},"number-of-pages":"386","title":"Deep Learning with Python","type":"book"},"uris":["http://www.mendeley.com/documents/?uuid=fccca0db-6a00-3c27-94ee-f23be57f25c4"]}],"mendeley":{"formattedCitation":"[12]","plainTextFormattedCitation":"[12]"},"properties":{"noteIndex":0},"schema":"https://github.com/citation-style-language/schema/raw/master/csl-citation.json"}</w:instrText>
      </w:r>
      <w:r w:rsidRPr="00E320EB">
        <w:rPr>
          <w:color w:val="0E101A"/>
          <w:sz w:val="20"/>
          <w:szCs w:val="20"/>
        </w:rPr>
        <w:fldChar w:fldCharType="separate"/>
      </w:r>
      <w:r w:rsidRPr="00E320EB">
        <w:rPr>
          <w:noProof/>
          <w:color w:val="0E101A"/>
          <w:sz w:val="20"/>
          <w:szCs w:val="20"/>
        </w:rPr>
        <w:t>[12]</w:t>
      </w:r>
      <w:r w:rsidRPr="00E320EB">
        <w:rPr>
          <w:color w:val="0E101A"/>
          <w:sz w:val="20"/>
          <w:szCs w:val="20"/>
        </w:rPr>
        <w:fldChar w:fldCharType="end"/>
      </w:r>
      <w:r w:rsidRPr="00E320EB">
        <w:rPr>
          <w:color w:val="0E101A"/>
          <w:sz w:val="20"/>
          <w:szCs w:val="20"/>
        </w:rPr>
        <w:t>, (b) A single LSTM Cell</w:t>
      </w:r>
    </w:p>
    <w:p w14:paraId="37AB12A3" w14:textId="4075E176" w:rsidR="00E320EB" w:rsidRPr="000E5B99" w:rsidRDefault="00E320EB" w:rsidP="00A01151">
      <w:pPr>
        <w:pStyle w:val="NormalWeb"/>
        <w:spacing w:before="0" w:beforeAutospacing="0" w:after="0" w:afterAutospacing="0"/>
        <w:jc w:val="both"/>
        <w:rPr>
          <w:color w:val="0E101A"/>
          <w:sz w:val="22"/>
          <w:szCs w:val="22"/>
        </w:rPr>
      </w:pPr>
    </w:p>
    <w:p w14:paraId="7E4D3FF8" w14:textId="47C0B9D9" w:rsidR="000E5B99" w:rsidRDefault="000E5B99" w:rsidP="00A01151">
      <w:pPr>
        <w:jc w:val="both"/>
        <w:rPr>
          <w:rFonts w:ascii="Times New Roman" w:hAnsi="Times New Roman" w:cs="Times New Roman"/>
          <w:sz w:val="28"/>
          <w:szCs w:val="28"/>
        </w:rPr>
      </w:pPr>
      <w:r w:rsidRPr="000E5B99">
        <w:rPr>
          <w:rFonts w:ascii="Times New Roman" w:hAnsi="Times New Roman" w:cs="Times New Roman"/>
          <w:sz w:val="24"/>
          <w:szCs w:val="24"/>
        </w:rPr>
        <w:t>3.2 Dat</w:t>
      </w:r>
      <w:r>
        <w:rPr>
          <w:rFonts w:ascii="Times New Roman" w:hAnsi="Times New Roman" w:cs="Times New Roman"/>
          <w:sz w:val="28"/>
          <w:szCs w:val="28"/>
        </w:rPr>
        <w:t>a</w:t>
      </w:r>
    </w:p>
    <w:p w14:paraId="47A6A79A" w14:textId="40677766" w:rsidR="000E5B99" w:rsidRDefault="003A29DC" w:rsidP="00A01151">
      <w:pPr>
        <w:jc w:val="both"/>
        <w:rPr>
          <w:rFonts w:ascii="Times New Roman" w:hAnsi="Times New Roman" w:cs="Times New Roman"/>
        </w:rPr>
      </w:pPr>
      <w:r>
        <w:rPr>
          <w:rFonts w:ascii="Times New Roman" w:hAnsi="Times New Roman" w:cs="Times New Roman"/>
        </w:rPr>
        <w:lastRenderedPageBreak/>
        <w:t xml:space="preserve">The data module of stockDL collects the data required for the study. The data is </w:t>
      </w:r>
      <w:r w:rsidR="00296A3F">
        <w:rPr>
          <w:rFonts w:ascii="Times New Roman" w:hAnsi="Times New Roman" w:cs="Times New Roman"/>
        </w:rPr>
        <w:t>retrieved</w:t>
      </w:r>
      <w:r>
        <w:rPr>
          <w:rFonts w:ascii="Times New Roman" w:hAnsi="Times New Roman" w:cs="Times New Roman"/>
        </w:rPr>
        <w:t xml:space="preserve"> from the Yahoo Finance API based on a unique symbol provided to each stock (this unique symbol is called the stock ticker), the starting date, and the end date. </w:t>
      </w:r>
    </w:p>
    <w:p w14:paraId="681241E6" w14:textId="2E891772" w:rsidR="003A29DC" w:rsidRDefault="00963BA3" w:rsidP="00A01151">
      <w:pPr>
        <w:jc w:val="both"/>
        <w:rPr>
          <w:rFonts w:ascii="Times New Roman" w:hAnsi="Times New Roman" w:cs="Times New Roman"/>
        </w:rPr>
      </w:pPr>
      <w:r>
        <w:rPr>
          <w:rFonts w:ascii="Times New Roman" w:hAnsi="Times New Roman" w:cs="Times New Roman"/>
        </w:rPr>
        <w:t xml:space="preserve">The data tables considered in the study include information such as opening rate (of the day), the highest rate (of the day), the lowest rate (of the day), the closing rate (of the day), and the volume traded (on that day). As we consider dividends and stock split in calculating the annual yield, the columns comprising it are dropped.  </w:t>
      </w:r>
    </w:p>
    <w:p w14:paraId="6B61CF13" w14:textId="12974B53" w:rsidR="003A29DC" w:rsidRDefault="003A29DC" w:rsidP="00963BA3">
      <w:pPr>
        <w:jc w:val="center"/>
        <w:rPr>
          <w:rFonts w:ascii="Times New Roman" w:hAnsi="Times New Roman" w:cs="Times New Roman"/>
        </w:rPr>
      </w:pPr>
      <w:r>
        <w:rPr>
          <w:rFonts w:ascii="Times New Roman" w:hAnsi="Times New Roman" w:cs="Times New Roman"/>
        </w:rPr>
        <w:t xml:space="preserve">Table 1: First five rows of the historical stock data </w:t>
      </w:r>
      <w:r w:rsidR="00963BA3">
        <w:rPr>
          <w:rFonts w:ascii="Times New Roman" w:hAnsi="Times New Roman" w:cs="Times New Roman"/>
        </w:rPr>
        <w:t>for further pre-processing</w:t>
      </w:r>
      <w:r w:rsidR="00395ED7">
        <w:rPr>
          <w:rFonts w:ascii="Times New Roman" w:hAnsi="Times New Roman" w:cs="Times New Roman"/>
        </w:rPr>
        <w:t xml:space="preserve"> of HDFC Bank Limited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72"/>
        <w:gridCol w:w="1062"/>
        <w:gridCol w:w="999"/>
        <w:gridCol w:w="1208"/>
        <w:gridCol w:w="1208"/>
        <w:gridCol w:w="1187"/>
      </w:tblGrid>
      <w:tr w:rsidR="003A29DC" w14:paraId="75D91869" w14:textId="77777777" w:rsidTr="003C2EAB">
        <w:trPr>
          <w:trHeight w:val="400"/>
          <w:jc w:val="center"/>
        </w:trPr>
        <w:tc>
          <w:tcPr>
            <w:tcW w:w="1772" w:type="dxa"/>
            <w:tcBorders>
              <w:top w:val="single" w:sz="18" w:space="0" w:color="auto"/>
              <w:bottom w:val="single" w:sz="8" w:space="0" w:color="auto"/>
            </w:tcBorders>
            <w:vAlign w:val="center"/>
          </w:tcPr>
          <w:p w14:paraId="21B61FDB" w14:textId="7669F0B7" w:rsidR="003A29DC" w:rsidRPr="003A29DC" w:rsidRDefault="003A29DC" w:rsidP="00963BA3">
            <w:pPr>
              <w:jc w:val="center"/>
              <w:rPr>
                <w:rFonts w:ascii="Times New Roman" w:hAnsi="Times New Roman" w:cs="Times New Roman"/>
                <w:b/>
                <w:bCs/>
              </w:rPr>
            </w:pPr>
            <w:r w:rsidRPr="003A29DC">
              <w:rPr>
                <w:rFonts w:ascii="Times New Roman" w:hAnsi="Times New Roman" w:cs="Times New Roman"/>
                <w:b/>
                <w:bCs/>
              </w:rPr>
              <w:t>Date</w:t>
            </w:r>
          </w:p>
        </w:tc>
        <w:tc>
          <w:tcPr>
            <w:tcW w:w="1062" w:type="dxa"/>
            <w:tcBorders>
              <w:top w:val="single" w:sz="18" w:space="0" w:color="auto"/>
              <w:bottom w:val="single" w:sz="8" w:space="0" w:color="auto"/>
            </w:tcBorders>
            <w:vAlign w:val="center"/>
          </w:tcPr>
          <w:p w14:paraId="62F0CD94" w14:textId="01531386" w:rsidR="003A29DC" w:rsidRPr="003A29DC" w:rsidRDefault="003A29DC" w:rsidP="00963BA3">
            <w:pPr>
              <w:jc w:val="center"/>
              <w:rPr>
                <w:rFonts w:ascii="Times New Roman" w:hAnsi="Times New Roman" w:cs="Times New Roman"/>
                <w:b/>
                <w:bCs/>
              </w:rPr>
            </w:pPr>
            <w:r w:rsidRPr="003A29DC">
              <w:rPr>
                <w:rFonts w:ascii="Times New Roman" w:hAnsi="Times New Roman" w:cs="Times New Roman"/>
                <w:b/>
                <w:bCs/>
              </w:rPr>
              <w:t>Open</w:t>
            </w:r>
          </w:p>
        </w:tc>
        <w:tc>
          <w:tcPr>
            <w:tcW w:w="999" w:type="dxa"/>
            <w:tcBorders>
              <w:top w:val="single" w:sz="18" w:space="0" w:color="auto"/>
              <w:bottom w:val="single" w:sz="8" w:space="0" w:color="auto"/>
            </w:tcBorders>
            <w:vAlign w:val="center"/>
          </w:tcPr>
          <w:p w14:paraId="4B0B895F" w14:textId="6B20A6B0" w:rsidR="003A29DC" w:rsidRPr="003A29DC" w:rsidRDefault="003A29DC" w:rsidP="00963BA3">
            <w:pPr>
              <w:jc w:val="center"/>
              <w:rPr>
                <w:rFonts w:ascii="Times New Roman" w:hAnsi="Times New Roman" w:cs="Times New Roman"/>
                <w:b/>
                <w:bCs/>
              </w:rPr>
            </w:pPr>
            <w:r w:rsidRPr="003A29DC">
              <w:rPr>
                <w:rFonts w:ascii="Times New Roman" w:hAnsi="Times New Roman" w:cs="Times New Roman"/>
                <w:b/>
                <w:bCs/>
              </w:rPr>
              <w:t>High</w:t>
            </w:r>
          </w:p>
        </w:tc>
        <w:tc>
          <w:tcPr>
            <w:tcW w:w="1208" w:type="dxa"/>
            <w:tcBorders>
              <w:top w:val="single" w:sz="18" w:space="0" w:color="auto"/>
              <w:bottom w:val="single" w:sz="8" w:space="0" w:color="auto"/>
            </w:tcBorders>
            <w:vAlign w:val="center"/>
          </w:tcPr>
          <w:p w14:paraId="14A1DCDA" w14:textId="5EA791D1" w:rsidR="003A29DC" w:rsidRPr="003A29DC" w:rsidRDefault="003A29DC" w:rsidP="00963BA3">
            <w:pPr>
              <w:jc w:val="center"/>
              <w:rPr>
                <w:rFonts w:ascii="Times New Roman" w:hAnsi="Times New Roman" w:cs="Times New Roman"/>
                <w:b/>
                <w:bCs/>
              </w:rPr>
            </w:pPr>
            <w:r w:rsidRPr="003A29DC">
              <w:rPr>
                <w:rFonts w:ascii="Times New Roman" w:hAnsi="Times New Roman" w:cs="Times New Roman"/>
                <w:b/>
                <w:bCs/>
              </w:rPr>
              <w:t>Low</w:t>
            </w:r>
          </w:p>
        </w:tc>
        <w:tc>
          <w:tcPr>
            <w:tcW w:w="1208" w:type="dxa"/>
            <w:tcBorders>
              <w:top w:val="single" w:sz="18" w:space="0" w:color="auto"/>
              <w:bottom w:val="single" w:sz="8" w:space="0" w:color="auto"/>
            </w:tcBorders>
            <w:vAlign w:val="center"/>
          </w:tcPr>
          <w:p w14:paraId="20A25AC8" w14:textId="5D91E93F" w:rsidR="003A29DC" w:rsidRPr="003A29DC" w:rsidRDefault="003A29DC" w:rsidP="00963BA3">
            <w:pPr>
              <w:jc w:val="center"/>
              <w:rPr>
                <w:rFonts w:ascii="Times New Roman" w:hAnsi="Times New Roman" w:cs="Times New Roman"/>
                <w:b/>
                <w:bCs/>
              </w:rPr>
            </w:pPr>
            <w:r w:rsidRPr="003A29DC">
              <w:rPr>
                <w:rFonts w:ascii="Times New Roman" w:hAnsi="Times New Roman" w:cs="Times New Roman"/>
                <w:b/>
                <w:bCs/>
              </w:rPr>
              <w:t>Close</w:t>
            </w:r>
          </w:p>
        </w:tc>
        <w:tc>
          <w:tcPr>
            <w:tcW w:w="1187" w:type="dxa"/>
            <w:tcBorders>
              <w:top w:val="single" w:sz="18" w:space="0" w:color="auto"/>
              <w:bottom w:val="single" w:sz="8" w:space="0" w:color="auto"/>
            </w:tcBorders>
            <w:vAlign w:val="center"/>
          </w:tcPr>
          <w:p w14:paraId="0F817E5B" w14:textId="502A7745" w:rsidR="003A29DC" w:rsidRPr="003A29DC" w:rsidRDefault="003A29DC" w:rsidP="00963BA3">
            <w:pPr>
              <w:jc w:val="center"/>
              <w:rPr>
                <w:rFonts w:ascii="Times New Roman" w:hAnsi="Times New Roman" w:cs="Times New Roman"/>
                <w:b/>
                <w:bCs/>
              </w:rPr>
            </w:pPr>
            <w:r w:rsidRPr="003A29DC">
              <w:rPr>
                <w:rFonts w:ascii="Times New Roman" w:hAnsi="Times New Roman" w:cs="Times New Roman"/>
                <w:b/>
                <w:bCs/>
              </w:rPr>
              <w:t>Volume</w:t>
            </w:r>
          </w:p>
        </w:tc>
      </w:tr>
      <w:tr w:rsidR="003A29DC" w14:paraId="56F4F213" w14:textId="77777777" w:rsidTr="003C2EAB">
        <w:trPr>
          <w:trHeight w:val="346"/>
          <w:jc w:val="center"/>
        </w:trPr>
        <w:tc>
          <w:tcPr>
            <w:tcW w:w="1772" w:type="dxa"/>
            <w:tcBorders>
              <w:top w:val="single" w:sz="8" w:space="0" w:color="auto"/>
            </w:tcBorders>
            <w:vAlign w:val="center"/>
          </w:tcPr>
          <w:p w14:paraId="248A6C8E" w14:textId="77CB4FC6" w:rsidR="003A29DC" w:rsidRDefault="003A29DC" w:rsidP="00963BA3">
            <w:pPr>
              <w:jc w:val="center"/>
              <w:rPr>
                <w:rFonts w:ascii="Times New Roman" w:hAnsi="Times New Roman" w:cs="Times New Roman"/>
              </w:rPr>
            </w:pPr>
            <w:r>
              <w:rPr>
                <w:rFonts w:ascii="Helvetica" w:hAnsi="Helvetica" w:cs="Helvetica"/>
                <w:b/>
                <w:bCs/>
                <w:color w:val="000000"/>
                <w:sz w:val="18"/>
                <w:szCs w:val="18"/>
              </w:rPr>
              <w:t>1996-01-01</w:t>
            </w:r>
          </w:p>
        </w:tc>
        <w:tc>
          <w:tcPr>
            <w:tcW w:w="1062" w:type="dxa"/>
            <w:tcBorders>
              <w:top w:val="single" w:sz="8" w:space="0" w:color="auto"/>
            </w:tcBorders>
            <w:vAlign w:val="center"/>
          </w:tcPr>
          <w:p w14:paraId="6D735987" w14:textId="3AD5DEFA" w:rsidR="003A29DC" w:rsidRDefault="003A29DC" w:rsidP="00963BA3">
            <w:pPr>
              <w:jc w:val="center"/>
              <w:rPr>
                <w:rFonts w:ascii="Times New Roman" w:hAnsi="Times New Roman" w:cs="Times New Roman"/>
              </w:rPr>
            </w:pPr>
            <w:r>
              <w:rPr>
                <w:rFonts w:ascii="Helvetica" w:hAnsi="Helvetica" w:cs="Helvetica"/>
                <w:color w:val="000000"/>
                <w:sz w:val="18"/>
                <w:szCs w:val="18"/>
              </w:rPr>
              <w:t>2.458312</w:t>
            </w:r>
          </w:p>
        </w:tc>
        <w:tc>
          <w:tcPr>
            <w:tcW w:w="999" w:type="dxa"/>
            <w:tcBorders>
              <w:top w:val="single" w:sz="8" w:space="0" w:color="auto"/>
            </w:tcBorders>
            <w:vAlign w:val="center"/>
          </w:tcPr>
          <w:p w14:paraId="7D3E76FE" w14:textId="7D89C784" w:rsidR="003A29DC" w:rsidRDefault="003A29DC" w:rsidP="00963BA3">
            <w:pPr>
              <w:jc w:val="center"/>
              <w:rPr>
                <w:rFonts w:ascii="Times New Roman" w:hAnsi="Times New Roman" w:cs="Times New Roman"/>
              </w:rPr>
            </w:pPr>
            <w:r>
              <w:rPr>
                <w:rFonts w:ascii="Helvetica" w:hAnsi="Helvetica" w:cs="Helvetica"/>
                <w:color w:val="000000"/>
                <w:sz w:val="18"/>
                <w:szCs w:val="18"/>
              </w:rPr>
              <w:t>2.458312</w:t>
            </w:r>
          </w:p>
        </w:tc>
        <w:tc>
          <w:tcPr>
            <w:tcW w:w="1208" w:type="dxa"/>
            <w:tcBorders>
              <w:top w:val="single" w:sz="8" w:space="0" w:color="auto"/>
            </w:tcBorders>
            <w:vAlign w:val="center"/>
          </w:tcPr>
          <w:p w14:paraId="6067DE4A" w14:textId="4DCB37CA" w:rsidR="003A29DC" w:rsidRPr="003A29DC" w:rsidRDefault="003A29DC" w:rsidP="00963BA3">
            <w:pPr>
              <w:jc w:val="center"/>
              <w:rPr>
                <w:rFonts w:ascii="Helvetica" w:hAnsi="Helvetica" w:cs="Helvetica"/>
                <w:color w:val="000000"/>
                <w:sz w:val="18"/>
                <w:szCs w:val="18"/>
              </w:rPr>
            </w:pPr>
            <w:r>
              <w:rPr>
                <w:rFonts w:ascii="Helvetica" w:hAnsi="Helvetica" w:cs="Helvetica"/>
                <w:color w:val="000000"/>
                <w:sz w:val="18"/>
                <w:szCs w:val="18"/>
              </w:rPr>
              <w:t>2.373122</w:t>
            </w:r>
          </w:p>
        </w:tc>
        <w:tc>
          <w:tcPr>
            <w:tcW w:w="1208" w:type="dxa"/>
            <w:tcBorders>
              <w:top w:val="single" w:sz="8" w:space="0" w:color="auto"/>
            </w:tcBorders>
            <w:vAlign w:val="center"/>
          </w:tcPr>
          <w:p w14:paraId="0BC7AC01" w14:textId="04019FB6" w:rsidR="003A29DC" w:rsidRPr="003A29DC" w:rsidRDefault="003A29DC" w:rsidP="00963BA3">
            <w:pPr>
              <w:jc w:val="center"/>
              <w:rPr>
                <w:rFonts w:ascii="Helvetica" w:hAnsi="Helvetica" w:cs="Helvetica"/>
                <w:color w:val="000000"/>
                <w:sz w:val="18"/>
                <w:szCs w:val="18"/>
              </w:rPr>
            </w:pPr>
            <w:r>
              <w:rPr>
                <w:rFonts w:ascii="Helvetica" w:hAnsi="Helvetica" w:cs="Helvetica"/>
                <w:color w:val="000000"/>
                <w:sz w:val="18"/>
                <w:szCs w:val="18"/>
              </w:rPr>
              <w:t>2.417745</w:t>
            </w:r>
          </w:p>
        </w:tc>
        <w:tc>
          <w:tcPr>
            <w:tcW w:w="1187" w:type="dxa"/>
            <w:tcBorders>
              <w:top w:val="single" w:sz="8" w:space="0" w:color="auto"/>
            </w:tcBorders>
            <w:vAlign w:val="center"/>
          </w:tcPr>
          <w:p w14:paraId="061E6427" w14:textId="589D6762" w:rsidR="003A29DC" w:rsidRDefault="003A29DC" w:rsidP="00963BA3">
            <w:pPr>
              <w:jc w:val="center"/>
              <w:rPr>
                <w:rFonts w:ascii="Times New Roman" w:hAnsi="Times New Roman" w:cs="Times New Roman"/>
              </w:rPr>
            </w:pPr>
            <w:r>
              <w:rPr>
                <w:rFonts w:ascii="Helvetica" w:hAnsi="Helvetica" w:cs="Helvetica"/>
                <w:color w:val="000000"/>
                <w:sz w:val="18"/>
                <w:szCs w:val="18"/>
              </w:rPr>
              <w:t>350000</w:t>
            </w:r>
          </w:p>
        </w:tc>
      </w:tr>
      <w:tr w:rsidR="003A29DC" w14:paraId="74333C6D" w14:textId="77777777" w:rsidTr="00963BA3">
        <w:trPr>
          <w:trHeight w:val="329"/>
          <w:jc w:val="center"/>
        </w:trPr>
        <w:tc>
          <w:tcPr>
            <w:tcW w:w="1772" w:type="dxa"/>
            <w:vAlign w:val="center"/>
          </w:tcPr>
          <w:p w14:paraId="0DF7AECD" w14:textId="7B44AC83" w:rsidR="003A29DC" w:rsidRDefault="003A29DC" w:rsidP="00963BA3">
            <w:pPr>
              <w:jc w:val="center"/>
              <w:rPr>
                <w:rFonts w:ascii="Times New Roman" w:hAnsi="Times New Roman" w:cs="Times New Roman"/>
              </w:rPr>
            </w:pPr>
            <w:r>
              <w:rPr>
                <w:rFonts w:ascii="Helvetica" w:hAnsi="Helvetica" w:cs="Helvetica"/>
                <w:b/>
                <w:bCs/>
                <w:color w:val="000000"/>
                <w:sz w:val="18"/>
                <w:szCs w:val="18"/>
              </w:rPr>
              <w:t>1996-01-02</w:t>
            </w:r>
          </w:p>
        </w:tc>
        <w:tc>
          <w:tcPr>
            <w:tcW w:w="1062" w:type="dxa"/>
            <w:vAlign w:val="center"/>
          </w:tcPr>
          <w:p w14:paraId="71F9B786" w14:textId="26EECC31" w:rsidR="003A29DC" w:rsidRDefault="003A29DC" w:rsidP="00963BA3">
            <w:pPr>
              <w:jc w:val="center"/>
              <w:rPr>
                <w:rFonts w:ascii="Times New Roman" w:hAnsi="Times New Roman" w:cs="Times New Roman"/>
              </w:rPr>
            </w:pPr>
            <w:r>
              <w:rPr>
                <w:rFonts w:ascii="Helvetica" w:hAnsi="Helvetica" w:cs="Helvetica"/>
                <w:color w:val="000000"/>
                <w:sz w:val="18"/>
                <w:szCs w:val="18"/>
              </w:rPr>
              <w:t>2.417746</w:t>
            </w:r>
          </w:p>
        </w:tc>
        <w:tc>
          <w:tcPr>
            <w:tcW w:w="999" w:type="dxa"/>
            <w:vAlign w:val="center"/>
          </w:tcPr>
          <w:p w14:paraId="140293B5" w14:textId="0D151C6D" w:rsidR="003A29DC" w:rsidRDefault="003A29DC" w:rsidP="00963BA3">
            <w:pPr>
              <w:jc w:val="center"/>
              <w:rPr>
                <w:rFonts w:ascii="Times New Roman" w:hAnsi="Times New Roman" w:cs="Times New Roman"/>
              </w:rPr>
            </w:pPr>
            <w:r>
              <w:rPr>
                <w:rFonts w:ascii="Helvetica" w:hAnsi="Helvetica" w:cs="Helvetica"/>
                <w:color w:val="000000"/>
                <w:sz w:val="18"/>
                <w:szCs w:val="18"/>
              </w:rPr>
              <w:t>2.454255</w:t>
            </w:r>
          </w:p>
        </w:tc>
        <w:tc>
          <w:tcPr>
            <w:tcW w:w="1208" w:type="dxa"/>
            <w:vAlign w:val="center"/>
          </w:tcPr>
          <w:p w14:paraId="41E93C54" w14:textId="0B220EBD" w:rsidR="003A29DC" w:rsidRDefault="003A29DC" w:rsidP="00963BA3">
            <w:pPr>
              <w:jc w:val="center"/>
              <w:rPr>
                <w:rFonts w:ascii="Times New Roman" w:hAnsi="Times New Roman" w:cs="Times New Roman"/>
              </w:rPr>
            </w:pPr>
            <w:r>
              <w:rPr>
                <w:rFonts w:ascii="Helvetica" w:hAnsi="Helvetica" w:cs="Helvetica"/>
                <w:color w:val="000000"/>
                <w:sz w:val="18"/>
                <w:szCs w:val="18"/>
              </w:rPr>
              <w:t>2.393406</w:t>
            </w:r>
          </w:p>
        </w:tc>
        <w:tc>
          <w:tcPr>
            <w:tcW w:w="1208" w:type="dxa"/>
            <w:vAlign w:val="center"/>
          </w:tcPr>
          <w:p w14:paraId="2BBC377C" w14:textId="38A876C1" w:rsidR="003A29DC" w:rsidRDefault="003A29DC" w:rsidP="00963BA3">
            <w:pPr>
              <w:jc w:val="center"/>
              <w:rPr>
                <w:rFonts w:ascii="Times New Roman" w:hAnsi="Times New Roman" w:cs="Times New Roman"/>
              </w:rPr>
            </w:pPr>
            <w:r>
              <w:rPr>
                <w:rFonts w:ascii="Helvetica" w:hAnsi="Helvetica" w:cs="Helvetica"/>
                <w:color w:val="000000"/>
                <w:sz w:val="18"/>
                <w:szCs w:val="18"/>
              </w:rPr>
              <w:t>2.413689</w:t>
            </w:r>
          </w:p>
        </w:tc>
        <w:tc>
          <w:tcPr>
            <w:tcW w:w="1187" w:type="dxa"/>
            <w:vAlign w:val="center"/>
          </w:tcPr>
          <w:p w14:paraId="6EA96922" w14:textId="11E352DA" w:rsidR="003A29DC" w:rsidRDefault="003A29DC" w:rsidP="00963BA3">
            <w:pPr>
              <w:jc w:val="center"/>
              <w:rPr>
                <w:rFonts w:ascii="Times New Roman" w:hAnsi="Times New Roman" w:cs="Times New Roman"/>
              </w:rPr>
            </w:pPr>
            <w:r>
              <w:rPr>
                <w:rFonts w:ascii="Helvetica" w:hAnsi="Helvetica" w:cs="Helvetica"/>
                <w:color w:val="000000"/>
                <w:sz w:val="18"/>
                <w:szCs w:val="18"/>
              </w:rPr>
              <w:t>412000</w:t>
            </w:r>
          </w:p>
        </w:tc>
      </w:tr>
      <w:tr w:rsidR="003A29DC" w14:paraId="2041E45B" w14:textId="77777777" w:rsidTr="00963BA3">
        <w:trPr>
          <w:trHeight w:val="329"/>
          <w:jc w:val="center"/>
        </w:trPr>
        <w:tc>
          <w:tcPr>
            <w:tcW w:w="1772" w:type="dxa"/>
            <w:vAlign w:val="center"/>
          </w:tcPr>
          <w:p w14:paraId="6CA22432" w14:textId="35965988" w:rsidR="003A29DC" w:rsidRDefault="003A29DC" w:rsidP="00963BA3">
            <w:pPr>
              <w:jc w:val="center"/>
              <w:rPr>
                <w:rFonts w:ascii="Times New Roman" w:hAnsi="Times New Roman" w:cs="Times New Roman"/>
              </w:rPr>
            </w:pPr>
            <w:r>
              <w:rPr>
                <w:rFonts w:ascii="Helvetica" w:hAnsi="Helvetica" w:cs="Helvetica"/>
                <w:b/>
                <w:bCs/>
                <w:color w:val="000000"/>
                <w:sz w:val="18"/>
                <w:szCs w:val="18"/>
              </w:rPr>
              <w:t>1996-01-03</w:t>
            </w:r>
          </w:p>
        </w:tc>
        <w:tc>
          <w:tcPr>
            <w:tcW w:w="1062" w:type="dxa"/>
            <w:vAlign w:val="center"/>
          </w:tcPr>
          <w:p w14:paraId="23538315" w14:textId="0D34C8A3" w:rsidR="003A29DC" w:rsidRDefault="003A29DC" w:rsidP="00963BA3">
            <w:pPr>
              <w:jc w:val="center"/>
              <w:rPr>
                <w:rFonts w:ascii="Times New Roman" w:hAnsi="Times New Roman" w:cs="Times New Roman"/>
              </w:rPr>
            </w:pPr>
            <w:r>
              <w:rPr>
                <w:rFonts w:ascii="Helvetica" w:hAnsi="Helvetica" w:cs="Helvetica"/>
                <w:color w:val="000000"/>
                <w:sz w:val="18"/>
                <w:szCs w:val="18"/>
              </w:rPr>
              <w:t>2.413689</w:t>
            </w:r>
          </w:p>
        </w:tc>
        <w:tc>
          <w:tcPr>
            <w:tcW w:w="999" w:type="dxa"/>
            <w:vAlign w:val="center"/>
          </w:tcPr>
          <w:p w14:paraId="55D88C47" w14:textId="069E0184" w:rsidR="003A29DC" w:rsidRDefault="003A29DC" w:rsidP="00963BA3">
            <w:pPr>
              <w:jc w:val="center"/>
              <w:rPr>
                <w:rFonts w:ascii="Times New Roman" w:hAnsi="Times New Roman" w:cs="Times New Roman"/>
              </w:rPr>
            </w:pPr>
            <w:r>
              <w:rPr>
                <w:rFonts w:ascii="Helvetica" w:hAnsi="Helvetica" w:cs="Helvetica"/>
                <w:color w:val="000000"/>
                <w:sz w:val="18"/>
                <w:szCs w:val="18"/>
              </w:rPr>
              <w:t>2.429916</w:t>
            </w:r>
          </w:p>
        </w:tc>
        <w:tc>
          <w:tcPr>
            <w:tcW w:w="1208" w:type="dxa"/>
            <w:vAlign w:val="center"/>
          </w:tcPr>
          <w:p w14:paraId="6F8A5CDA" w14:textId="04577F67" w:rsidR="003A29DC" w:rsidRDefault="003A29DC" w:rsidP="00963BA3">
            <w:pPr>
              <w:jc w:val="center"/>
              <w:rPr>
                <w:rFonts w:ascii="Times New Roman" w:hAnsi="Times New Roman" w:cs="Times New Roman"/>
              </w:rPr>
            </w:pPr>
            <w:r>
              <w:rPr>
                <w:rFonts w:ascii="Helvetica" w:hAnsi="Helvetica" w:cs="Helvetica"/>
                <w:color w:val="000000"/>
                <w:sz w:val="18"/>
                <w:szCs w:val="18"/>
              </w:rPr>
              <w:t>2.393406</w:t>
            </w:r>
          </w:p>
        </w:tc>
        <w:tc>
          <w:tcPr>
            <w:tcW w:w="1208" w:type="dxa"/>
            <w:vAlign w:val="center"/>
          </w:tcPr>
          <w:p w14:paraId="2A1907F7" w14:textId="0EF27BAF" w:rsidR="003A29DC" w:rsidRDefault="003A29DC" w:rsidP="00963BA3">
            <w:pPr>
              <w:jc w:val="center"/>
              <w:rPr>
                <w:rFonts w:ascii="Times New Roman" w:hAnsi="Times New Roman" w:cs="Times New Roman"/>
              </w:rPr>
            </w:pPr>
            <w:r>
              <w:rPr>
                <w:rFonts w:ascii="Helvetica" w:hAnsi="Helvetica" w:cs="Helvetica"/>
                <w:color w:val="000000"/>
                <w:sz w:val="18"/>
                <w:szCs w:val="18"/>
              </w:rPr>
              <w:t>2.421802</w:t>
            </w:r>
          </w:p>
        </w:tc>
        <w:tc>
          <w:tcPr>
            <w:tcW w:w="1187" w:type="dxa"/>
            <w:vAlign w:val="center"/>
          </w:tcPr>
          <w:p w14:paraId="1D535072" w14:textId="297C8AE3" w:rsidR="003A29DC" w:rsidRDefault="003A29DC" w:rsidP="00963BA3">
            <w:pPr>
              <w:jc w:val="center"/>
              <w:rPr>
                <w:rFonts w:ascii="Times New Roman" w:hAnsi="Times New Roman" w:cs="Times New Roman"/>
              </w:rPr>
            </w:pPr>
            <w:r>
              <w:rPr>
                <w:rFonts w:ascii="Helvetica" w:hAnsi="Helvetica" w:cs="Helvetica"/>
                <w:color w:val="000000"/>
                <w:sz w:val="18"/>
                <w:szCs w:val="18"/>
              </w:rPr>
              <w:t>284000</w:t>
            </w:r>
          </w:p>
        </w:tc>
      </w:tr>
      <w:tr w:rsidR="003A29DC" w14:paraId="26EFFD8C" w14:textId="77777777" w:rsidTr="00963BA3">
        <w:trPr>
          <w:trHeight w:val="329"/>
          <w:jc w:val="center"/>
        </w:trPr>
        <w:tc>
          <w:tcPr>
            <w:tcW w:w="1772" w:type="dxa"/>
            <w:vAlign w:val="center"/>
          </w:tcPr>
          <w:p w14:paraId="1AE240B7" w14:textId="03A99AD0" w:rsidR="003A29DC" w:rsidRDefault="003A29DC" w:rsidP="00963BA3">
            <w:pPr>
              <w:jc w:val="center"/>
              <w:rPr>
                <w:rFonts w:ascii="Times New Roman" w:hAnsi="Times New Roman" w:cs="Times New Roman"/>
              </w:rPr>
            </w:pPr>
            <w:r>
              <w:rPr>
                <w:rFonts w:ascii="Helvetica" w:hAnsi="Helvetica" w:cs="Helvetica"/>
                <w:b/>
                <w:bCs/>
                <w:color w:val="000000"/>
                <w:sz w:val="18"/>
                <w:szCs w:val="18"/>
              </w:rPr>
              <w:t>1996-01-04</w:t>
            </w:r>
          </w:p>
        </w:tc>
        <w:tc>
          <w:tcPr>
            <w:tcW w:w="1062" w:type="dxa"/>
            <w:vAlign w:val="center"/>
          </w:tcPr>
          <w:p w14:paraId="74D97528" w14:textId="245BCFC6" w:rsidR="003A29DC" w:rsidRPr="003A29DC" w:rsidRDefault="003A29DC" w:rsidP="00963BA3">
            <w:pPr>
              <w:jc w:val="center"/>
              <w:rPr>
                <w:rFonts w:ascii="Helvetica" w:hAnsi="Helvetica" w:cs="Helvetica"/>
                <w:color w:val="000000"/>
                <w:sz w:val="18"/>
                <w:szCs w:val="18"/>
              </w:rPr>
            </w:pPr>
            <w:r>
              <w:rPr>
                <w:rFonts w:ascii="Helvetica" w:hAnsi="Helvetica" w:cs="Helvetica"/>
                <w:color w:val="000000"/>
                <w:sz w:val="18"/>
                <w:szCs w:val="18"/>
              </w:rPr>
              <w:t>2.421802</w:t>
            </w:r>
          </w:p>
        </w:tc>
        <w:tc>
          <w:tcPr>
            <w:tcW w:w="999" w:type="dxa"/>
            <w:vAlign w:val="center"/>
          </w:tcPr>
          <w:p w14:paraId="55708713" w14:textId="42822364" w:rsidR="003A29DC" w:rsidRDefault="003A29DC" w:rsidP="00963BA3">
            <w:pPr>
              <w:jc w:val="center"/>
              <w:rPr>
                <w:rFonts w:ascii="Times New Roman" w:hAnsi="Times New Roman" w:cs="Times New Roman"/>
              </w:rPr>
            </w:pPr>
            <w:r>
              <w:rPr>
                <w:rFonts w:ascii="Helvetica" w:hAnsi="Helvetica" w:cs="Helvetica"/>
                <w:color w:val="000000"/>
                <w:sz w:val="18"/>
                <w:szCs w:val="18"/>
              </w:rPr>
              <w:t>2.417746</w:t>
            </w:r>
          </w:p>
        </w:tc>
        <w:tc>
          <w:tcPr>
            <w:tcW w:w="1208" w:type="dxa"/>
            <w:vAlign w:val="center"/>
          </w:tcPr>
          <w:p w14:paraId="58FAD45E" w14:textId="791529E2" w:rsidR="003A29DC" w:rsidRDefault="003A29DC" w:rsidP="00963BA3">
            <w:pPr>
              <w:jc w:val="center"/>
              <w:rPr>
                <w:rFonts w:ascii="Times New Roman" w:hAnsi="Times New Roman" w:cs="Times New Roman"/>
              </w:rPr>
            </w:pPr>
            <w:r>
              <w:rPr>
                <w:rFonts w:ascii="Helvetica" w:hAnsi="Helvetica" w:cs="Helvetica"/>
                <w:color w:val="000000"/>
                <w:sz w:val="18"/>
                <w:szCs w:val="18"/>
              </w:rPr>
              <w:t>2.385293</w:t>
            </w:r>
          </w:p>
        </w:tc>
        <w:tc>
          <w:tcPr>
            <w:tcW w:w="1208" w:type="dxa"/>
            <w:vAlign w:val="center"/>
          </w:tcPr>
          <w:p w14:paraId="29B20CA4" w14:textId="0542E595" w:rsidR="003A29DC" w:rsidRDefault="003A29DC" w:rsidP="00963BA3">
            <w:pPr>
              <w:jc w:val="center"/>
              <w:rPr>
                <w:rFonts w:ascii="Times New Roman" w:hAnsi="Times New Roman" w:cs="Times New Roman"/>
              </w:rPr>
            </w:pPr>
            <w:r>
              <w:rPr>
                <w:rFonts w:ascii="Helvetica" w:hAnsi="Helvetica" w:cs="Helvetica"/>
                <w:color w:val="000000"/>
                <w:sz w:val="18"/>
                <w:szCs w:val="18"/>
              </w:rPr>
              <w:t>2.405576</w:t>
            </w:r>
          </w:p>
        </w:tc>
        <w:tc>
          <w:tcPr>
            <w:tcW w:w="1187" w:type="dxa"/>
            <w:vAlign w:val="center"/>
          </w:tcPr>
          <w:p w14:paraId="2E9BB809" w14:textId="5E768BDF" w:rsidR="003A29DC" w:rsidRDefault="003A29DC" w:rsidP="00963BA3">
            <w:pPr>
              <w:jc w:val="center"/>
              <w:rPr>
                <w:rFonts w:ascii="Times New Roman" w:hAnsi="Times New Roman" w:cs="Times New Roman"/>
              </w:rPr>
            </w:pPr>
            <w:r>
              <w:rPr>
                <w:rFonts w:ascii="Helvetica" w:hAnsi="Helvetica" w:cs="Helvetica"/>
                <w:color w:val="000000"/>
                <w:sz w:val="18"/>
                <w:szCs w:val="18"/>
              </w:rPr>
              <w:t>282000</w:t>
            </w:r>
          </w:p>
        </w:tc>
      </w:tr>
      <w:tr w:rsidR="003A29DC" w14:paraId="1A45C7D4" w14:textId="77777777" w:rsidTr="003C2EAB">
        <w:trPr>
          <w:trHeight w:val="329"/>
          <w:jc w:val="center"/>
        </w:trPr>
        <w:tc>
          <w:tcPr>
            <w:tcW w:w="1772" w:type="dxa"/>
            <w:tcBorders>
              <w:bottom w:val="single" w:sz="18" w:space="0" w:color="auto"/>
            </w:tcBorders>
            <w:vAlign w:val="center"/>
          </w:tcPr>
          <w:p w14:paraId="5FDEBA40" w14:textId="49F928CE" w:rsidR="003A29DC" w:rsidRDefault="003A29DC" w:rsidP="00963BA3">
            <w:pPr>
              <w:jc w:val="center"/>
              <w:rPr>
                <w:rFonts w:ascii="Times New Roman" w:hAnsi="Times New Roman" w:cs="Times New Roman"/>
              </w:rPr>
            </w:pPr>
            <w:r>
              <w:rPr>
                <w:rFonts w:ascii="Helvetica" w:hAnsi="Helvetica" w:cs="Helvetica"/>
                <w:b/>
                <w:bCs/>
                <w:color w:val="000000"/>
                <w:sz w:val="18"/>
                <w:szCs w:val="18"/>
              </w:rPr>
              <w:t>1996-01-05</w:t>
            </w:r>
          </w:p>
        </w:tc>
        <w:tc>
          <w:tcPr>
            <w:tcW w:w="1062" w:type="dxa"/>
            <w:tcBorders>
              <w:bottom w:val="single" w:sz="18" w:space="0" w:color="auto"/>
            </w:tcBorders>
            <w:vAlign w:val="center"/>
          </w:tcPr>
          <w:p w14:paraId="7E9C13A5" w14:textId="55E1A531" w:rsidR="003A29DC" w:rsidRDefault="003A29DC" w:rsidP="00963BA3">
            <w:pPr>
              <w:jc w:val="center"/>
              <w:rPr>
                <w:rFonts w:ascii="Times New Roman" w:hAnsi="Times New Roman" w:cs="Times New Roman"/>
              </w:rPr>
            </w:pPr>
            <w:r>
              <w:rPr>
                <w:rFonts w:ascii="Helvetica" w:hAnsi="Helvetica" w:cs="Helvetica"/>
                <w:color w:val="000000"/>
                <w:sz w:val="18"/>
                <w:szCs w:val="18"/>
              </w:rPr>
              <w:t>2.405576</w:t>
            </w:r>
          </w:p>
        </w:tc>
        <w:tc>
          <w:tcPr>
            <w:tcW w:w="999" w:type="dxa"/>
            <w:tcBorders>
              <w:bottom w:val="single" w:sz="18" w:space="0" w:color="auto"/>
            </w:tcBorders>
            <w:vAlign w:val="center"/>
          </w:tcPr>
          <w:p w14:paraId="44AA9E72" w14:textId="7D331965" w:rsidR="003A29DC" w:rsidRDefault="003A29DC" w:rsidP="00963BA3">
            <w:pPr>
              <w:jc w:val="center"/>
              <w:rPr>
                <w:rFonts w:ascii="Times New Roman" w:hAnsi="Times New Roman" w:cs="Times New Roman"/>
              </w:rPr>
            </w:pPr>
            <w:r>
              <w:rPr>
                <w:rFonts w:ascii="Helvetica" w:hAnsi="Helvetica" w:cs="Helvetica"/>
                <w:color w:val="000000"/>
                <w:sz w:val="18"/>
                <w:szCs w:val="18"/>
              </w:rPr>
              <w:t>2.417746</w:t>
            </w:r>
          </w:p>
        </w:tc>
        <w:tc>
          <w:tcPr>
            <w:tcW w:w="1208" w:type="dxa"/>
            <w:tcBorders>
              <w:bottom w:val="single" w:sz="18" w:space="0" w:color="auto"/>
            </w:tcBorders>
            <w:vAlign w:val="center"/>
          </w:tcPr>
          <w:p w14:paraId="608D5ED8" w14:textId="79EDECC5" w:rsidR="003A29DC" w:rsidRDefault="003A29DC" w:rsidP="00963BA3">
            <w:pPr>
              <w:jc w:val="center"/>
              <w:rPr>
                <w:rFonts w:ascii="Times New Roman" w:hAnsi="Times New Roman" w:cs="Times New Roman"/>
              </w:rPr>
            </w:pPr>
            <w:r>
              <w:rPr>
                <w:rFonts w:ascii="Helvetica" w:hAnsi="Helvetica" w:cs="Helvetica"/>
                <w:color w:val="000000"/>
                <w:sz w:val="18"/>
                <w:szCs w:val="18"/>
              </w:rPr>
              <w:t>2.393406</w:t>
            </w:r>
          </w:p>
        </w:tc>
        <w:tc>
          <w:tcPr>
            <w:tcW w:w="1208" w:type="dxa"/>
            <w:tcBorders>
              <w:bottom w:val="single" w:sz="18" w:space="0" w:color="auto"/>
            </w:tcBorders>
            <w:vAlign w:val="center"/>
          </w:tcPr>
          <w:p w14:paraId="2A7C5FBC" w14:textId="1A0400BD" w:rsidR="003A29DC" w:rsidRDefault="003A29DC" w:rsidP="00963BA3">
            <w:pPr>
              <w:jc w:val="center"/>
              <w:rPr>
                <w:rFonts w:ascii="Times New Roman" w:hAnsi="Times New Roman" w:cs="Times New Roman"/>
              </w:rPr>
            </w:pPr>
            <w:r>
              <w:rPr>
                <w:rFonts w:ascii="Helvetica" w:hAnsi="Helvetica" w:cs="Helvetica"/>
                <w:color w:val="000000"/>
                <w:sz w:val="18"/>
                <w:szCs w:val="18"/>
              </w:rPr>
              <w:t>2.401519</w:t>
            </w:r>
          </w:p>
        </w:tc>
        <w:tc>
          <w:tcPr>
            <w:tcW w:w="1187" w:type="dxa"/>
            <w:tcBorders>
              <w:bottom w:val="single" w:sz="18" w:space="0" w:color="auto"/>
            </w:tcBorders>
            <w:vAlign w:val="center"/>
          </w:tcPr>
          <w:p w14:paraId="00716BEB" w14:textId="5291680A" w:rsidR="003A29DC" w:rsidRPr="003A29DC" w:rsidRDefault="003A29DC" w:rsidP="00963BA3">
            <w:pPr>
              <w:jc w:val="center"/>
            </w:pPr>
            <w:r>
              <w:rPr>
                <w:rFonts w:ascii="Helvetica" w:hAnsi="Helvetica" w:cs="Helvetica"/>
                <w:color w:val="000000"/>
                <w:sz w:val="18"/>
                <w:szCs w:val="18"/>
              </w:rPr>
              <w:t>189000</w:t>
            </w:r>
          </w:p>
        </w:tc>
      </w:tr>
    </w:tbl>
    <w:p w14:paraId="77B311C3" w14:textId="416AD090" w:rsidR="003A29DC" w:rsidRDefault="003A29DC" w:rsidP="00A01151">
      <w:pPr>
        <w:jc w:val="both"/>
        <w:rPr>
          <w:rFonts w:ascii="Times New Roman" w:hAnsi="Times New Roman" w:cs="Times New Roman"/>
        </w:rPr>
      </w:pPr>
    </w:p>
    <w:p w14:paraId="39CFF875" w14:textId="5D746F8A" w:rsidR="003A29DC" w:rsidRDefault="003A29DC" w:rsidP="00963BA3">
      <w:pPr>
        <w:jc w:val="center"/>
        <w:rPr>
          <w:rFonts w:ascii="Times New Roman" w:hAnsi="Times New Roman" w:cs="Times New Roman"/>
        </w:rPr>
      </w:pPr>
      <w:r>
        <w:rPr>
          <w:rFonts w:ascii="Times New Roman" w:hAnsi="Times New Roman" w:cs="Times New Roman"/>
        </w:rPr>
        <w:t>Table 2: Stock Symbols (Ticker) of the stocks used in the study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45"/>
        <w:gridCol w:w="1585"/>
        <w:gridCol w:w="2330"/>
        <w:gridCol w:w="2115"/>
      </w:tblGrid>
      <w:tr w:rsidR="003A29DC" w14:paraId="0D25521F" w14:textId="77777777" w:rsidTr="003C2EAB">
        <w:trPr>
          <w:trHeight w:val="353"/>
          <w:jc w:val="center"/>
        </w:trPr>
        <w:tc>
          <w:tcPr>
            <w:tcW w:w="2645" w:type="dxa"/>
            <w:tcBorders>
              <w:top w:val="single" w:sz="18" w:space="0" w:color="auto"/>
              <w:bottom w:val="single" w:sz="8" w:space="0" w:color="auto"/>
            </w:tcBorders>
            <w:vAlign w:val="center"/>
          </w:tcPr>
          <w:p w14:paraId="13B4A456" w14:textId="260F149E" w:rsidR="003A29DC" w:rsidRPr="003A29DC" w:rsidRDefault="003A29DC" w:rsidP="00963BA3">
            <w:pPr>
              <w:jc w:val="center"/>
              <w:rPr>
                <w:rFonts w:ascii="Times New Roman" w:hAnsi="Times New Roman" w:cs="Times New Roman"/>
                <w:b/>
                <w:bCs/>
              </w:rPr>
            </w:pPr>
            <w:r>
              <w:rPr>
                <w:rFonts w:ascii="Times New Roman" w:hAnsi="Times New Roman" w:cs="Times New Roman"/>
                <w:b/>
                <w:bCs/>
              </w:rPr>
              <w:t>Stock Name</w:t>
            </w:r>
          </w:p>
        </w:tc>
        <w:tc>
          <w:tcPr>
            <w:tcW w:w="1585" w:type="dxa"/>
            <w:tcBorders>
              <w:top w:val="single" w:sz="18" w:space="0" w:color="auto"/>
              <w:bottom w:val="single" w:sz="8" w:space="0" w:color="auto"/>
            </w:tcBorders>
            <w:vAlign w:val="center"/>
          </w:tcPr>
          <w:p w14:paraId="14113E21" w14:textId="33E012D0" w:rsidR="003A29DC" w:rsidRPr="003A29DC" w:rsidRDefault="003A29DC" w:rsidP="00963BA3">
            <w:pPr>
              <w:jc w:val="center"/>
              <w:rPr>
                <w:rFonts w:ascii="Times New Roman" w:hAnsi="Times New Roman" w:cs="Times New Roman"/>
                <w:b/>
                <w:bCs/>
              </w:rPr>
            </w:pPr>
            <w:r>
              <w:rPr>
                <w:rFonts w:ascii="Times New Roman" w:hAnsi="Times New Roman" w:cs="Times New Roman"/>
                <w:b/>
                <w:bCs/>
              </w:rPr>
              <w:t>Stock Symbol (Ticker)</w:t>
            </w:r>
          </w:p>
        </w:tc>
        <w:tc>
          <w:tcPr>
            <w:tcW w:w="2330" w:type="dxa"/>
            <w:tcBorders>
              <w:top w:val="single" w:sz="18" w:space="0" w:color="auto"/>
              <w:bottom w:val="single" w:sz="8" w:space="0" w:color="auto"/>
            </w:tcBorders>
            <w:vAlign w:val="center"/>
          </w:tcPr>
          <w:p w14:paraId="74892504" w14:textId="1349CE0A" w:rsidR="003A29DC" w:rsidRPr="003A29DC" w:rsidRDefault="003A29DC" w:rsidP="00963BA3">
            <w:pPr>
              <w:jc w:val="center"/>
              <w:rPr>
                <w:rFonts w:ascii="Times New Roman" w:hAnsi="Times New Roman" w:cs="Times New Roman"/>
                <w:b/>
                <w:bCs/>
              </w:rPr>
            </w:pPr>
            <w:r>
              <w:rPr>
                <w:rFonts w:ascii="Times New Roman" w:hAnsi="Times New Roman" w:cs="Times New Roman"/>
                <w:b/>
                <w:bCs/>
              </w:rPr>
              <w:t>Stock Exchange</w:t>
            </w:r>
          </w:p>
        </w:tc>
        <w:tc>
          <w:tcPr>
            <w:tcW w:w="2115" w:type="dxa"/>
            <w:tcBorders>
              <w:top w:val="single" w:sz="18" w:space="0" w:color="auto"/>
              <w:bottom w:val="single" w:sz="8" w:space="0" w:color="auto"/>
            </w:tcBorders>
            <w:vAlign w:val="center"/>
          </w:tcPr>
          <w:p w14:paraId="4C5E1106" w14:textId="5C0F12DF" w:rsidR="003A29DC" w:rsidRPr="003A29DC" w:rsidRDefault="003A29DC" w:rsidP="00963BA3">
            <w:pPr>
              <w:jc w:val="center"/>
              <w:rPr>
                <w:rFonts w:ascii="Times New Roman" w:hAnsi="Times New Roman" w:cs="Times New Roman"/>
                <w:b/>
                <w:bCs/>
              </w:rPr>
            </w:pPr>
            <w:r>
              <w:rPr>
                <w:rFonts w:ascii="Times New Roman" w:hAnsi="Times New Roman" w:cs="Times New Roman"/>
                <w:b/>
                <w:bCs/>
              </w:rPr>
              <w:t>Currency</w:t>
            </w:r>
          </w:p>
        </w:tc>
      </w:tr>
      <w:tr w:rsidR="003A29DC" w14:paraId="69C086A2" w14:textId="77777777" w:rsidTr="003C2EAB">
        <w:trPr>
          <w:trHeight w:val="305"/>
          <w:jc w:val="center"/>
        </w:trPr>
        <w:tc>
          <w:tcPr>
            <w:tcW w:w="2645" w:type="dxa"/>
            <w:tcBorders>
              <w:top w:val="single" w:sz="8" w:space="0" w:color="auto"/>
            </w:tcBorders>
            <w:vAlign w:val="center"/>
          </w:tcPr>
          <w:p w14:paraId="6BCC1C37" w14:textId="567CA900" w:rsidR="003A29DC" w:rsidRDefault="003A29DC" w:rsidP="00963BA3">
            <w:pPr>
              <w:jc w:val="center"/>
              <w:rPr>
                <w:rFonts w:ascii="Times New Roman" w:hAnsi="Times New Roman" w:cs="Times New Roman"/>
              </w:rPr>
            </w:pPr>
            <w:r>
              <w:rPr>
                <w:rFonts w:ascii="Helvetica" w:hAnsi="Helvetica" w:cs="Helvetica"/>
                <w:b/>
                <w:bCs/>
                <w:color w:val="000000"/>
                <w:sz w:val="18"/>
                <w:szCs w:val="18"/>
              </w:rPr>
              <w:t>Alphabet Inc. (Google)</w:t>
            </w:r>
          </w:p>
        </w:tc>
        <w:tc>
          <w:tcPr>
            <w:tcW w:w="1585" w:type="dxa"/>
            <w:tcBorders>
              <w:top w:val="single" w:sz="8" w:space="0" w:color="auto"/>
            </w:tcBorders>
            <w:vAlign w:val="center"/>
          </w:tcPr>
          <w:p w14:paraId="10636996" w14:textId="3FE906E2" w:rsidR="003A29DC" w:rsidRDefault="003A29DC" w:rsidP="00963BA3">
            <w:pPr>
              <w:jc w:val="center"/>
              <w:rPr>
                <w:rFonts w:ascii="Times New Roman" w:hAnsi="Times New Roman" w:cs="Times New Roman"/>
              </w:rPr>
            </w:pPr>
            <w:r>
              <w:rPr>
                <w:rFonts w:ascii="Helvetica" w:hAnsi="Helvetica" w:cs="Helvetica"/>
                <w:color w:val="000000"/>
                <w:sz w:val="18"/>
                <w:szCs w:val="18"/>
              </w:rPr>
              <w:t>GOOG</w:t>
            </w:r>
          </w:p>
        </w:tc>
        <w:tc>
          <w:tcPr>
            <w:tcW w:w="2330" w:type="dxa"/>
            <w:tcBorders>
              <w:top w:val="single" w:sz="8" w:space="0" w:color="auto"/>
            </w:tcBorders>
            <w:vAlign w:val="center"/>
          </w:tcPr>
          <w:p w14:paraId="50D65FDB" w14:textId="7FEFA341" w:rsidR="003A29DC" w:rsidRDefault="003A29DC" w:rsidP="00963BA3">
            <w:pPr>
              <w:jc w:val="center"/>
              <w:rPr>
                <w:rFonts w:ascii="Times New Roman" w:hAnsi="Times New Roman" w:cs="Times New Roman"/>
              </w:rPr>
            </w:pPr>
            <w:r>
              <w:rPr>
                <w:rFonts w:ascii="Helvetica" w:hAnsi="Helvetica" w:cs="Helvetica"/>
                <w:color w:val="000000"/>
                <w:sz w:val="18"/>
                <w:szCs w:val="18"/>
              </w:rPr>
              <w:t>NASDAQ Global Select Market</w:t>
            </w:r>
          </w:p>
        </w:tc>
        <w:tc>
          <w:tcPr>
            <w:tcW w:w="2115" w:type="dxa"/>
            <w:tcBorders>
              <w:top w:val="single" w:sz="8" w:space="0" w:color="auto"/>
            </w:tcBorders>
            <w:vAlign w:val="center"/>
          </w:tcPr>
          <w:p w14:paraId="4B282F85" w14:textId="0C6F5370" w:rsidR="003A29DC" w:rsidRPr="003A29DC" w:rsidRDefault="003A29DC" w:rsidP="00963BA3">
            <w:pPr>
              <w:jc w:val="center"/>
              <w:rPr>
                <w:rFonts w:ascii="Helvetica" w:hAnsi="Helvetica" w:cs="Helvetica"/>
                <w:color w:val="000000"/>
                <w:sz w:val="18"/>
                <w:szCs w:val="18"/>
              </w:rPr>
            </w:pPr>
            <w:r>
              <w:rPr>
                <w:rFonts w:ascii="Helvetica" w:hAnsi="Helvetica" w:cs="Helvetica"/>
                <w:color w:val="000000"/>
                <w:sz w:val="18"/>
                <w:szCs w:val="18"/>
              </w:rPr>
              <w:t>USD</w:t>
            </w:r>
          </w:p>
        </w:tc>
      </w:tr>
      <w:tr w:rsidR="003A29DC" w14:paraId="16BB5BC5" w14:textId="77777777" w:rsidTr="00963BA3">
        <w:trPr>
          <w:trHeight w:val="290"/>
          <w:jc w:val="center"/>
        </w:trPr>
        <w:tc>
          <w:tcPr>
            <w:tcW w:w="2645" w:type="dxa"/>
            <w:vAlign w:val="center"/>
          </w:tcPr>
          <w:p w14:paraId="19F9D882" w14:textId="0A1D797A" w:rsidR="003A29DC" w:rsidRDefault="003A29DC" w:rsidP="00963BA3">
            <w:pPr>
              <w:jc w:val="center"/>
              <w:rPr>
                <w:rFonts w:ascii="Times New Roman" w:hAnsi="Times New Roman" w:cs="Times New Roman"/>
              </w:rPr>
            </w:pPr>
            <w:r>
              <w:rPr>
                <w:rFonts w:ascii="Helvetica" w:hAnsi="Helvetica" w:cs="Helvetica"/>
                <w:b/>
                <w:bCs/>
                <w:color w:val="000000"/>
                <w:sz w:val="18"/>
                <w:szCs w:val="18"/>
              </w:rPr>
              <w:t>Apple Inc</w:t>
            </w:r>
          </w:p>
        </w:tc>
        <w:tc>
          <w:tcPr>
            <w:tcW w:w="1585" w:type="dxa"/>
            <w:vAlign w:val="center"/>
          </w:tcPr>
          <w:p w14:paraId="20F3BD08" w14:textId="2B555E88" w:rsidR="003A29DC" w:rsidRDefault="003A29DC" w:rsidP="00963BA3">
            <w:pPr>
              <w:jc w:val="center"/>
              <w:rPr>
                <w:rFonts w:ascii="Times New Roman" w:hAnsi="Times New Roman" w:cs="Times New Roman"/>
              </w:rPr>
            </w:pPr>
            <w:r>
              <w:rPr>
                <w:rFonts w:ascii="Helvetica" w:hAnsi="Helvetica" w:cs="Helvetica"/>
                <w:color w:val="000000"/>
                <w:sz w:val="18"/>
                <w:szCs w:val="18"/>
              </w:rPr>
              <w:t>AAPL</w:t>
            </w:r>
          </w:p>
        </w:tc>
        <w:tc>
          <w:tcPr>
            <w:tcW w:w="2330" w:type="dxa"/>
            <w:vAlign w:val="center"/>
          </w:tcPr>
          <w:p w14:paraId="41A7B286" w14:textId="47B0AD96" w:rsidR="003A29DC" w:rsidRDefault="003A29DC" w:rsidP="00963BA3">
            <w:pPr>
              <w:jc w:val="center"/>
              <w:rPr>
                <w:rFonts w:ascii="Times New Roman" w:hAnsi="Times New Roman" w:cs="Times New Roman"/>
              </w:rPr>
            </w:pPr>
            <w:r>
              <w:rPr>
                <w:rFonts w:ascii="Helvetica" w:hAnsi="Helvetica" w:cs="Helvetica"/>
                <w:color w:val="000000"/>
                <w:sz w:val="18"/>
                <w:szCs w:val="18"/>
              </w:rPr>
              <w:t>NASDAQ Global Select Market</w:t>
            </w:r>
          </w:p>
        </w:tc>
        <w:tc>
          <w:tcPr>
            <w:tcW w:w="2115" w:type="dxa"/>
            <w:vAlign w:val="center"/>
          </w:tcPr>
          <w:p w14:paraId="5978979E" w14:textId="7CC24ACF" w:rsidR="003A29DC" w:rsidRDefault="003A29DC" w:rsidP="00963BA3">
            <w:pPr>
              <w:jc w:val="center"/>
              <w:rPr>
                <w:rFonts w:ascii="Times New Roman" w:hAnsi="Times New Roman" w:cs="Times New Roman"/>
              </w:rPr>
            </w:pPr>
            <w:r>
              <w:rPr>
                <w:rFonts w:ascii="Helvetica" w:hAnsi="Helvetica" w:cs="Helvetica"/>
                <w:color w:val="000000"/>
                <w:sz w:val="18"/>
                <w:szCs w:val="18"/>
              </w:rPr>
              <w:t>USD</w:t>
            </w:r>
          </w:p>
        </w:tc>
      </w:tr>
      <w:tr w:rsidR="003A29DC" w14:paraId="6D525BBB" w14:textId="77777777" w:rsidTr="00963BA3">
        <w:trPr>
          <w:trHeight w:val="290"/>
          <w:jc w:val="center"/>
        </w:trPr>
        <w:tc>
          <w:tcPr>
            <w:tcW w:w="2645" w:type="dxa"/>
            <w:vAlign w:val="center"/>
          </w:tcPr>
          <w:p w14:paraId="2CBC54DB" w14:textId="031032F5" w:rsidR="003A29DC" w:rsidRDefault="003A29DC" w:rsidP="00963BA3">
            <w:pPr>
              <w:jc w:val="center"/>
              <w:rPr>
                <w:rFonts w:ascii="Times New Roman" w:hAnsi="Times New Roman" w:cs="Times New Roman"/>
              </w:rPr>
            </w:pPr>
            <w:r>
              <w:rPr>
                <w:rFonts w:ascii="Helvetica" w:hAnsi="Helvetica" w:cs="Helvetica"/>
                <w:b/>
                <w:bCs/>
                <w:color w:val="000000"/>
                <w:sz w:val="18"/>
                <w:szCs w:val="18"/>
              </w:rPr>
              <w:t>HDFC Bank Limited</w:t>
            </w:r>
          </w:p>
        </w:tc>
        <w:tc>
          <w:tcPr>
            <w:tcW w:w="1585" w:type="dxa"/>
            <w:vAlign w:val="center"/>
          </w:tcPr>
          <w:p w14:paraId="5010298D" w14:textId="5A2439EE" w:rsidR="003A29DC" w:rsidRDefault="003A29DC" w:rsidP="00963BA3">
            <w:pPr>
              <w:jc w:val="center"/>
              <w:rPr>
                <w:rFonts w:ascii="Times New Roman" w:hAnsi="Times New Roman" w:cs="Times New Roman"/>
              </w:rPr>
            </w:pPr>
            <w:r>
              <w:rPr>
                <w:rFonts w:ascii="Helvetica" w:hAnsi="Helvetica" w:cs="Helvetica"/>
                <w:color w:val="000000"/>
                <w:sz w:val="18"/>
                <w:szCs w:val="18"/>
              </w:rPr>
              <w:t>HDFCBANK.NS</w:t>
            </w:r>
          </w:p>
        </w:tc>
        <w:tc>
          <w:tcPr>
            <w:tcW w:w="2330" w:type="dxa"/>
            <w:vAlign w:val="center"/>
          </w:tcPr>
          <w:p w14:paraId="1716F7D1" w14:textId="7EB72668" w:rsidR="003A29DC" w:rsidRDefault="003A29DC" w:rsidP="00963BA3">
            <w:pPr>
              <w:jc w:val="center"/>
              <w:rPr>
                <w:rFonts w:ascii="Times New Roman" w:hAnsi="Times New Roman" w:cs="Times New Roman"/>
              </w:rPr>
            </w:pPr>
            <w:r>
              <w:rPr>
                <w:rFonts w:ascii="Helvetica" w:hAnsi="Helvetica" w:cs="Helvetica"/>
                <w:color w:val="000000"/>
                <w:sz w:val="18"/>
                <w:szCs w:val="18"/>
              </w:rPr>
              <w:t>National Stock Exchange</w:t>
            </w:r>
          </w:p>
        </w:tc>
        <w:tc>
          <w:tcPr>
            <w:tcW w:w="2115" w:type="dxa"/>
            <w:vAlign w:val="center"/>
          </w:tcPr>
          <w:p w14:paraId="672DCE7C" w14:textId="5D0B48A9" w:rsidR="003A29DC" w:rsidRDefault="003A29DC" w:rsidP="00963BA3">
            <w:pPr>
              <w:jc w:val="center"/>
              <w:rPr>
                <w:rFonts w:ascii="Times New Roman" w:hAnsi="Times New Roman" w:cs="Times New Roman"/>
              </w:rPr>
            </w:pPr>
            <w:r>
              <w:rPr>
                <w:rFonts w:ascii="Helvetica" w:hAnsi="Helvetica" w:cs="Helvetica"/>
                <w:color w:val="000000"/>
                <w:sz w:val="18"/>
                <w:szCs w:val="18"/>
              </w:rPr>
              <w:t>INR</w:t>
            </w:r>
          </w:p>
        </w:tc>
      </w:tr>
      <w:tr w:rsidR="003A29DC" w14:paraId="0C4C9A26" w14:textId="77777777" w:rsidTr="003C2EAB">
        <w:trPr>
          <w:trHeight w:val="290"/>
          <w:jc w:val="center"/>
        </w:trPr>
        <w:tc>
          <w:tcPr>
            <w:tcW w:w="2645" w:type="dxa"/>
            <w:tcBorders>
              <w:bottom w:val="single" w:sz="18" w:space="0" w:color="auto"/>
            </w:tcBorders>
            <w:vAlign w:val="center"/>
          </w:tcPr>
          <w:p w14:paraId="0B95FD2A" w14:textId="35600E53" w:rsidR="003A29DC" w:rsidRDefault="003A29DC" w:rsidP="00963BA3">
            <w:pPr>
              <w:jc w:val="center"/>
              <w:rPr>
                <w:rFonts w:ascii="Times New Roman" w:hAnsi="Times New Roman" w:cs="Times New Roman"/>
              </w:rPr>
            </w:pPr>
            <w:r>
              <w:rPr>
                <w:rFonts w:ascii="Helvetica" w:hAnsi="Helvetica" w:cs="Helvetica"/>
                <w:b/>
                <w:bCs/>
                <w:color w:val="000000"/>
                <w:sz w:val="18"/>
                <w:szCs w:val="18"/>
              </w:rPr>
              <w:t>Reliance Industries Limited</w:t>
            </w:r>
          </w:p>
        </w:tc>
        <w:tc>
          <w:tcPr>
            <w:tcW w:w="1585" w:type="dxa"/>
            <w:tcBorders>
              <w:bottom w:val="single" w:sz="18" w:space="0" w:color="auto"/>
            </w:tcBorders>
            <w:vAlign w:val="center"/>
          </w:tcPr>
          <w:p w14:paraId="141DDAD9" w14:textId="348C5BD8" w:rsidR="003A29DC" w:rsidRPr="003A29DC" w:rsidRDefault="003A29DC" w:rsidP="00963BA3">
            <w:pPr>
              <w:jc w:val="center"/>
              <w:rPr>
                <w:rFonts w:ascii="Helvetica" w:hAnsi="Helvetica" w:cs="Helvetica"/>
                <w:color w:val="000000"/>
                <w:sz w:val="18"/>
                <w:szCs w:val="18"/>
              </w:rPr>
            </w:pPr>
            <w:r>
              <w:rPr>
                <w:rFonts w:ascii="Helvetica" w:hAnsi="Helvetica" w:cs="Helvetica"/>
                <w:color w:val="000000"/>
                <w:sz w:val="18"/>
                <w:szCs w:val="18"/>
              </w:rPr>
              <w:t>RELIANCE.NS</w:t>
            </w:r>
          </w:p>
        </w:tc>
        <w:tc>
          <w:tcPr>
            <w:tcW w:w="2330" w:type="dxa"/>
            <w:tcBorders>
              <w:bottom w:val="single" w:sz="18" w:space="0" w:color="auto"/>
            </w:tcBorders>
            <w:vAlign w:val="center"/>
          </w:tcPr>
          <w:p w14:paraId="58617F36" w14:textId="25D7421A" w:rsidR="003A29DC" w:rsidRDefault="003A29DC" w:rsidP="00963BA3">
            <w:pPr>
              <w:jc w:val="center"/>
              <w:rPr>
                <w:rFonts w:ascii="Times New Roman" w:hAnsi="Times New Roman" w:cs="Times New Roman"/>
              </w:rPr>
            </w:pPr>
            <w:r>
              <w:rPr>
                <w:rFonts w:ascii="Helvetica" w:hAnsi="Helvetica" w:cs="Helvetica"/>
                <w:color w:val="000000"/>
                <w:sz w:val="18"/>
                <w:szCs w:val="18"/>
              </w:rPr>
              <w:t>National Stock Exchange</w:t>
            </w:r>
          </w:p>
        </w:tc>
        <w:tc>
          <w:tcPr>
            <w:tcW w:w="2115" w:type="dxa"/>
            <w:tcBorders>
              <w:bottom w:val="single" w:sz="18" w:space="0" w:color="auto"/>
            </w:tcBorders>
            <w:vAlign w:val="center"/>
          </w:tcPr>
          <w:p w14:paraId="2F5A264A" w14:textId="103B9D23" w:rsidR="003A29DC" w:rsidRDefault="003A29DC" w:rsidP="00963BA3">
            <w:pPr>
              <w:jc w:val="center"/>
              <w:rPr>
                <w:rFonts w:ascii="Times New Roman" w:hAnsi="Times New Roman" w:cs="Times New Roman"/>
              </w:rPr>
            </w:pPr>
            <w:r>
              <w:rPr>
                <w:rFonts w:ascii="Helvetica" w:hAnsi="Helvetica" w:cs="Helvetica"/>
                <w:color w:val="000000"/>
                <w:sz w:val="18"/>
                <w:szCs w:val="18"/>
              </w:rPr>
              <w:t>INR</w:t>
            </w:r>
          </w:p>
        </w:tc>
      </w:tr>
    </w:tbl>
    <w:p w14:paraId="56E7F246" w14:textId="4E0FB277" w:rsidR="003A29DC" w:rsidRDefault="003A29DC" w:rsidP="00963BA3">
      <w:pPr>
        <w:jc w:val="center"/>
        <w:rPr>
          <w:rFonts w:ascii="Times New Roman" w:hAnsi="Times New Roman" w:cs="Times New Roman"/>
        </w:rPr>
      </w:pPr>
    </w:p>
    <w:p w14:paraId="4B3E62F6" w14:textId="62F91A44" w:rsidR="003A29DC" w:rsidRDefault="00296A3F" w:rsidP="00A01151">
      <w:pPr>
        <w:jc w:val="both"/>
        <w:rPr>
          <w:rFonts w:ascii="Times New Roman" w:hAnsi="Times New Roman" w:cs="Times New Roman"/>
        </w:rPr>
      </w:pPr>
      <w:r>
        <w:rPr>
          <w:rFonts w:ascii="Times New Roman" w:hAnsi="Times New Roman" w:cs="Times New Roman"/>
          <w:noProof/>
        </w:rPr>
        <w:lastRenderedPageBreak/>
        <w:drawing>
          <wp:inline distT="0" distB="0" distL="0" distR="0" wp14:anchorId="6C17D680" wp14:editId="1E661D91">
            <wp:extent cx="2580005" cy="17532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6712" cy="1764652"/>
                    </a:xfrm>
                    <a:prstGeom prst="rect">
                      <a:avLst/>
                    </a:prstGeom>
                  </pic:spPr>
                </pic:pic>
              </a:graphicData>
            </a:graphic>
          </wp:inline>
        </w:drawing>
      </w:r>
      <w:r>
        <w:rPr>
          <w:rFonts w:ascii="Times New Roman" w:hAnsi="Times New Roman" w:cs="Times New Roman"/>
          <w:noProof/>
        </w:rPr>
        <w:drawing>
          <wp:inline distT="0" distB="0" distL="0" distR="0" wp14:anchorId="4F75068A" wp14:editId="77E4288F">
            <wp:extent cx="2551430" cy="175329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1842" cy="1767326"/>
                    </a:xfrm>
                    <a:prstGeom prst="rect">
                      <a:avLst/>
                    </a:prstGeom>
                  </pic:spPr>
                </pic:pic>
              </a:graphicData>
            </a:graphic>
          </wp:inline>
        </w:drawing>
      </w:r>
      <w:r>
        <w:rPr>
          <w:rFonts w:ascii="Times New Roman" w:hAnsi="Times New Roman" w:cs="Times New Roman"/>
          <w:noProof/>
        </w:rPr>
        <w:drawing>
          <wp:inline distT="0" distB="0" distL="0" distR="0" wp14:anchorId="613EB468" wp14:editId="45D1DE49">
            <wp:extent cx="2820044" cy="192107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3807" cy="1971328"/>
                    </a:xfrm>
                    <a:prstGeom prst="rect">
                      <a:avLst/>
                    </a:prstGeom>
                  </pic:spPr>
                </pic:pic>
              </a:graphicData>
            </a:graphic>
          </wp:inline>
        </w:drawing>
      </w:r>
      <w:r>
        <w:rPr>
          <w:rFonts w:ascii="Times New Roman" w:hAnsi="Times New Roman" w:cs="Times New Roman"/>
          <w:noProof/>
        </w:rPr>
        <w:drawing>
          <wp:inline distT="0" distB="0" distL="0" distR="0" wp14:anchorId="42FEB812" wp14:editId="6E1646E1">
            <wp:extent cx="2803346" cy="192107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4759" cy="1963164"/>
                    </a:xfrm>
                    <a:prstGeom prst="rect">
                      <a:avLst/>
                    </a:prstGeom>
                  </pic:spPr>
                </pic:pic>
              </a:graphicData>
            </a:graphic>
          </wp:inline>
        </w:drawing>
      </w:r>
    </w:p>
    <w:p w14:paraId="326E13DC" w14:textId="1ED49828" w:rsidR="00296A3F" w:rsidRPr="00E320EB" w:rsidRDefault="00296A3F" w:rsidP="00296A3F">
      <w:pPr>
        <w:pStyle w:val="NormalWeb"/>
        <w:spacing w:before="0" w:beforeAutospacing="0" w:after="0" w:afterAutospacing="0"/>
        <w:jc w:val="center"/>
        <w:rPr>
          <w:color w:val="0E101A"/>
          <w:sz w:val="20"/>
          <w:szCs w:val="20"/>
        </w:rPr>
      </w:pPr>
      <w:r w:rsidRPr="00E320EB">
        <w:rPr>
          <w:color w:val="0E101A"/>
          <w:sz w:val="20"/>
          <w:szCs w:val="20"/>
        </w:rPr>
        <w:t xml:space="preserve">Figure </w:t>
      </w:r>
      <w:r>
        <w:rPr>
          <w:color w:val="0E101A"/>
          <w:sz w:val="20"/>
          <w:szCs w:val="20"/>
        </w:rPr>
        <w:t>2</w:t>
      </w:r>
      <w:r w:rsidRPr="00E320EB">
        <w:rPr>
          <w:color w:val="0E101A"/>
          <w:sz w:val="20"/>
          <w:szCs w:val="20"/>
        </w:rPr>
        <w:t xml:space="preserve">: </w:t>
      </w:r>
      <w:r>
        <w:rPr>
          <w:color w:val="0E101A"/>
          <w:sz w:val="20"/>
          <w:szCs w:val="20"/>
        </w:rPr>
        <w:t>Candle plots for the stocks considered (a) Apple Inc. (AAPLO (b) Google (GOOGL) (c) HDFC Bank Limited (HDFCBANK.NS) (d) Reliance Industries Limited (RELIANCE.NS)</w:t>
      </w:r>
    </w:p>
    <w:p w14:paraId="312281D7" w14:textId="62633757" w:rsidR="000E5B99" w:rsidRDefault="00B80503" w:rsidP="00B80503">
      <w:pPr>
        <w:jc w:val="center"/>
        <w:rPr>
          <w:rFonts w:ascii="Times New Roman" w:hAnsi="Times New Roman" w:cs="Times New Roman"/>
        </w:rPr>
      </w:pPr>
      <w:r>
        <w:rPr>
          <w:rFonts w:ascii="Times New Roman" w:hAnsi="Times New Roman" w:cs="Times New Roman"/>
          <w:noProof/>
        </w:rPr>
        <w:drawing>
          <wp:inline distT="0" distB="0" distL="0" distR="0" wp14:anchorId="134EF3A7" wp14:editId="2FA72083">
            <wp:extent cx="4338917" cy="2623176"/>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356360" cy="2633722"/>
                    </a:xfrm>
                    <a:prstGeom prst="rect">
                      <a:avLst/>
                    </a:prstGeom>
                  </pic:spPr>
                </pic:pic>
              </a:graphicData>
            </a:graphic>
          </wp:inline>
        </w:drawing>
      </w:r>
    </w:p>
    <w:p w14:paraId="619EABE0" w14:textId="7A9619A9" w:rsidR="00395ED7" w:rsidRPr="00E320EB" w:rsidRDefault="00395ED7" w:rsidP="00395ED7">
      <w:pPr>
        <w:pStyle w:val="NormalWeb"/>
        <w:spacing w:before="0" w:beforeAutospacing="0" w:after="0" w:afterAutospacing="0"/>
        <w:jc w:val="center"/>
        <w:rPr>
          <w:color w:val="0E101A"/>
          <w:sz w:val="20"/>
          <w:szCs w:val="20"/>
        </w:rPr>
      </w:pPr>
      <w:r w:rsidRPr="00E320EB">
        <w:rPr>
          <w:color w:val="0E101A"/>
          <w:sz w:val="20"/>
          <w:szCs w:val="20"/>
        </w:rPr>
        <w:t xml:space="preserve">Figure </w:t>
      </w:r>
      <w:r>
        <w:rPr>
          <w:color w:val="0E101A"/>
          <w:sz w:val="20"/>
          <w:szCs w:val="20"/>
        </w:rPr>
        <w:t>3</w:t>
      </w:r>
      <w:r w:rsidRPr="00E320EB">
        <w:rPr>
          <w:color w:val="0E101A"/>
          <w:sz w:val="20"/>
          <w:szCs w:val="20"/>
        </w:rPr>
        <w:t xml:space="preserve">: </w:t>
      </w:r>
      <w:r>
        <w:rPr>
          <w:color w:val="0E101A"/>
          <w:sz w:val="20"/>
          <w:szCs w:val="20"/>
        </w:rPr>
        <w:t xml:space="preserve">Opening Price of each day of the stocks considered </w:t>
      </w:r>
    </w:p>
    <w:p w14:paraId="263530D2" w14:textId="77777777" w:rsidR="00395ED7" w:rsidRDefault="00395ED7" w:rsidP="00A01151">
      <w:pPr>
        <w:jc w:val="both"/>
        <w:rPr>
          <w:rFonts w:ascii="Times New Roman" w:hAnsi="Times New Roman" w:cs="Times New Roman"/>
        </w:rPr>
      </w:pPr>
    </w:p>
    <w:p w14:paraId="6222F3D4" w14:textId="7341997E" w:rsidR="00963BA3" w:rsidRDefault="00963BA3" w:rsidP="00A01151">
      <w:pPr>
        <w:jc w:val="both"/>
        <w:rPr>
          <w:rFonts w:ascii="Times New Roman" w:hAnsi="Times New Roman" w:cs="Times New Roman"/>
        </w:rPr>
      </w:pPr>
      <w:r>
        <w:rPr>
          <w:rFonts w:ascii="Times New Roman" w:hAnsi="Times New Roman" w:cs="Times New Roman"/>
        </w:rPr>
        <w:t xml:space="preserve">Apart from storing the data related to the stock, we have stored the first date of each month in the six years considered. These first dates will be used in the data </w:t>
      </w:r>
      <w:proofErr w:type="spellStart"/>
      <w:r>
        <w:rPr>
          <w:rFonts w:ascii="Times New Roman" w:hAnsi="Times New Roman" w:cs="Times New Roman"/>
        </w:rPr>
        <w:t>preprocessing</w:t>
      </w:r>
      <w:proofErr w:type="spellEnd"/>
      <w:r>
        <w:rPr>
          <w:rFonts w:ascii="Times New Roman" w:hAnsi="Times New Roman" w:cs="Times New Roman"/>
        </w:rPr>
        <w:t xml:space="preserve"> module, as the strategy is to decide if we should stay in the market and trade for that particular month or move out with the existing amount. </w:t>
      </w:r>
    </w:p>
    <w:p w14:paraId="36AA5ABB" w14:textId="523DD7AC" w:rsidR="00963BA3" w:rsidRDefault="00395ED7" w:rsidP="00A01151">
      <w:pPr>
        <w:jc w:val="both"/>
        <w:rPr>
          <w:rFonts w:ascii="Times New Roman" w:hAnsi="Times New Roman" w:cs="Times New Roman"/>
        </w:rPr>
      </w:pPr>
      <w:r>
        <w:rPr>
          <w:rFonts w:ascii="Times New Roman" w:hAnsi="Times New Roman" w:cs="Times New Roman"/>
        </w:rPr>
        <w:t xml:space="preserve">3.2.1 Data </w:t>
      </w:r>
      <w:proofErr w:type="spellStart"/>
      <w:r>
        <w:rPr>
          <w:rFonts w:ascii="Times New Roman" w:hAnsi="Times New Roman" w:cs="Times New Roman"/>
        </w:rPr>
        <w:t>Preprocessing</w:t>
      </w:r>
      <w:proofErr w:type="spellEnd"/>
    </w:p>
    <w:p w14:paraId="39328BB9" w14:textId="55439311" w:rsidR="00B80503" w:rsidRDefault="00395ED7" w:rsidP="00A01151">
      <w:pPr>
        <w:jc w:val="both"/>
        <w:rPr>
          <w:rFonts w:ascii="Times New Roman" w:hAnsi="Times New Roman" w:cs="Times New Roman"/>
        </w:rPr>
      </w:pPr>
      <w:r>
        <w:rPr>
          <w:rFonts w:ascii="Times New Roman" w:hAnsi="Times New Roman" w:cs="Times New Roman"/>
        </w:rPr>
        <w:t xml:space="preserve">After dropping the extra columns, we converted the data obtained from the API from daily stock data to monthly stock data. The projection model will use this monthly data to decide if it is profitable to trade in the month by considering the historical data. </w:t>
      </w:r>
      <w:r w:rsidR="00B80503">
        <w:rPr>
          <w:rFonts w:ascii="Times New Roman" w:hAnsi="Times New Roman" w:cs="Times New Roman"/>
        </w:rPr>
        <w:t xml:space="preserve">We have calculated the moving average for 12 </w:t>
      </w:r>
      <w:r w:rsidR="00B80503">
        <w:rPr>
          <w:rFonts w:ascii="Times New Roman" w:hAnsi="Times New Roman" w:cs="Times New Roman"/>
        </w:rPr>
        <w:lastRenderedPageBreak/>
        <w:t xml:space="preserve">months (yearly) and 24 years after generating the monthly data. </w:t>
      </w:r>
      <w:r>
        <w:rPr>
          <w:rFonts w:ascii="Times New Roman" w:hAnsi="Times New Roman" w:cs="Times New Roman"/>
        </w:rPr>
        <w:t>This module also creates a six-year window of the past six years from the day of making predictions</w:t>
      </w:r>
      <w:r w:rsidR="00B80503">
        <w:rPr>
          <w:rFonts w:ascii="Times New Roman" w:hAnsi="Times New Roman" w:cs="Times New Roman"/>
        </w:rPr>
        <w:t xml:space="preserve">, which will be the final data for the LSTM network after scaling. </w:t>
      </w:r>
    </w:p>
    <w:p w14:paraId="1C6DCD18" w14:textId="5B50C443" w:rsidR="00B80503" w:rsidRPr="00C274E1" w:rsidRDefault="00B80503" w:rsidP="00B80503">
      <w:pPr>
        <w:jc w:val="center"/>
        <w:rPr>
          <w:rFonts w:ascii="Times New Roman" w:hAnsi="Times New Roman" w:cs="Times New Roman"/>
        </w:rPr>
      </w:pPr>
      <w:r>
        <w:rPr>
          <w:rFonts w:ascii="Times New Roman" w:hAnsi="Times New Roman" w:cs="Times New Roman"/>
          <w:noProof/>
        </w:rPr>
        <w:drawing>
          <wp:inline distT="0" distB="0" distL="0" distR="0" wp14:anchorId="4486273D" wp14:editId="5D0989C6">
            <wp:extent cx="4367700" cy="311971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377987" cy="3127064"/>
                    </a:xfrm>
                    <a:prstGeom prst="rect">
                      <a:avLst/>
                    </a:prstGeom>
                  </pic:spPr>
                </pic:pic>
              </a:graphicData>
            </a:graphic>
          </wp:inline>
        </w:drawing>
      </w:r>
    </w:p>
    <w:p w14:paraId="2412CAE4" w14:textId="5B7D3FEC" w:rsidR="00B80503" w:rsidRPr="00C274E1" w:rsidRDefault="00B80503" w:rsidP="00B80503">
      <w:pPr>
        <w:jc w:val="center"/>
        <w:rPr>
          <w:rFonts w:ascii="Times New Roman" w:hAnsi="Times New Roman" w:cs="Times New Roman"/>
        </w:rPr>
      </w:pPr>
      <w:r w:rsidRPr="00C274E1">
        <w:rPr>
          <w:rFonts w:ascii="Times New Roman" w:hAnsi="Times New Roman" w:cs="Times New Roman"/>
          <w:color w:val="0E101A"/>
          <w:sz w:val="20"/>
          <w:szCs w:val="20"/>
        </w:rPr>
        <w:t xml:space="preserve">Figure </w:t>
      </w:r>
      <w:r w:rsidR="00C274E1" w:rsidRPr="00C274E1">
        <w:rPr>
          <w:rFonts w:ascii="Times New Roman" w:hAnsi="Times New Roman" w:cs="Times New Roman"/>
          <w:color w:val="0E101A"/>
          <w:sz w:val="20"/>
          <w:szCs w:val="20"/>
        </w:rPr>
        <w:t>4</w:t>
      </w:r>
      <w:r w:rsidRPr="00C274E1">
        <w:rPr>
          <w:rFonts w:ascii="Times New Roman" w:hAnsi="Times New Roman" w:cs="Times New Roman"/>
          <w:color w:val="0E101A"/>
          <w:sz w:val="20"/>
          <w:szCs w:val="20"/>
        </w:rPr>
        <w:t>: Opening Prices of the considered stocks for the first trading day of each month</w:t>
      </w:r>
    </w:p>
    <w:p w14:paraId="54BF5B55" w14:textId="77777777" w:rsidR="00495808" w:rsidRDefault="00495808" w:rsidP="00A01151">
      <w:pPr>
        <w:jc w:val="both"/>
        <w:rPr>
          <w:rFonts w:ascii="Times New Roman" w:hAnsi="Times New Roman" w:cs="Times New Roman"/>
        </w:rPr>
      </w:pPr>
      <w:r>
        <w:rPr>
          <w:rFonts w:ascii="Times New Roman" w:hAnsi="Times New Roman" w:cs="Times New Roman"/>
        </w:rPr>
        <w:t>We split the monthly data into training and testing data to train and evaluate the model. The split data was</w:t>
      </w:r>
      <w:r w:rsidR="002C781B">
        <w:rPr>
          <w:rFonts w:ascii="Times New Roman" w:hAnsi="Times New Roman" w:cs="Times New Roman"/>
        </w:rPr>
        <w:t xml:space="preserve"> normalized</w:t>
      </w:r>
      <w:r>
        <w:rPr>
          <w:rFonts w:ascii="Times New Roman" w:hAnsi="Times New Roman" w:cs="Times New Roman"/>
        </w:rPr>
        <w:t xml:space="preserve"> separately to prevent any data leak. We normalized the data</w:t>
      </w:r>
      <w:r w:rsidR="002C781B">
        <w:rPr>
          <w:rFonts w:ascii="Times New Roman" w:hAnsi="Times New Roman" w:cs="Times New Roman"/>
        </w:rPr>
        <w:t xml:space="preserve"> to values between -1 and 1 using min-max scaling</w:t>
      </w:r>
      <w:r>
        <w:rPr>
          <w:rFonts w:ascii="Times New Roman" w:hAnsi="Times New Roman" w:cs="Times New Roman"/>
        </w:rPr>
        <w:t>,</w:t>
      </w:r>
      <w:r w:rsidR="002C781B">
        <w:rPr>
          <w:rFonts w:ascii="Times New Roman" w:hAnsi="Times New Roman" w:cs="Times New Roman"/>
        </w:rPr>
        <w:t xml:space="preserve"> </w:t>
      </w:r>
      <w:proofErr w:type="gramStart"/>
      <w:r w:rsidR="002C781B">
        <w:rPr>
          <w:rFonts w:ascii="Times New Roman" w:hAnsi="Times New Roman" w:cs="Times New Roman"/>
        </w:rPr>
        <w:t>To</w:t>
      </w:r>
      <w:proofErr w:type="gramEnd"/>
      <w:r w:rsidR="002C781B">
        <w:rPr>
          <w:rFonts w:ascii="Times New Roman" w:hAnsi="Times New Roman" w:cs="Times New Roman"/>
        </w:rPr>
        <w:t xml:space="preserve"> ensure that no feature is falsely prioritized based on its value. </w:t>
      </w:r>
    </w:p>
    <w:p w14:paraId="04FEEDCF" w14:textId="72AF93A0" w:rsidR="00395ED7" w:rsidRDefault="002C781B" w:rsidP="00A01151">
      <w:pPr>
        <w:jc w:val="both"/>
        <w:rPr>
          <w:rFonts w:ascii="Times New Roman" w:hAnsi="Times New Roman" w:cs="Times New Roman"/>
        </w:rPr>
      </w:pPr>
      <w:r>
        <w:rPr>
          <w:rFonts w:ascii="Times New Roman" w:hAnsi="Times New Roman" w:cs="Times New Roman"/>
        </w:rPr>
        <w:t xml:space="preserve">Normalization replaces the value in each column with the following formula: </w:t>
      </w:r>
    </w:p>
    <w:p w14:paraId="226A9587" w14:textId="2BB2DFFF" w:rsidR="002C781B" w:rsidRPr="002C781B" w:rsidRDefault="002C781B" w:rsidP="00A01151">
      <w:pPr>
        <w:jc w:val="both"/>
        <w:rPr>
          <w:rFonts w:ascii="Times New Roman" w:hAnsi="Times New Roman" w:cs="Times New Roman"/>
        </w:rPr>
      </w:pPr>
      <m:oMathPara>
        <m:oMath>
          <m:r>
            <w:rPr>
              <w:rFonts w:ascii="Cambria Math" w:hAnsi="Cambria Math" w:cs="Times New Roman"/>
            </w:rPr>
            <m:t>m=</m:t>
          </m:r>
          <m:f>
            <m:fPr>
              <m:ctrlPr>
                <w:rPr>
                  <w:rFonts w:ascii="Cambria Math" w:hAnsi="Cambria Math" w:cs="Times New Roman"/>
                </w:rPr>
              </m:ctrlPr>
            </m:fPr>
            <m:num>
              <m:r>
                <w:rPr>
                  <w:rFonts w:ascii="Cambria Math" w:hAnsi="Cambria Math" w:cs="Times New Roman"/>
                </w:rPr>
                <m:t>x-xmin</m:t>
              </m:r>
              <m:ctrlPr>
                <w:rPr>
                  <w:rFonts w:ascii="Cambria Math" w:hAnsi="Cambria Math" w:cs="Times New Roman"/>
                  <w:i/>
                </w:rPr>
              </m:ctrlPr>
            </m:num>
            <m:den>
              <m:r>
                <w:rPr>
                  <w:rFonts w:ascii="Cambria Math" w:hAnsi="Cambria Math" w:cs="Times New Roman"/>
                </w:rPr>
                <m:t>xmax-xmin</m:t>
              </m:r>
              <m:ctrlPr>
                <w:rPr>
                  <w:rFonts w:ascii="Cambria Math" w:hAnsi="Cambria Math" w:cs="Times New Roman"/>
                  <w:i/>
                </w:rPr>
              </m:ctrlPr>
            </m:den>
          </m:f>
        </m:oMath>
      </m:oMathPara>
    </w:p>
    <w:p w14:paraId="0D7662F5" w14:textId="4D7C13C7" w:rsidR="002C781B" w:rsidRPr="002C781B" w:rsidRDefault="002C781B" w:rsidP="00A01151">
      <w:pPr>
        <w:jc w:val="both"/>
        <w:rPr>
          <w:rFonts w:ascii="Times New Roman" w:hAnsi="Times New Roman" w:cs="Times New Roman"/>
        </w:rPr>
      </w:pPr>
      <m:oMath>
        <m:r>
          <w:rPr>
            <w:rFonts w:ascii="Cambria Math" w:hAnsi="Cambria Math" w:cs="Times New Roman"/>
          </w:rPr>
          <m:t xml:space="preserve">Where, m = new cell value, </m:t>
        </m:r>
      </m:oMath>
      <w:r>
        <w:rPr>
          <w:rFonts w:ascii="Times New Roman" w:hAnsi="Times New Roman" w:cs="Times New Roman"/>
        </w:rPr>
        <w:t xml:space="preserve"> </w:t>
      </w:r>
      <m:oMath>
        <m:r>
          <w:rPr>
            <w:rFonts w:ascii="Cambria Math" w:hAnsi="Cambria Math" w:cs="Times New Roman"/>
          </w:rPr>
          <m:t>x = initial cell value,</m:t>
        </m:r>
      </m:oMath>
    </w:p>
    <w:p w14:paraId="0605002B" w14:textId="67BE6004" w:rsidR="002C781B" w:rsidRPr="002C781B" w:rsidRDefault="002C781B" w:rsidP="00A01151">
      <w:pPr>
        <w:jc w:val="both"/>
        <w:rPr>
          <w:rFonts w:ascii="Times New Roman" w:hAnsi="Times New Roman" w:cs="Times New Roman"/>
        </w:rPr>
      </w:pPr>
      <m:oMathPara>
        <m:oMathParaPr>
          <m:jc m:val="left"/>
        </m:oMathParaPr>
        <m:oMath>
          <m:r>
            <w:rPr>
              <w:rFonts w:ascii="Cambria Math" w:hAnsi="Cambria Math" w:cs="Times New Roman"/>
            </w:rPr>
            <m:t xml:space="preserve"> xmax = maximum column value,</m:t>
          </m:r>
        </m:oMath>
      </m:oMathPara>
    </w:p>
    <w:p w14:paraId="6C75C368" w14:textId="550A44FA" w:rsidR="002C781B" w:rsidRPr="002C781B" w:rsidRDefault="002C781B" w:rsidP="00A01151">
      <w:pPr>
        <w:jc w:val="both"/>
        <w:rPr>
          <w:rFonts w:ascii="Times New Roman" w:hAnsi="Times New Roman" w:cs="Times New Roman"/>
        </w:rPr>
      </w:pPr>
      <m:oMathPara>
        <m:oMathParaPr>
          <m:jc m:val="left"/>
        </m:oMathParaPr>
        <m:oMath>
          <m:r>
            <w:rPr>
              <w:rFonts w:ascii="Cambria Math" w:hAnsi="Cambria Math" w:cs="Times New Roman"/>
            </w:rPr>
            <m:t xml:space="preserve"> xmin = minimum column value</m:t>
          </m:r>
        </m:oMath>
      </m:oMathPara>
    </w:p>
    <w:p w14:paraId="3097FFF6" w14:textId="3F8DD236" w:rsidR="00484705" w:rsidRDefault="00C274E1" w:rsidP="00C274E1">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EC647AB" wp14:editId="0940434B">
            <wp:extent cx="4294505" cy="28601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296355" cy="2861390"/>
                    </a:xfrm>
                    <a:prstGeom prst="rect">
                      <a:avLst/>
                    </a:prstGeom>
                  </pic:spPr>
                </pic:pic>
              </a:graphicData>
            </a:graphic>
          </wp:inline>
        </w:drawing>
      </w:r>
    </w:p>
    <w:p w14:paraId="3260AD22" w14:textId="49EC2F3E" w:rsidR="00C274E1" w:rsidRPr="00C274E1" w:rsidRDefault="00C274E1" w:rsidP="00C274E1">
      <w:pPr>
        <w:jc w:val="center"/>
        <w:rPr>
          <w:rFonts w:ascii="Times New Roman" w:hAnsi="Times New Roman" w:cs="Times New Roman"/>
        </w:rPr>
      </w:pPr>
      <w:r w:rsidRPr="00C274E1">
        <w:rPr>
          <w:rFonts w:ascii="Times New Roman" w:hAnsi="Times New Roman" w:cs="Times New Roman"/>
          <w:color w:val="0E101A"/>
          <w:sz w:val="20"/>
          <w:szCs w:val="20"/>
        </w:rPr>
        <w:t xml:space="preserve">Figure 4: </w:t>
      </w:r>
      <w:r>
        <w:rPr>
          <w:rFonts w:ascii="Times New Roman" w:hAnsi="Times New Roman" w:cs="Times New Roman"/>
          <w:color w:val="0E101A"/>
          <w:sz w:val="20"/>
          <w:szCs w:val="20"/>
        </w:rPr>
        <w:t xml:space="preserve">Normalised Monthly Opening Prices  </w:t>
      </w:r>
    </w:p>
    <w:p w14:paraId="6E835A64" w14:textId="77777777" w:rsidR="002C781B" w:rsidRDefault="002C781B" w:rsidP="00A01151">
      <w:pPr>
        <w:jc w:val="both"/>
        <w:rPr>
          <w:rFonts w:ascii="Times New Roman" w:hAnsi="Times New Roman" w:cs="Times New Roman"/>
        </w:rPr>
      </w:pPr>
    </w:p>
    <w:p w14:paraId="3BCFCF9C" w14:textId="2C2CDCD2" w:rsidR="00DA11EB" w:rsidRDefault="00A01151" w:rsidP="00DA11EB">
      <w:pPr>
        <w:jc w:val="both"/>
        <w:rPr>
          <w:rFonts w:ascii="Times New Roman" w:hAnsi="Times New Roman" w:cs="Times New Roman"/>
          <w:sz w:val="28"/>
          <w:szCs w:val="28"/>
        </w:rPr>
      </w:pPr>
      <w:r>
        <w:rPr>
          <w:rFonts w:ascii="Times New Roman" w:hAnsi="Times New Roman" w:cs="Times New Roman"/>
          <w:sz w:val="28"/>
          <w:szCs w:val="28"/>
        </w:rPr>
        <w:t>3</w:t>
      </w:r>
      <w:r w:rsidRPr="00632BFA">
        <w:rPr>
          <w:rFonts w:ascii="Times New Roman" w:hAnsi="Times New Roman" w:cs="Times New Roman"/>
          <w:sz w:val="28"/>
          <w:szCs w:val="28"/>
        </w:rPr>
        <w:t xml:space="preserve">. </w:t>
      </w:r>
      <w:r w:rsidR="009C7643">
        <w:rPr>
          <w:rFonts w:ascii="Times New Roman" w:hAnsi="Times New Roman" w:cs="Times New Roman"/>
          <w:sz w:val="28"/>
          <w:szCs w:val="28"/>
        </w:rPr>
        <w:t xml:space="preserve">stockDL Algorithm and Model Architecture: </w:t>
      </w:r>
    </w:p>
    <w:p w14:paraId="5020233A" w14:textId="1B8F3924" w:rsidR="00DA11EB" w:rsidRPr="00DA11EB" w:rsidRDefault="00DA11EB" w:rsidP="00DA11EB">
      <w:pPr>
        <w:jc w:val="both"/>
        <w:rPr>
          <w:rFonts w:ascii="Times New Roman" w:hAnsi="Times New Roman" w:cs="Times New Roman"/>
        </w:rPr>
      </w:pPr>
      <w:r w:rsidRPr="00DA11EB">
        <w:rPr>
          <w:rFonts w:ascii="Times New Roman" w:hAnsi="Times New Roman" w:cs="Times New Roman"/>
        </w:rPr>
        <w:t>3.1 The LSTM Approach:</w:t>
      </w:r>
    </w:p>
    <w:p w14:paraId="608FD665" w14:textId="77777777" w:rsidR="00DA11EB" w:rsidRPr="00DA11EB" w:rsidRDefault="00DA11EB" w:rsidP="00DA11EB">
      <w:pPr>
        <w:jc w:val="both"/>
        <w:rPr>
          <w:rFonts w:ascii="Times New Roman" w:hAnsi="Times New Roman" w:cs="Times New Roman"/>
        </w:rPr>
      </w:pPr>
    </w:p>
    <w:p w14:paraId="21A80B5E" w14:textId="77777777" w:rsidR="009C7643" w:rsidRDefault="009C7643" w:rsidP="00A01151">
      <w:pPr>
        <w:jc w:val="both"/>
        <w:rPr>
          <w:rFonts w:ascii="Times New Roman" w:hAnsi="Times New Roman" w:cs="Times New Roman"/>
          <w:sz w:val="28"/>
          <w:szCs w:val="28"/>
        </w:rPr>
      </w:pPr>
    </w:p>
    <w:p w14:paraId="1A21652D" w14:textId="0E332D9E" w:rsidR="001C77C1" w:rsidRPr="00242F28" w:rsidRDefault="001C77C1" w:rsidP="00A01151">
      <w:pPr>
        <w:jc w:val="both"/>
        <w:rPr>
          <w:rFonts w:ascii="Times New Roman" w:hAnsi="Times New Roman" w:cs="Times New Roman"/>
          <w:sz w:val="20"/>
          <w:szCs w:val="20"/>
        </w:rPr>
      </w:pPr>
    </w:p>
    <w:p w14:paraId="5C69B7B3" w14:textId="77777777" w:rsidR="001C77C1" w:rsidRPr="00242F28" w:rsidRDefault="001C77C1" w:rsidP="00A01151">
      <w:pPr>
        <w:jc w:val="both"/>
        <w:rPr>
          <w:rFonts w:ascii="Times New Roman" w:hAnsi="Times New Roman" w:cs="Times New Roman"/>
        </w:rPr>
      </w:pPr>
    </w:p>
    <w:sectPr w:rsidR="001C77C1" w:rsidRPr="00242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A46CEC"/>
    <w:multiLevelType w:val="hybridMultilevel"/>
    <w:tmpl w:val="CA7694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MDExMba0NDU2tzRQ0lEKTi0uzszPAykwNKkFADxXyygtAAAA"/>
  </w:docVars>
  <w:rsids>
    <w:rsidRoot w:val="00961EF1"/>
    <w:rsid w:val="000E5B99"/>
    <w:rsid w:val="001C77C1"/>
    <w:rsid w:val="00242F28"/>
    <w:rsid w:val="00254CBB"/>
    <w:rsid w:val="00296A3F"/>
    <w:rsid w:val="002A6B4F"/>
    <w:rsid w:val="002C781B"/>
    <w:rsid w:val="003032DC"/>
    <w:rsid w:val="003828C7"/>
    <w:rsid w:val="00395ED7"/>
    <w:rsid w:val="003A29DC"/>
    <w:rsid w:val="003C2EAB"/>
    <w:rsid w:val="004129FE"/>
    <w:rsid w:val="00484705"/>
    <w:rsid w:val="00495808"/>
    <w:rsid w:val="004F70A0"/>
    <w:rsid w:val="005E4CF9"/>
    <w:rsid w:val="00632BFA"/>
    <w:rsid w:val="00641257"/>
    <w:rsid w:val="00664069"/>
    <w:rsid w:val="00817F8C"/>
    <w:rsid w:val="00847E7B"/>
    <w:rsid w:val="00903FF9"/>
    <w:rsid w:val="00940E1F"/>
    <w:rsid w:val="00961EF1"/>
    <w:rsid w:val="00963BA3"/>
    <w:rsid w:val="009C7643"/>
    <w:rsid w:val="00A01151"/>
    <w:rsid w:val="00A935CC"/>
    <w:rsid w:val="00B4362D"/>
    <w:rsid w:val="00B80503"/>
    <w:rsid w:val="00BF0399"/>
    <w:rsid w:val="00C2579E"/>
    <w:rsid w:val="00C274E1"/>
    <w:rsid w:val="00CF5F1A"/>
    <w:rsid w:val="00DA11EB"/>
    <w:rsid w:val="00E320EB"/>
    <w:rsid w:val="00E55817"/>
    <w:rsid w:val="00F370A2"/>
    <w:rsid w:val="00FF4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A267"/>
  <w15:chartTrackingRefBased/>
  <w15:docId w15:val="{6D54CF3E-BB69-45B2-B829-16E692A1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4E1"/>
  </w:style>
  <w:style w:type="paragraph" w:styleId="Heading1">
    <w:name w:val="heading 1"/>
    <w:basedOn w:val="Normal"/>
    <w:next w:val="Normal"/>
    <w:link w:val="Heading1Char"/>
    <w:uiPriority w:val="9"/>
    <w:qFormat/>
    <w:rsid w:val="00961EF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61EF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61EF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61EF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61EF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61EF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1EF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1EF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1EF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EF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61EF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61EF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61EF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61EF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61EF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1E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1E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1E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61EF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61EF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1EF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61EF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1EF1"/>
    <w:rPr>
      <w:color w:val="5A5A5A" w:themeColor="text1" w:themeTint="A5"/>
      <w:spacing w:val="10"/>
    </w:rPr>
  </w:style>
  <w:style w:type="character" w:styleId="Strong">
    <w:name w:val="Strong"/>
    <w:basedOn w:val="DefaultParagraphFont"/>
    <w:uiPriority w:val="22"/>
    <w:qFormat/>
    <w:rsid w:val="00961EF1"/>
    <w:rPr>
      <w:b/>
      <w:bCs/>
      <w:color w:val="000000" w:themeColor="text1"/>
    </w:rPr>
  </w:style>
  <w:style w:type="character" w:styleId="Emphasis">
    <w:name w:val="Emphasis"/>
    <w:basedOn w:val="DefaultParagraphFont"/>
    <w:uiPriority w:val="20"/>
    <w:qFormat/>
    <w:rsid w:val="00961EF1"/>
    <w:rPr>
      <w:i/>
      <w:iCs/>
      <w:color w:val="auto"/>
    </w:rPr>
  </w:style>
  <w:style w:type="paragraph" w:styleId="NoSpacing">
    <w:name w:val="No Spacing"/>
    <w:uiPriority w:val="1"/>
    <w:qFormat/>
    <w:rsid w:val="00961EF1"/>
    <w:pPr>
      <w:spacing w:after="0" w:line="240" w:lineRule="auto"/>
    </w:pPr>
  </w:style>
  <w:style w:type="paragraph" w:styleId="Quote">
    <w:name w:val="Quote"/>
    <w:basedOn w:val="Normal"/>
    <w:next w:val="Normal"/>
    <w:link w:val="QuoteChar"/>
    <w:uiPriority w:val="29"/>
    <w:qFormat/>
    <w:rsid w:val="00961EF1"/>
    <w:pPr>
      <w:spacing w:before="160"/>
      <w:ind w:left="720" w:right="720"/>
    </w:pPr>
    <w:rPr>
      <w:i/>
      <w:iCs/>
      <w:color w:val="000000" w:themeColor="text1"/>
    </w:rPr>
  </w:style>
  <w:style w:type="character" w:customStyle="1" w:styleId="QuoteChar">
    <w:name w:val="Quote Char"/>
    <w:basedOn w:val="DefaultParagraphFont"/>
    <w:link w:val="Quote"/>
    <w:uiPriority w:val="29"/>
    <w:rsid w:val="00961EF1"/>
    <w:rPr>
      <w:i/>
      <w:iCs/>
      <w:color w:val="000000" w:themeColor="text1"/>
    </w:rPr>
  </w:style>
  <w:style w:type="paragraph" w:styleId="IntenseQuote">
    <w:name w:val="Intense Quote"/>
    <w:basedOn w:val="Normal"/>
    <w:next w:val="Normal"/>
    <w:link w:val="IntenseQuoteChar"/>
    <w:uiPriority w:val="30"/>
    <w:qFormat/>
    <w:rsid w:val="00961EF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1EF1"/>
    <w:rPr>
      <w:color w:val="000000" w:themeColor="text1"/>
      <w:shd w:val="clear" w:color="auto" w:fill="F2F2F2" w:themeFill="background1" w:themeFillShade="F2"/>
    </w:rPr>
  </w:style>
  <w:style w:type="character" w:styleId="SubtleEmphasis">
    <w:name w:val="Subtle Emphasis"/>
    <w:basedOn w:val="DefaultParagraphFont"/>
    <w:uiPriority w:val="19"/>
    <w:qFormat/>
    <w:rsid w:val="00961EF1"/>
    <w:rPr>
      <w:i/>
      <w:iCs/>
      <w:color w:val="404040" w:themeColor="text1" w:themeTint="BF"/>
    </w:rPr>
  </w:style>
  <w:style w:type="character" w:styleId="IntenseEmphasis">
    <w:name w:val="Intense Emphasis"/>
    <w:basedOn w:val="DefaultParagraphFont"/>
    <w:uiPriority w:val="21"/>
    <w:qFormat/>
    <w:rsid w:val="00961EF1"/>
    <w:rPr>
      <w:b/>
      <w:bCs/>
      <w:i/>
      <w:iCs/>
      <w:caps/>
    </w:rPr>
  </w:style>
  <w:style w:type="character" w:styleId="SubtleReference">
    <w:name w:val="Subtle Reference"/>
    <w:basedOn w:val="DefaultParagraphFont"/>
    <w:uiPriority w:val="31"/>
    <w:qFormat/>
    <w:rsid w:val="00961EF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1EF1"/>
    <w:rPr>
      <w:b/>
      <w:bCs/>
      <w:smallCaps/>
      <w:u w:val="single"/>
    </w:rPr>
  </w:style>
  <w:style w:type="character" w:styleId="BookTitle">
    <w:name w:val="Book Title"/>
    <w:basedOn w:val="DefaultParagraphFont"/>
    <w:uiPriority w:val="33"/>
    <w:qFormat/>
    <w:rsid w:val="00961EF1"/>
    <w:rPr>
      <w:b w:val="0"/>
      <w:bCs w:val="0"/>
      <w:smallCaps/>
      <w:spacing w:val="5"/>
    </w:rPr>
  </w:style>
  <w:style w:type="paragraph" w:styleId="TOCHeading">
    <w:name w:val="TOC Heading"/>
    <w:basedOn w:val="Heading1"/>
    <w:next w:val="Normal"/>
    <w:uiPriority w:val="39"/>
    <w:semiHidden/>
    <w:unhideWhenUsed/>
    <w:qFormat/>
    <w:rsid w:val="00961EF1"/>
    <w:pPr>
      <w:outlineLvl w:val="9"/>
    </w:pPr>
  </w:style>
  <w:style w:type="paragraph" w:styleId="NormalWeb">
    <w:name w:val="Normal (Web)"/>
    <w:basedOn w:val="Normal"/>
    <w:uiPriority w:val="99"/>
    <w:unhideWhenUsed/>
    <w:rsid w:val="006640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03FF9"/>
    <w:pPr>
      <w:ind w:left="720"/>
      <w:contextualSpacing/>
    </w:pPr>
  </w:style>
  <w:style w:type="character" w:styleId="PlaceholderText">
    <w:name w:val="Placeholder Text"/>
    <w:basedOn w:val="DefaultParagraphFont"/>
    <w:uiPriority w:val="99"/>
    <w:semiHidden/>
    <w:rsid w:val="00A01151"/>
    <w:rPr>
      <w:color w:val="808080"/>
    </w:rPr>
  </w:style>
  <w:style w:type="table" w:styleId="TableGrid">
    <w:name w:val="Table Grid"/>
    <w:basedOn w:val="TableNormal"/>
    <w:uiPriority w:val="39"/>
    <w:rsid w:val="003A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23787">
      <w:bodyDiv w:val="1"/>
      <w:marLeft w:val="0"/>
      <w:marRight w:val="0"/>
      <w:marTop w:val="0"/>
      <w:marBottom w:val="0"/>
      <w:divBdr>
        <w:top w:val="none" w:sz="0" w:space="0" w:color="auto"/>
        <w:left w:val="none" w:sz="0" w:space="0" w:color="auto"/>
        <w:bottom w:val="none" w:sz="0" w:space="0" w:color="auto"/>
        <w:right w:val="none" w:sz="0" w:space="0" w:color="auto"/>
      </w:divBdr>
    </w:div>
    <w:div w:id="1230652205">
      <w:bodyDiv w:val="1"/>
      <w:marLeft w:val="0"/>
      <w:marRight w:val="0"/>
      <w:marTop w:val="0"/>
      <w:marBottom w:val="0"/>
      <w:divBdr>
        <w:top w:val="none" w:sz="0" w:space="0" w:color="auto"/>
        <w:left w:val="none" w:sz="0" w:space="0" w:color="auto"/>
        <w:bottom w:val="none" w:sz="0" w:space="0" w:color="auto"/>
        <w:right w:val="none" w:sz="0" w:space="0" w:color="auto"/>
      </w:divBdr>
    </w:div>
    <w:div w:id="1270433967">
      <w:bodyDiv w:val="1"/>
      <w:marLeft w:val="0"/>
      <w:marRight w:val="0"/>
      <w:marTop w:val="0"/>
      <w:marBottom w:val="0"/>
      <w:divBdr>
        <w:top w:val="none" w:sz="0" w:space="0" w:color="auto"/>
        <w:left w:val="none" w:sz="0" w:space="0" w:color="auto"/>
        <w:bottom w:val="none" w:sz="0" w:space="0" w:color="auto"/>
        <w:right w:val="none" w:sz="0" w:space="0" w:color="auto"/>
      </w:divBdr>
    </w:div>
    <w:div w:id="1347100122">
      <w:bodyDiv w:val="1"/>
      <w:marLeft w:val="0"/>
      <w:marRight w:val="0"/>
      <w:marTop w:val="0"/>
      <w:marBottom w:val="0"/>
      <w:divBdr>
        <w:top w:val="none" w:sz="0" w:space="0" w:color="auto"/>
        <w:left w:val="none" w:sz="0" w:space="0" w:color="auto"/>
        <w:bottom w:val="none" w:sz="0" w:space="0" w:color="auto"/>
        <w:right w:val="none" w:sz="0" w:space="0" w:color="auto"/>
      </w:divBdr>
    </w:div>
    <w:div w:id="1528712102">
      <w:bodyDiv w:val="1"/>
      <w:marLeft w:val="0"/>
      <w:marRight w:val="0"/>
      <w:marTop w:val="0"/>
      <w:marBottom w:val="0"/>
      <w:divBdr>
        <w:top w:val="none" w:sz="0" w:space="0" w:color="auto"/>
        <w:left w:val="none" w:sz="0" w:space="0" w:color="auto"/>
        <w:bottom w:val="none" w:sz="0" w:space="0" w:color="auto"/>
        <w:right w:val="none" w:sz="0" w:space="0" w:color="auto"/>
      </w:divBdr>
    </w:div>
    <w:div w:id="1571502930">
      <w:bodyDiv w:val="1"/>
      <w:marLeft w:val="0"/>
      <w:marRight w:val="0"/>
      <w:marTop w:val="0"/>
      <w:marBottom w:val="0"/>
      <w:divBdr>
        <w:top w:val="none" w:sz="0" w:space="0" w:color="auto"/>
        <w:left w:val="none" w:sz="0" w:space="0" w:color="auto"/>
        <w:bottom w:val="none" w:sz="0" w:space="0" w:color="auto"/>
        <w:right w:val="none" w:sz="0" w:space="0" w:color="auto"/>
      </w:divBdr>
    </w:div>
    <w:div w:id="19123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35DE0-A3F7-4C18-A57E-2D8FFF34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Pages>
  <Words>6018</Words>
  <Characters>34304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Papanai</dc:creator>
  <cp:keywords/>
  <dc:description/>
  <cp:lastModifiedBy>Ashish Papanai</cp:lastModifiedBy>
  <cp:revision>36</cp:revision>
  <cp:lastPrinted>2021-10-20T17:51:00Z</cp:lastPrinted>
  <dcterms:created xsi:type="dcterms:W3CDTF">2021-10-19T08:07:00Z</dcterms:created>
  <dcterms:modified xsi:type="dcterms:W3CDTF">2021-11-21T04:16:00Z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45fdd3e6-c696-356e-af97-ede8efa6c673</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