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0F2942"/>
          <w:sz w:val="36"/>
          <w:szCs w:val="36"/>
        </w:rPr>
        <w:t xml:space="preserve">LEOZ Project Management &amp; CRM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i/>
          <w:iCs/>
          <w:color w:val="718096"/>
          <w:sz w:val="21"/>
          <w:szCs w:val="21"/>
        </w:rPr>
        <w:t xml:space="preserve">Executive Operational Workflow &amp; Module Guide (2–3 Page Reference)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0F2942"/>
          <w:sz w:val="26"/>
          <w:szCs w:val="26"/>
        </w:rPr>
        <w:t xml:space="preserve">1. System Overview</w:t>
      </w:r>
    </w:p>
    <w:p>
      <w:pPr>
        <w:spacing w:after="50" w:before="5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LEOZ is an integrated project management and client portal platform designed specifically for interior design, architecture, and construction firms. It connects Vendors (Business Admins), Employees (Field &amp; Studio Team), and Customers (Clients) into an end-to-end execution workflow.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0F2942"/>
          <w:sz w:val="26"/>
          <w:szCs w:val="26"/>
        </w:rPr>
        <w:t xml:space="preserve">2. End-to-End System Workflow</w:t>
      </w:r>
    </w:p>
    <w:p>
      <w:pPr>
        <w:spacing w:after="50" w:before="5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diagram below illustrates the sequential lifecycle from initial role permission setup, employee creation, and project assignment to client onboarding, field execution, and completion sign-off:</w:t>
      </w:r>
    </w:p>
    <w:p>
      <w:pPr>
        <w:spacing w:after="60" w:before="80"/>
        <w:jc w:val="center"/>
      </w:pPr>
      <w:r>
        <w:drawing>
          <wp:inline distT="0" distB="0" distL="0" distR="0">
            <wp:extent cx="5143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Calibri" w:cs="Calibri" w:eastAsia="Calibri" w:hAnsi="Calibri"/>
          <w:i/>
          <w:iCs/>
          <w:color w:val="718096"/>
          <w:sz w:val="17"/>
          <w:szCs w:val="17"/>
        </w:rPr>
        <w:t xml:space="preserve">Figure 1: Complete Operational Workflow — Configuration to Handover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0F2942"/>
          <w:sz w:val="26"/>
          <w:szCs w:val="26"/>
        </w:rPr>
        <w:t xml:space="preserve">3. Core Menus &amp; Critical Business Rules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2B6CB0"/>
          <w:sz w:val="23"/>
          <w:szCs w:val="23"/>
        </w:rPr>
        <w:t xml:space="preserve">Configuration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Change Password: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Requires entering and verifying the Old Password before allowing any password changes.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Module Access: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Permission matrix governing what each Employee Designation and Customer can access inside Project Details (VIEW, ADD, EDIT, APPROVE, REJECT, COMPLETE, ORDER, RECEIVE). Disabling VIEW completely hides the module tab.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2B6CB0"/>
          <w:sz w:val="23"/>
          <w:szCs w:val="23"/>
        </w:rPr>
        <w:t xml:space="preserve">Employee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Designation (User Type):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Core driver of system access. Dictates which Project Detail tabs and actions the employee can view and execute.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Multi-Project Assignment: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An employee can be assigned to multiple projects simultaneously at creation or edit time.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Coordinator Eligibility: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Only employees with designation Coordinator (COORD) can be selected as a Project Coordinator.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Coordinator Lock: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If an employee is an active Project Coordinator, their designation cannot be changed, and that project cannot be removed from their assigned list until re-assigned in the Project screen.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History Protection: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If an employee has logged work (Daily Updates, Site Documents, Site Materials, or Pending Work) for a project, that project cannot be removed from them.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2B6CB0"/>
          <w:sz w:val="23"/>
          <w:szCs w:val="23"/>
        </w:rPr>
        <w:t xml:space="preserve">Customer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Creates client portal accounts allowing clients to monitor progress and approve deliverables.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Multi-Project Mapping: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One customer can have multiple projects mapped to their profile.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Client Visibility: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Customers only see data and tabs for projects explicitly mapped and permitted to them.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Work History Lock: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Projects where work has already started cannot be unmapped from a customer.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2B6CB0"/>
          <w:sz w:val="23"/>
          <w:szCs w:val="23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Coordinator Assignment: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Optional selection. Dropdown strictly filters to employees having the Coordinator (COORD) designation. Each project has exactly one primary coordinator.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Subscription Limit: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New project creation is automatically validated against the Vendor’s active subscription plan quota.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In-Use Protection: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Projects linked to active site documents, customer mappings, or daily updates cannot be deleted.</w:t>
      </w: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2B6CB0"/>
          <w:sz w:val="23"/>
          <w:szCs w:val="23"/>
        </w:rPr>
        <w:t xml:space="preserve">Inside Project Details (9 Modular Tabs)</w:t>
      </w:r>
    </w:p>
    <w:p>
      <w:pPr>
        <w:spacing w:after="50" w:before="5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9 functional sections available inside each project, governed by Module Access: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200"/>
      </w:tblGrid>
      <w:tr>
        <w:trPr>
          <w:tblHeader/>
        </w:trP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F2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F2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 Name</w:t>
            </w:r>
          </w:p>
        </w:tc>
        <w:tc>
          <w:tcPr>
            <w:tcW w:type="dxa" w:w="5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F29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Purpose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6CB0"/>
                <w:sz w:val="19"/>
                <w:szCs w:val="19"/>
              </w:rPr>
              <w:t xml:space="preserve">EPM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942"/>
                <w:sz w:val="19"/>
                <w:szCs w:val="19"/>
              </w:rPr>
              <w:t xml:space="preserve">Estimate &amp; Payment Terms</w:t>
            </w:r>
          </w:p>
        </w:tc>
        <w:tc>
          <w:tcPr>
            <w:tcW w:type="dxa" w:w="5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Commercial cost estimates, stage billing milestones, and payment schedule terms.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6CB0"/>
                <w:sz w:val="19"/>
                <w:szCs w:val="19"/>
              </w:rPr>
              <w:t xml:space="preserve">F3D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942"/>
                <w:sz w:val="19"/>
                <w:szCs w:val="19"/>
              </w:rPr>
              <w:t xml:space="preserve">Final 3D</w:t>
            </w:r>
          </w:p>
        </w:tc>
        <w:tc>
          <w:tcPr>
            <w:tcW w:type="dxa" w:w="5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Approved 3D visual renders of spaces; stores the latest active version for client review.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6CB0"/>
                <w:sz w:val="19"/>
                <w:szCs w:val="19"/>
              </w:rPr>
              <w:t xml:space="preserve">DRW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942"/>
                <w:sz w:val="19"/>
                <w:szCs w:val="19"/>
              </w:rPr>
              <w:t xml:space="preserve">Drawings</w:t>
            </w:r>
          </w:p>
        </w:tc>
        <w:tc>
          <w:tcPr>
            <w:tcW w:type="dxa" w:w="5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Architectural layouts, MEP, electrical, and carpentry working drawings.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6CB0"/>
                <w:sz w:val="19"/>
                <w:szCs w:val="19"/>
              </w:rPr>
              <w:t xml:space="preserve">WCLTSC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942"/>
                <w:sz w:val="19"/>
                <w:szCs w:val="19"/>
              </w:rPr>
              <w:t xml:space="preserve">Scope &amp; Material Specs</w:t>
            </w:r>
          </w:p>
        </w:tc>
        <w:tc>
          <w:tcPr>
            <w:tcW w:type="dxa" w:w="5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Formal client scope of work deliverables and approved material specifications.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6CB0"/>
                <w:sz w:val="19"/>
                <w:szCs w:val="19"/>
              </w:rPr>
              <w:t xml:space="preserve">MB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942"/>
                <w:sz w:val="19"/>
                <w:szCs w:val="19"/>
              </w:rPr>
              <w:t xml:space="preserve">Mood Board</w:t>
            </w:r>
          </w:p>
        </w:tc>
        <w:tc>
          <w:tcPr>
            <w:tcW w:type="dxa" w:w="5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Theme visuals, color palettes, finishes, and sample board references.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6CB0"/>
                <w:sz w:val="19"/>
                <w:szCs w:val="19"/>
              </w:rPr>
              <w:t xml:space="preserve">SITE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942"/>
                <w:sz w:val="19"/>
                <w:szCs w:val="19"/>
              </w:rPr>
              <w:t xml:space="preserve">Site Updates</w:t>
            </w:r>
          </w:p>
        </w:tc>
        <w:tc>
          <w:tcPr>
            <w:tcW w:type="dxa" w:w="5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Progress snapshots, stage verification records, and site documentation photos.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6CB0"/>
                <w:sz w:val="19"/>
                <w:szCs w:val="19"/>
              </w:rPr>
              <w:t xml:space="preserve">WPEND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942"/>
                <w:sz w:val="19"/>
                <w:szCs w:val="19"/>
              </w:rPr>
              <w:t xml:space="preserve">Pending Selection &amp; Work</w:t>
            </w:r>
          </w:p>
        </w:tc>
        <w:tc>
          <w:tcPr>
            <w:tcW w:type="dxa" w:w="5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Punch-list tracking pending client material selections, snagging, and rectification items.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6CB0"/>
                <w:sz w:val="19"/>
                <w:szCs w:val="19"/>
              </w:rPr>
              <w:t xml:space="preserve">MPRO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942"/>
                <w:sz w:val="19"/>
                <w:szCs w:val="19"/>
              </w:rPr>
              <w:t xml:space="preserve">Material Procurement</w:t>
            </w:r>
          </w:p>
        </w:tc>
        <w:tc>
          <w:tcPr>
            <w:tcW w:type="dxa" w:w="5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Material indents, purchase orders, vendor assignments, and delivery receipts.</w:t>
            </w:r>
          </w:p>
        </w:tc>
      </w:tr>
      <w:t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6CB0"/>
                <w:sz w:val="19"/>
                <w:szCs w:val="19"/>
              </w:rPr>
              <w:t xml:space="preserve">WCOMP</w:t>
            </w:r>
          </w:p>
        </w:tc>
        <w:tc>
          <w:tcPr>
            <w:tcW w:type="dxa" w:w="2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942"/>
                <w:sz w:val="19"/>
                <w:szCs w:val="19"/>
              </w:rPr>
              <w:t xml:space="preserve">Work Completion Report</w:t>
            </w:r>
          </w:p>
        </w:tc>
        <w:tc>
          <w:tcPr>
            <w:tcW w:type="dxa" w:w="5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Room-by-room completion sign-off reports and final handover documents.</w:t>
            </w:r>
          </w:p>
        </w:tc>
      </w:tr>
    </w:tbl>
    <w:p>
      <w:pPr>
        <w:spacing w:after="0" w:before="120"/>
      </w:pPr>
    </w:p>
    <w:p>
      <w:pPr>
        <w:pStyle w:val="Heading2"/>
        <w:spacing w:after="70" w:before="180"/>
      </w:pPr>
      <w:r>
        <w:rPr>
          <w:rFonts w:ascii="Calibri" w:cs="Calibri" w:eastAsia="Calibri" w:hAnsi="Calibri"/>
          <w:b/>
          <w:bCs/>
          <w:color w:val="2B6CB0"/>
          <w:sz w:val="23"/>
          <w:szCs w:val="23"/>
        </w:rPr>
        <w:t xml:space="preserve">Daily Update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Fast daily field reporting for site coordinators, supervisors, and site engineers.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b/>
          <w:bCs/>
          <w:color w:val="0F2942"/>
          <w:sz w:val="21"/>
          <w:szCs w:val="21"/>
        </w:rPr>
        <w:t xml:space="preserve">Workflow: 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Select Project → Select Date → Enter Work Notes → Upload multiple Site Photos → View/Audit gallery.</w:t>
      </w:r>
    </w:p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A0AEC0"/>
        <w:sz w:val="16"/>
        <w:szCs w:val="16"/>
      </w:rPr>
      <w:t xml:space="preserve">LEOZ — Project Management &amp; CRM Workflow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177a073c16bca8501c2938a5d12a14db7a829f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2026-10-17T05:13:25.707Z</dcterms:created>
  <dcterms:modified xsi:type="dcterms:W3CDTF">2026-10-17T05:13:25.708Z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