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2937"/>
          <w:sz w:val="44"/>
          <w:szCs w:val="44"/>
        </w:rPr>
        <w:t xml:space="preserve">LLM Application Security Assessment</w:t>
      </w:r>
    </w:p>
    <w:p>
      <w:pPr>
        <w:spacing w:after="400"/>
        <w:jc w:val="center"/>
      </w:pPr>
      <w:r>
        <w:rPr>
          <w:color w:val="6B7280"/>
          <w:sz w:val="30"/>
          <w:szCs w:val="30"/>
        </w:rPr>
        <w:t xml:space="preserve">Northwind Retail Customer Support Chatbot</w:t>
      </w:r>
    </w:p>
    <w:p>
      <w:pPr>
        <w:spacing w:after="1200"/>
        <w:jc w:val="center"/>
      </w:pPr>
      <w:r>
        <w:rPr>
          <w:i/>
          <w:iCs/>
          <w:color w:val="6B7280"/>
          <w:sz w:val="22"/>
          <w:szCs w:val="22"/>
        </w:rPr>
        <w:t xml:space="preserve">Automated Red-Team Evaluation Against OWASP Top 10 for LLM Applications, with Findings, Risk Ratings, and Remediation Verification</w:t>
      </w:r>
    </w:p>
    <w:p>
      <w:pPr>
        <w:spacing w:after="100"/>
        <w:jc w:val="center"/>
      </w:pPr>
      <w:r>
        <w:rPr>
          <w:sz w:val="22"/>
          <w:szCs w:val="22"/>
        </w:rPr>
        <w:t xml:space="preserve">Prepared by: Ashish Shah</w:t>
      </w:r>
    </w:p>
    <w:p>
      <w:pPr>
        <w:spacing w:after="800"/>
        <w:jc w:val="center"/>
      </w:pPr>
      <w:r>
        <w:rPr>
          <w:sz w:val="22"/>
          <w:szCs w:val="22"/>
        </w:rPr>
        <w:t xml:space="preserve">September 2026</w:t>
      </w:r>
    </w:p>
    <w:p>
      <w:pPr>
        <w:jc w:val="center"/>
      </w:pPr>
      <w:r>
        <w:rPr>
          <w:i/>
          <w:iCs/>
          <w:color w:val="6B7280"/>
          <w:sz w:val="18"/>
          <w:szCs w:val="18"/>
        </w:rPr>
        <w:t xml:space="preserve">Northwind Retail is a fictional organization created for this independent security research and portfolio project. All findings pertain to a self-built test application; no third-party systems were assessed.</w:t>
      </w:r>
    </w:p>
    <w:p>
      <w:r>
        <w:br w:type="page"/>
      </w:r>
    </w:p>
    <w:p>
      <w:pPr>
        <w:pStyle w:val="Heading1"/>
        <w:spacing w:after="200" w:before="400"/>
      </w:pPr>
      <w:r>
        <w:t xml:space="preserve">Executive Summary</w:t>
      </w:r>
    </w:p>
    <w:p>
      <w:pPr>
        <w:spacing w:after="160"/>
      </w:pPr>
      <w:r>
        <w:t xml:space="preserve">This engagement assessed the security posture of a customer-facing conversational AI application against prompt injection, sensitive information disclosure, and system prompt leakage — the top risk categories identified in the OWASP Top 10 for LLM Applications. Testing combined manual adversarial probing with three independent automated red-team tools (Promptfoo, Garak, and PyRIT) to evaluate resilience against both simple and adaptive attack techniques, followed by mitigation of the two highest-priority findings and verification via retest using the same tooling.</w:t>
      </w:r>
    </w:p>
    <w:p>
      <w:pPr>
        <w:spacing w:after="160"/>
      </w:pPr>
      <w:r>
        <w:t xml:space="preserve">Manual testing using well-known, publicly documented attack phrasing (direct instruction override, roleplay-based jailbreaks, encoding evasion) found the application's baseline defenses effective, with all attempts unsuccessful. Automated adversarial testing, which generates and executes a substantially larger and more varied set of attack permutations, identified an attack success rate of up to 15% across 180 test cases in the widened scan, surfacing eight distinct findings spanning Critical, High, Medium, and Informational severity.</w:t>
      </w:r>
    </w:p>
    <w:p>
      <w:pPr>
        <w:spacing w:after="160"/>
      </w:pPr>
      <w:r>
        <w:t xml:space="preserve">The most significant finding was an Excessive Agency vulnerability (66.67% attack success rate), in which the application could be manipulated into falsely confirming completion of actions outside its actual capabilities — for example, claiming to have processed a refund with no backend authority to do so. This was remediated via an explicit system-prompt rule and verified via retest, reducing the attack success rate to 20.00%.</w:t>
      </w:r>
    </w:p>
    <w:p>
      <w:pPr>
        <w:spacing w:after="160"/>
      </w:pPr>
      <w:r>
        <w:t xml:space="preserve">A second finding — unsafe content generation via encoding-obfuscated requests (hate speech) — was flagged Critical by automated tooling and independently corroborated by a second tool (Garak), which measured a 78.42% pass rate on the same category. A mitigation was implemented and retested using both tools; neither showed meaningful improvement (Promptfoo: 8.33% → 13.33% ASR; Garak: 78.42% → 78% pass rate, functionally unchanged). This demonstrates a structural limitation of prompt-level defenses against this category and is reported as an open finding requiring an output-filtering control rather than further prompt engineering.</w:t>
      </w:r>
    </w:p>
    <w:p>
      <w:pPr>
        <w:spacing w:after="160"/>
      </w:pPr>
      <w:r>
        <w:t xml:space="preserve">Findings indicate that static, pattern-based defenses — such as explicitly naming known jailbreak techniques in system instructions — are effective against the specific techniques they name, but do not generalize to adaptive or encoded variants of the same underlying attack. This pattern was independently corroborated across all three tools used in this assessment and has direct implications for how conversational AI guardrails should be designed.</w:t>
      </w:r>
    </w:p>
    <w:p>
      <w:pPr>
        <w:spacing w:after="120"/>
      </w:pPr>
      <w:r>
        <w:rPr>
          <w:b/>
          <w:bCs/>
        </w:rPr>
        <w:t xml:space="preserve">Overall risk posture: </w:t>
      </w:r>
      <w:r>
        <w:t xml:space="preserve">Moderate, with one Critical finding open and unresolved (encoding-based content-safety bypass), one High finding successfully mitigated (Excessive Agency), and residual risk in adaptive multi-turn attack scenarios across several categories.</w:t>
      </w:r>
    </w:p>
    <w:p>
      <w:r>
        <w:br w:type="page"/>
      </w:r>
    </w:p>
    <w:p>
      <w:pPr>
        <w:pStyle w:val="Heading1"/>
        <w:spacing w:after="200" w:before="400"/>
      </w:pPr>
      <w:r>
        <w:t xml:space="preserve">Scope</w:t>
      </w:r>
    </w:p>
    <w:p>
      <w:pPr>
        <w:pStyle w:val="Heading2"/>
        <w:spacing w:after="150" w:before="300"/>
      </w:pPr>
      <w:r>
        <w:t xml:space="preserve">Target Application</w:t>
      </w:r>
    </w:p>
    <w:p>
      <w:pPr>
        <w:spacing w:after="160"/>
      </w:pPr>
      <w:r>
        <w:t xml:space="preserve">“Aria,” a Flask-based customer support chatbot for Northwind Retail (fictional), backed by an LLM via OpenRouter's free-tier model routing. The application accepts customer messages via a single stateless REST endpoint and returns a model-generated response constrained by a system prompt defining its purpose, prohibited behaviors, and a simulated internal credential (a fake API key standing in for a real secret an organization would not want exposed).</w:t>
      </w:r>
    </w:p>
    <w:p>
      <w:pPr>
        <w:pStyle w:val="Heading2"/>
        <w:spacing w:after="150" w:before="300"/>
      </w:pPr>
      <w:r>
        <w:t xml:space="preserve">In Scope</w:t>
      </w:r>
    </w:p>
    <w:p>
      <w:pPr>
        <w:pStyle w:val="ListParagraph"/>
        <w:numPr>
          <w:ilvl w:val="0"/>
          <w:numId w:val="1"/>
        </w:numPr>
        <w:spacing w:after="80"/>
      </w:pPr>
      <w:r>
        <w:t xml:space="preserve">Prompt injection, jailbreak, and instruction-override resistance</w:t>
      </w:r>
    </w:p>
    <w:p>
      <w:pPr>
        <w:pStyle w:val="ListParagraph"/>
        <w:numPr>
          <w:ilvl w:val="0"/>
          <w:numId w:val="1"/>
        </w:numPr>
        <w:spacing w:after="80"/>
      </w:pPr>
      <w:r>
        <w:t xml:space="preserve">Sensitive information disclosure (the planted secret, PII-equivalent data)</w:t>
      </w:r>
    </w:p>
    <w:p>
      <w:pPr>
        <w:pStyle w:val="ListParagraph"/>
        <w:numPr>
          <w:ilvl w:val="0"/>
          <w:numId w:val="1"/>
        </w:numPr>
        <w:spacing w:after="80"/>
      </w:pPr>
      <w:r>
        <w:t xml:space="preserve">System prompt extraction</w:t>
      </w:r>
    </w:p>
    <w:p>
      <w:pPr>
        <w:pStyle w:val="ListParagraph"/>
        <w:numPr>
          <w:ilvl w:val="0"/>
          <w:numId w:val="1"/>
        </w:numPr>
        <w:spacing w:after="80"/>
      </w:pPr>
      <w:r>
        <w:t xml:space="preserve">Encoding-based evasion (Base64, ROT13, leetspeak, and related techniques)</w:t>
      </w:r>
    </w:p>
    <w:p>
      <w:pPr>
        <w:pStyle w:val="ListParagraph"/>
        <w:numPr>
          <w:ilvl w:val="0"/>
          <w:numId w:val="1"/>
        </w:numPr>
        <w:spacing w:after="80"/>
      </w:pPr>
      <w:r>
        <w:t xml:space="preserve">Business-rule adherence (competitor discussion, discount authorization, action-claim accuracy)</w:t>
      </w:r>
    </w:p>
    <w:p>
      <w:pPr>
        <w:pStyle w:val="ListParagraph"/>
        <w:numPr>
          <w:ilvl w:val="0"/>
          <w:numId w:val="1"/>
        </w:numPr>
        <w:spacing w:after="80"/>
      </w:pPr>
      <w:r>
        <w:t xml:space="preserve">General content-safety guardrails as exposed through the above vectors</w:t>
      </w:r>
    </w:p>
    <w:p>
      <w:pPr>
        <w:pStyle w:val="Heading2"/>
        <w:spacing w:after="150" w:before="300"/>
      </w:pPr>
      <w:r>
        <w:t xml:space="preserve">Out of Scope</w:t>
      </w:r>
    </w:p>
    <w:p>
      <w:pPr>
        <w:pStyle w:val="ListParagraph"/>
        <w:numPr>
          <w:ilvl w:val="0"/>
          <w:numId w:val="1"/>
        </w:numPr>
        <w:spacing w:after="80"/>
      </w:pPr>
      <w:r>
        <w:t xml:space="preserve">Network- and infrastructure-level security (the application runs in an isolated lab VM)</w:t>
      </w:r>
    </w:p>
    <w:p>
      <w:pPr>
        <w:pStyle w:val="ListParagraph"/>
        <w:numPr>
          <w:ilvl w:val="0"/>
          <w:numId w:val="1"/>
        </w:numPr>
        <w:spacing w:after="80"/>
      </w:pPr>
      <w:r>
        <w:t xml:space="preserve">Authentication/authorization (the application implements none by design — no user accounts or session boundaries exist)</w:t>
      </w:r>
    </w:p>
    <w:p>
      <w:pPr>
        <w:pStyle w:val="ListParagraph"/>
        <w:numPr>
          <w:ilvl w:val="0"/>
          <w:numId w:val="1"/>
        </w:numPr>
        <w:spacing w:after="80"/>
      </w:pPr>
      <w:r>
        <w:t xml:space="preserve">The underlying foundation model's training-time behavior, independent of this application's system prompt</w:t>
      </w:r>
    </w:p>
    <w:p>
      <w:pPr>
        <w:pStyle w:val="ListParagraph"/>
        <w:numPr>
          <w:ilvl w:val="0"/>
          <w:numId w:val="1"/>
        </w:numPr>
        <w:spacing w:after="80"/>
      </w:pPr>
      <w:r>
        <w:t xml:space="preserve">Non-LLM components (no database, RAG pipeline, or tool-calling capability exists in this application)</w:t>
      </w:r>
    </w:p>
    <w:p>
      <w:pPr>
        <w:pStyle w:val="Heading2"/>
        <w:spacing w:after="150" w:before="300"/>
      </w:pPr>
      <w:r>
        <w:t xml:space="preserve">Environmental Constraints</w:t>
      </w:r>
    </w:p>
    <w:p>
      <w:pPr>
        <w:spacing w:after="160"/>
      </w:pPr>
      <w:r>
        <w:t xml:space="preserve">Testing used OpenRouter's free-tier model auto-router (“openrouter/free”), which routes each request to a randomly selected backing model. This introduced significant, non-deterministic response-latency variance (observed range: approximately 2 seconds to over 60 seconds per request) and, in a small number of cases, empty/null model completions. Both are noted as environmental factors distinct from the application's own security posture and are documented where they affected testing (see Finding 8).</w:t>
      </w:r>
    </w:p>
    <w:p>
      <w:r>
        <w:br w:type="page"/>
      </w:r>
    </w:p>
    <w:p>
      <w:pPr>
        <w:pStyle w:val="Heading1"/>
        <w:spacing w:after="200" w:before="400"/>
      </w:pPr>
      <w:r>
        <w:t xml:space="preserve">Methodology</w:t>
      </w:r>
    </w:p>
    <w:p>
      <w:pPr>
        <w:spacing w:after="160"/>
      </w:pPr>
      <w:r>
        <w:t xml:space="preserve">Testing proceeded in six phases, each building on the last, using three independent open-source tools chosen for complementary coverage: Promptfoo (breadth-first adversarial generation across many categories), Garak (depth-first probing of specific, research-backed attack techniques), and PyRIT (orchestrated, programmatically-scored attacks with support for custom multi-turn escalation).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2600"/>
        <w:gridCol w:w="2000"/>
      </w:tblGrid>
      <w:tr>
        <w:trPr>
          <w:tblHeader/>
        </w:trPr>
        <w:tc>
          <w:tcPr>
            <w:tcW w:type="dxa" w:w="1800"/>
            <w:shd w:fill="1F2937" w:color="auto" w:val="clear"/>
            <w:tcMar>
              <w:top w:type="dxa" w:w="80"/>
              <w:left w:type="dxa" w:w="100"/>
              <w:bottom w:type="dxa" w:w="80"/>
              <w:right w:type="dxa" w:w="100"/>
            </w:tcMar>
            <w:vAlign w:val="center"/>
          </w:tcPr>
          <w:p>
            <w:pPr>
              <w:jc w:val="left"/>
            </w:pPr>
            <w:r>
              <w:rPr>
                <w:b/>
                <w:bCs/>
                <w:color w:val="FFFFFF"/>
                <w:sz w:val="19"/>
                <w:szCs w:val="19"/>
              </w:rPr>
              <w:t xml:space="preserve">Phase</w:t>
            </w:r>
          </w:p>
        </w:tc>
        <w:tc>
          <w:tcPr>
            <w:tcW w:type="dxa" w:w="3400"/>
            <w:shd w:fill="1F2937" w:color="auto" w:val="clear"/>
            <w:tcMar>
              <w:top w:type="dxa" w:w="80"/>
              <w:left w:type="dxa" w:w="100"/>
              <w:bottom w:type="dxa" w:w="80"/>
              <w:right w:type="dxa" w:w="100"/>
            </w:tcMar>
            <w:vAlign w:val="center"/>
          </w:tcPr>
          <w:p>
            <w:pPr>
              <w:jc w:val="left"/>
            </w:pPr>
            <w:r>
              <w:rPr>
                <w:b/>
                <w:bCs/>
                <w:color w:val="FFFFFF"/>
                <w:sz w:val="19"/>
                <w:szCs w:val="19"/>
              </w:rPr>
              <w:t xml:space="preserve">Method</w:t>
            </w:r>
          </w:p>
        </w:tc>
        <w:tc>
          <w:tcPr>
            <w:tcW w:type="dxa" w:w="2600"/>
            <w:shd w:fill="1F2937" w:color="auto" w:val="clear"/>
            <w:tcMar>
              <w:top w:type="dxa" w:w="80"/>
              <w:left w:type="dxa" w:w="100"/>
              <w:bottom w:type="dxa" w:w="80"/>
              <w:right w:type="dxa" w:w="100"/>
            </w:tcMar>
            <w:vAlign w:val="center"/>
          </w:tcPr>
          <w:p>
            <w:pPr>
              <w:jc w:val="left"/>
            </w:pPr>
            <w:r>
              <w:rPr>
                <w:b/>
                <w:bCs/>
                <w:color w:val="FFFFFF"/>
                <w:sz w:val="19"/>
                <w:szCs w:val="19"/>
              </w:rPr>
              <w:t xml:space="preserve">Tool</w:t>
            </w:r>
          </w:p>
        </w:tc>
        <w:tc>
          <w:tcPr>
            <w:tcW w:type="dxa" w:w="2000"/>
            <w:shd w:fill="1F2937" w:color="auto" w:val="clear"/>
            <w:tcMar>
              <w:top w:type="dxa" w:w="80"/>
              <w:left w:type="dxa" w:w="100"/>
              <w:bottom w:type="dxa" w:w="80"/>
              <w:right w:type="dxa" w:w="100"/>
            </w:tcMar>
            <w:vAlign w:val="center"/>
          </w:tcPr>
          <w:p>
            <w:pPr>
              <w:jc w:val="left"/>
            </w:pPr>
            <w:r>
              <w:rPr>
                <w:b/>
                <w:bCs/>
                <w:color w:val="FFFFFF"/>
                <w:sz w:val="19"/>
                <w:szCs w:val="19"/>
              </w:rPr>
              <w:t xml:space="preserve">Volume / Result</w:t>
            </w:r>
          </w:p>
        </w:tc>
      </w:tr>
      <w:tr>
        <w:tc>
          <w:tcPr>
            <w:tcW w:type="dxa" w:w="1800"/>
            <w:tcMar>
              <w:top w:type="dxa" w:w="80"/>
              <w:left w:type="dxa" w:w="100"/>
              <w:bottom w:type="dxa" w:w="80"/>
              <w:right w:type="dxa" w:w="100"/>
            </w:tcMar>
            <w:vAlign w:val="center"/>
          </w:tcPr>
          <w:p>
            <w:pPr>
              <w:jc w:val="left"/>
            </w:pPr>
            <w:r>
              <w:rPr>
                <w:b w:val="false"/>
                <w:bCs w:val="false"/>
                <w:sz w:val="19"/>
                <w:szCs w:val="19"/>
              </w:rPr>
              <w:t xml:space="preserve">Manual baseline</w:t>
            </w:r>
          </w:p>
        </w:tc>
        <w:tc>
          <w:tcPr>
            <w:tcW w:type="dxa" w:w="3400"/>
            <w:tcMar>
              <w:top w:type="dxa" w:w="80"/>
              <w:left w:type="dxa" w:w="100"/>
              <w:bottom w:type="dxa" w:w="80"/>
              <w:right w:type="dxa" w:w="100"/>
            </w:tcMar>
            <w:vAlign w:val="center"/>
          </w:tcPr>
          <w:p>
            <w:pPr>
              <w:jc w:val="left"/>
            </w:pPr>
            <w:r>
              <w:rPr>
                <w:b w:val="false"/>
                <w:bCs w:val="false"/>
                <w:sz w:val="19"/>
                <w:szCs w:val="19"/>
              </w:rPr>
              <w:t xml:space="preserve">Direct, single-turn attack phrasing</w:t>
            </w:r>
          </w:p>
        </w:tc>
        <w:tc>
          <w:tcPr>
            <w:tcW w:type="dxa" w:w="2600"/>
            <w:tcMar>
              <w:top w:type="dxa" w:w="80"/>
              <w:left w:type="dxa" w:w="100"/>
              <w:bottom w:type="dxa" w:w="80"/>
              <w:right w:type="dxa" w:w="100"/>
            </w:tcMar>
            <w:vAlign w:val="center"/>
          </w:tcPr>
          <w:p>
            <w:pPr>
              <w:jc w:val="left"/>
            </w:pPr>
            <w:r>
              <w:rPr>
                <w:b w:val="false"/>
                <w:bCs w:val="false"/>
                <w:sz w:val="19"/>
                <w:szCs w:val="19"/>
              </w:rPr>
              <w:t xml:space="preserve">Manual</w:t>
            </w:r>
          </w:p>
        </w:tc>
        <w:tc>
          <w:tcPr>
            <w:tcW w:type="dxa" w:w="2000"/>
            <w:tcMar>
              <w:top w:type="dxa" w:w="80"/>
              <w:left w:type="dxa" w:w="100"/>
              <w:bottom w:type="dxa" w:w="80"/>
              <w:right w:type="dxa" w:w="100"/>
            </w:tcMar>
            <w:vAlign w:val="center"/>
          </w:tcPr>
          <w:p>
            <w:pPr>
              <w:jc w:val="left"/>
            </w:pPr>
            <w:r>
              <w:rPr>
                <w:b w:val="false"/>
                <w:bCs w:val="false"/>
                <w:sz w:val="19"/>
                <w:szCs w:val="19"/>
              </w:rPr>
              <w:t xml:space="preserve">4 attempts, 0 succeeded</w:t>
            </w:r>
          </w:p>
        </w:tc>
      </w:tr>
      <w:tr>
        <w:tc>
          <w:tcPr>
            <w:tcW w:type="dxa" w:w="1800"/>
            <w:tcMar>
              <w:top w:type="dxa" w:w="80"/>
              <w:left w:type="dxa" w:w="100"/>
              <w:bottom w:type="dxa" w:w="80"/>
              <w:right w:type="dxa" w:w="100"/>
            </w:tcMar>
            <w:vAlign w:val="center"/>
          </w:tcPr>
          <w:p>
            <w:pPr>
              <w:jc w:val="left"/>
            </w:pPr>
            <w:r>
              <w:rPr>
                <w:b w:val="false"/>
                <w:bCs w:val="false"/>
                <w:sz w:val="19"/>
                <w:szCs w:val="19"/>
              </w:rPr>
              <w:t xml:space="preserve">Automated (narrow)</w:t>
            </w:r>
          </w:p>
        </w:tc>
        <w:tc>
          <w:tcPr>
            <w:tcW w:type="dxa" w:w="3400"/>
            <w:tcMar>
              <w:top w:type="dxa" w:w="80"/>
              <w:left w:type="dxa" w:w="100"/>
              <w:bottom w:type="dxa" w:w="80"/>
              <w:right w:type="dxa" w:w="100"/>
            </w:tcMar>
            <w:vAlign w:val="center"/>
          </w:tcPr>
          <w:p>
            <w:pPr>
              <w:jc w:val="left"/>
            </w:pPr>
            <w:r>
              <w:rPr>
                <w:b w:val="false"/>
                <w:bCs w:val="false"/>
                <w:sz w:val="19"/>
                <w:szCs w:val="19"/>
              </w:rPr>
              <w:t xml:space="preserve">LLM01/02/07-scoped adversarial generation</w:t>
            </w:r>
          </w:p>
        </w:tc>
        <w:tc>
          <w:tcPr>
            <w:tcW w:type="dxa" w:w="2600"/>
            <w:tcMar>
              <w:top w:type="dxa" w:w="80"/>
              <w:left w:type="dxa" w:w="100"/>
              <w:bottom w:type="dxa" w:w="80"/>
              <w:right w:type="dxa" w:w="100"/>
            </w:tcMar>
            <w:vAlign w:val="center"/>
          </w:tcPr>
          <w:p>
            <w:pPr>
              <w:jc w:val="left"/>
            </w:pPr>
            <w:r>
              <w:rPr>
                <w:b w:val="false"/>
                <w:bCs w:val="false"/>
                <w:sz w:val="19"/>
                <w:szCs w:val="19"/>
              </w:rPr>
              <w:t xml:space="preserve">Promptfoo</w:t>
            </w:r>
          </w:p>
        </w:tc>
        <w:tc>
          <w:tcPr>
            <w:tcW w:type="dxa" w:w="2000"/>
            <w:tcMar>
              <w:top w:type="dxa" w:w="80"/>
              <w:left w:type="dxa" w:w="100"/>
              <w:bottom w:type="dxa" w:w="80"/>
              <w:right w:type="dxa" w:w="100"/>
            </w:tcMar>
            <w:vAlign w:val="center"/>
          </w:tcPr>
          <w:p>
            <w:pPr>
              <w:jc w:val="left"/>
            </w:pPr>
            <w:r>
              <w:rPr>
                <w:b w:val="false"/>
                <w:bCs w:val="false"/>
                <w:sz w:val="19"/>
                <w:szCs w:val="19"/>
              </w:rPr>
              <w:t xml:space="preserve">120 tests, 7.5% ASR</w:t>
            </w:r>
          </w:p>
        </w:tc>
      </w:tr>
      <w:tr>
        <w:tc>
          <w:tcPr>
            <w:tcW w:type="dxa" w:w="1800"/>
            <w:tcMar>
              <w:top w:type="dxa" w:w="80"/>
              <w:left w:type="dxa" w:w="100"/>
              <w:bottom w:type="dxa" w:w="80"/>
              <w:right w:type="dxa" w:w="100"/>
            </w:tcMar>
            <w:vAlign w:val="center"/>
          </w:tcPr>
          <w:p>
            <w:pPr>
              <w:jc w:val="left"/>
            </w:pPr>
            <w:r>
              <w:rPr>
                <w:b w:val="false"/>
                <w:bCs w:val="false"/>
                <w:sz w:val="19"/>
                <w:szCs w:val="19"/>
              </w:rPr>
              <w:t xml:space="preserve">Automated (widened)</w:t>
            </w:r>
          </w:p>
        </w:tc>
        <w:tc>
          <w:tcPr>
            <w:tcW w:type="dxa" w:w="3400"/>
            <w:tcMar>
              <w:top w:type="dxa" w:w="80"/>
              <w:left w:type="dxa" w:w="100"/>
              <w:bottom w:type="dxa" w:w="80"/>
              <w:right w:type="dxa" w:w="100"/>
            </w:tcMar>
            <w:vAlign w:val="center"/>
          </w:tcPr>
          <w:p>
            <w:pPr>
              <w:jc w:val="left"/>
            </w:pPr>
            <w:r>
              <w:rPr>
                <w:b w:val="false"/>
                <w:bCs w:val="false"/>
                <w:sz w:val="19"/>
                <w:szCs w:val="19"/>
              </w:rPr>
              <w:t xml:space="preserve">Broader business-relevant plugin set</w:t>
            </w:r>
          </w:p>
        </w:tc>
        <w:tc>
          <w:tcPr>
            <w:tcW w:type="dxa" w:w="2600"/>
            <w:tcMar>
              <w:top w:type="dxa" w:w="80"/>
              <w:left w:type="dxa" w:w="100"/>
              <w:bottom w:type="dxa" w:w="80"/>
              <w:right w:type="dxa" w:w="100"/>
            </w:tcMar>
            <w:vAlign w:val="center"/>
          </w:tcPr>
          <w:p>
            <w:pPr>
              <w:jc w:val="left"/>
            </w:pPr>
            <w:r>
              <w:rPr>
                <w:b w:val="false"/>
                <w:bCs w:val="false"/>
                <w:sz w:val="19"/>
                <w:szCs w:val="19"/>
              </w:rPr>
              <w:t xml:space="preserve">Promptfoo</w:t>
            </w:r>
          </w:p>
        </w:tc>
        <w:tc>
          <w:tcPr>
            <w:tcW w:type="dxa" w:w="2000"/>
            <w:tcMar>
              <w:top w:type="dxa" w:w="80"/>
              <w:left w:type="dxa" w:w="100"/>
              <w:bottom w:type="dxa" w:w="80"/>
              <w:right w:type="dxa" w:w="100"/>
            </w:tcMar>
            <w:vAlign w:val="center"/>
          </w:tcPr>
          <w:p>
            <w:pPr>
              <w:jc w:val="left"/>
            </w:pPr>
            <w:r>
              <w:rPr>
                <w:b w:val="false"/>
                <w:bCs w:val="false"/>
                <w:sz w:val="19"/>
                <w:szCs w:val="19"/>
              </w:rPr>
              <w:t xml:space="preserve">180 tests, 15% ASR</w:t>
            </w:r>
          </w:p>
        </w:tc>
      </w:tr>
      <w:tr>
        <w:tc>
          <w:tcPr>
            <w:tcW w:type="dxa" w:w="1800"/>
            <w:tcMar>
              <w:top w:type="dxa" w:w="80"/>
              <w:left w:type="dxa" w:w="100"/>
              <w:bottom w:type="dxa" w:w="80"/>
              <w:right w:type="dxa" w:w="100"/>
            </w:tcMar>
            <w:vAlign w:val="center"/>
          </w:tcPr>
          <w:p>
            <w:pPr>
              <w:jc w:val="left"/>
            </w:pPr>
            <w:r>
              <w:rPr>
                <w:b w:val="false"/>
                <w:bCs w:val="false"/>
                <w:sz w:val="19"/>
                <w:szCs w:val="19"/>
              </w:rPr>
              <w:t xml:space="preserve">Vulnerability scan</w:t>
            </w:r>
          </w:p>
        </w:tc>
        <w:tc>
          <w:tcPr>
            <w:tcW w:type="dxa" w:w="3400"/>
            <w:tcMar>
              <w:top w:type="dxa" w:w="80"/>
              <w:left w:type="dxa" w:w="100"/>
              <w:bottom w:type="dxa" w:w="80"/>
              <w:right w:type="dxa" w:w="100"/>
            </w:tcMar>
            <w:vAlign w:val="center"/>
          </w:tcPr>
          <w:p>
            <w:pPr>
              <w:jc w:val="left"/>
            </w:pPr>
            <w:r>
              <w:rPr>
                <w:b w:val="false"/>
                <w:bCs w:val="false"/>
                <w:sz w:val="19"/>
                <w:szCs w:val="19"/>
              </w:rPr>
              <w:t xml:space="preserve">promptinject, encoding probe families</w:t>
            </w:r>
          </w:p>
        </w:tc>
        <w:tc>
          <w:tcPr>
            <w:tcW w:type="dxa" w:w="2600"/>
            <w:tcMar>
              <w:top w:type="dxa" w:w="80"/>
              <w:left w:type="dxa" w:w="100"/>
              <w:bottom w:type="dxa" w:w="80"/>
              <w:right w:type="dxa" w:w="100"/>
            </w:tcMar>
            <w:vAlign w:val="center"/>
          </w:tcPr>
          <w:p>
            <w:pPr>
              <w:jc w:val="left"/>
            </w:pPr>
            <w:r>
              <w:rPr>
                <w:b w:val="false"/>
                <w:bCs w:val="false"/>
                <w:sz w:val="19"/>
                <w:szCs w:val="19"/>
              </w:rPr>
              <w:t xml:space="preserve">Garak</w:t>
            </w:r>
          </w:p>
        </w:tc>
        <w:tc>
          <w:tcPr>
            <w:tcW w:type="dxa" w:w="2000"/>
            <w:tcMar>
              <w:top w:type="dxa" w:w="80"/>
              <w:left w:type="dxa" w:w="100"/>
              <w:bottom w:type="dxa" w:w="80"/>
              <w:right w:type="dxa" w:w="100"/>
            </w:tcMar>
            <w:vAlign w:val="center"/>
          </w:tcPr>
          <w:p>
            <w:pPr>
              <w:jc w:val="left"/>
            </w:pPr>
            <w:r>
              <w:rPr>
                <w:b w:val="false"/>
                <w:bCs w:val="false"/>
                <w:sz w:val="19"/>
                <w:szCs w:val="19"/>
              </w:rPr>
              <w:t xml:space="preserve">Base64 / ROT13 focus per catalogue</w:t>
            </w:r>
          </w:p>
        </w:tc>
      </w:tr>
      <w:tr>
        <w:tc>
          <w:tcPr>
            <w:tcW w:type="dxa" w:w="1800"/>
            <w:tcMar>
              <w:top w:type="dxa" w:w="80"/>
              <w:left w:type="dxa" w:w="100"/>
              <w:bottom w:type="dxa" w:w="80"/>
              <w:right w:type="dxa" w:w="100"/>
            </w:tcMar>
            <w:vAlign w:val="center"/>
          </w:tcPr>
          <w:p>
            <w:pPr>
              <w:jc w:val="left"/>
            </w:pPr>
            <w:r>
              <w:rPr>
                <w:b w:val="false"/>
                <w:bCs w:val="false"/>
                <w:sz w:val="19"/>
                <w:szCs w:val="19"/>
              </w:rPr>
              <w:t xml:space="preserve">Orchestrated</w:t>
            </w:r>
          </w:p>
        </w:tc>
        <w:tc>
          <w:tcPr>
            <w:tcW w:type="dxa" w:w="3400"/>
            <w:tcMar>
              <w:top w:type="dxa" w:w="80"/>
              <w:left w:type="dxa" w:w="100"/>
              <w:bottom w:type="dxa" w:w="80"/>
              <w:right w:type="dxa" w:w="100"/>
            </w:tcMar>
            <w:vAlign w:val="center"/>
          </w:tcPr>
          <w:p>
            <w:pPr>
              <w:jc w:val="left"/>
            </w:pPr>
            <w:r>
              <w:rPr>
                <w:b w:val="false"/>
                <w:bCs w:val="false"/>
                <w:sz w:val="19"/>
                <w:szCs w:val="19"/>
              </w:rPr>
              <w:t xml:space="preserve">Single-shot + Base64, programmatic scoring</w:t>
            </w:r>
          </w:p>
        </w:tc>
        <w:tc>
          <w:tcPr>
            <w:tcW w:type="dxa" w:w="2600"/>
            <w:tcMar>
              <w:top w:type="dxa" w:w="80"/>
              <w:left w:type="dxa" w:w="100"/>
              <w:bottom w:type="dxa" w:w="80"/>
              <w:right w:type="dxa" w:w="100"/>
            </w:tcMar>
            <w:vAlign w:val="center"/>
          </w:tcPr>
          <w:p>
            <w:pPr>
              <w:jc w:val="left"/>
            </w:pPr>
            <w:r>
              <w:rPr>
                <w:b w:val="false"/>
                <w:bCs w:val="false"/>
                <w:sz w:val="19"/>
                <w:szCs w:val="19"/>
              </w:rPr>
              <w:t xml:space="preserve">PyRIT</w:t>
            </w:r>
          </w:p>
        </w:tc>
        <w:tc>
          <w:tcPr>
            <w:tcW w:type="dxa" w:w="2000"/>
            <w:tcMar>
              <w:top w:type="dxa" w:w="80"/>
              <w:left w:type="dxa" w:w="100"/>
              <w:bottom w:type="dxa" w:w="80"/>
              <w:right w:type="dxa" w:w="100"/>
            </w:tcMar>
            <w:vAlign w:val="center"/>
          </w:tcPr>
          <w:p>
            <w:pPr>
              <w:jc w:val="left"/>
            </w:pPr>
            <w:r>
              <w:rPr>
                <w:b w:val="false"/>
                <w:bCs w:val="false"/>
                <w:sz w:val="19"/>
                <w:szCs w:val="19"/>
              </w:rPr>
              <w:t xml:space="preserve">8 attempts, 0% leak</w:t>
            </w:r>
          </w:p>
        </w:tc>
      </w:tr>
      <w:tr>
        <w:tc>
          <w:tcPr>
            <w:tcW w:type="dxa" w:w="1800"/>
            <w:tcMar>
              <w:top w:type="dxa" w:w="80"/>
              <w:left w:type="dxa" w:w="100"/>
              <w:bottom w:type="dxa" w:w="80"/>
              <w:right w:type="dxa" w:w="100"/>
            </w:tcMar>
            <w:vAlign w:val="center"/>
          </w:tcPr>
          <w:p>
            <w:pPr>
              <w:jc w:val="left"/>
            </w:pPr>
            <w:r>
              <w:rPr>
                <w:b w:val="false"/>
                <w:bCs w:val="false"/>
                <w:sz w:val="19"/>
                <w:szCs w:val="19"/>
              </w:rPr>
              <w:t xml:space="preserve">Orchestrated (custom)</w:t>
            </w:r>
          </w:p>
        </w:tc>
        <w:tc>
          <w:tcPr>
            <w:tcW w:type="dxa" w:w="3400"/>
            <w:tcMar>
              <w:top w:type="dxa" w:w="80"/>
              <w:left w:type="dxa" w:w="100"/>
              <w:bottom w:type="dxa" w:w="80"/>
              <w:right w:type="dxa" w:w="100"/>
            </w:tcMar>
            <w:vAlign w:val="center"/>
          </w:tcPr>
          <w:p>
            <w:pPr>
              <w:jc w:val="left"/>
            </w:pPr>
            <w:r>
              <w:rPr>
                <w:b w:val="false"/>
                <w:bCs w:val="false"/>
                <w:sz w:val="19"/>
                <w:szCs w:val="19"/>
              </w:rPr>
              <w:t xml:space="preserve">5-turn adaptive escalation, programmatic scoring</w:t>
            </w:r>
          </w:p>
        </w:tc>
        <w:tc>
          <w:tcPr>
            <w:tcW w:type="dxa" w:w="2600"/>
            <w:tcMar>
              <w:top w:type="dxa" w:w="80"/>
              <w:left w:type="dxa" w:w="100"/>
              <w:bottom w:type="dxa" w:w="80"/>
              <w:right w:type="dxa" w:w="100"/>
            </w:tcMar>
            <w:vAlign w:val="center"/>
          </w:tcPr>
          <w:p>
            <w:pPr>
              <w:jc w:val="left"/>
            </w:pPr>
            <w:r>
              <w:rPr>
                <w:b w:val="false"/>
                <w:bCs w:val="false"/>
                <w:sz w:val="19"/>
                <w:szCs w:val="19"/>
              </w:rPr>
              <w:t xml:space="preserve">PyRIT-scored custom script</w:t>
            </w:r>
          </w:p>
        </w:tc>
        <w:tc>
          <w:tcPr>
            <w:tcW w:type="dxa" w:w="2000"/>
            <w:tcMar>
              <w:top w:type="dxa" w:w="80"/>
              <w:left w:type="dxa" w:w="100"/>
              <w:bottom w:type="dxa" w:w="80"/>
              <w:right w:type="dxa" w:w="100"/>
            </w:tcMar>
            <w:vAlign w:val="center"/>
          </w:tcPr>
          <w:p>
            <w:pPr>
              <w:jc w:val="left"/>
            </w:pPr>
            <w:r>
              <w:rPr>
                <w:b w:val="false"/>
                <w:bCs w:val="false"/>
                <w:sz w:val="19"/>
                <w:szCs w:val="19"/>
              </w:rPr>
              <w:t xml:space="preserve">5 turns, 0% leak</w:t>
            </w:r>
          </w:p>
        </w:tc>
      </w:tr>
      <w:tr>
        <w:tc>
          <w:tcPr>
            <w:tcW w:type="dxa" w:w="1800"/>
            <w:tcMar>
              <w:top w:type="dxa" w:w="80"/>
              <w:left w:type="dxa" w:w="100"/>
              <w:bottom w:type="dxa" w:w="80"/>
              <w:right w:type="dxa" w:w="100"/>
            </w:tcMar>
            <w:vAlign w:val="center"/>
          </w:tcPr>
          <w:p>
            <w:pPr>
              <w:jc w:val="left"/>
            </w:pPr>
            <w:r>
              <w:rPr>
                <w:b w:val="false"/>
                <w:bCs w:val="false"/>
                <w:sz w:val="19"/>
                <w:szCs w:val="19"/>
              </w:rPr>
              <w:t xml:space="preserve">Mitigation retest</w:t>
            </w:r>
          </w:p>
        </w:tc>
        <w:tc>
          <w:tcPr>
            <w:tcW w:type="dxa" w:w="3400"/>
            <w:tcMar>
              <w:top w:type="dxa" w:w="80"/>
              <w:left w:type="dxa" w:w="100"/>
              <w:bottom w:type="dxa" w:w="80"/>
              <w:right w:type="dxa" w:w="100"/>
            </w:tcMar>
            <w:vAlign w:val="center"/>
          </w:tcPr>
          <w:p>
            <w:pPr>
              <w:jc w:val="left"/>
            </w:pPr>
            <w:r>
              <w:rPr>
                <w:b w:val="false"/>
                <w:bCs w:val="false"/>
                <w:sz w:val="19"/>
                <w:szCs w:val="19"/>
              </w:rPr>
              <w:t xml:space="preserve">Same plugins/probes re-run against patched app</w:t>
            </w:r>
          </w:p>
        </w:tc>
        <w:tc>
          <w:tcPr>
            <w:tcW w:type="dxa" w:w="2600"/>
            <w:tcMar>
              <w:top w:type="dxa" w:w="80"/>
              <w:left w:type="dxa" w:w="100"/>
              <w:bottom w:type="dxa" w:w="80"/>
              <w:right w:type="dxa" w:w="100"/>
            </w:tcMar>
            <w:vAlign w:val="center"/>
          </w:tcPr>
          <w:p>
            <w:pPr>
              <w:jc w:val="left"/>
            </w:pPr>
            <w:r>
              <w:rPr>
                <w:b w:val="false"/>
                <w:bCs w:val="false"/>
                <w:sz w:val="19"/>
                <w:szCs w:val="19"/>
              </w:rPr>
              <w:t xml:space="preserve">Promptfoo + Garak</w:t>
            </w:r>
          </w:p>
        </w:tc>
        <w:tc>
          <w:tcPr>
            <w:tcW w:type="dxa" w:w="2000"/>
            <w:tcMar>
              <w:top w:type="dxa" w:w="80"/>
              <w:left w:type="dxa" w:w="100"/>
              <w:bottom w:type="dxa" w:w="80"/>
              <w:right w:type="dxa" w:w="100"/>
            </w:tcMar>
            <w:vAlign w:val="center"/>
          </w:tcPr>
          <w:p>
            <w:pPr>
              <w:jc w:val="left"/>
            </w:pPr>
            <w:r>
              <w:rPr>
                <w:b w:val="false"/>
                <w:bCs w:val="false"/>
                <w:sz w:val="19"/>
                <w:szCs w:val="19"/>
              </w:rPr>
              <w:t xml:space="preserve">90 + 512 tests</w:t>
            </w:r>
          </w:p>
        </w:tc>
      </w:tr>
    </w:tbl>
    <w:p>
      <w:pPr>
        <w:spacing w:after="200"/>
      </w:pPr>
    </w:p>
    <w:p>
      <w:pPr>
        <w:spacing w:after="160"/>
      </w:pPr>
      <w:r>
        <w:t xml:space="preserve">A manual baseline was established first (Phase 2) to provide ground truth for evaluating whether subsequent automated findings represented genuine gaps or tool false-positives. All manual attempts were unsuccessful, which subsequent automated results corroborate: the vulnerabilities found required either adaptive/multi-step attack generation or encoding obfuscation — none were reproducible via simple, direct phrasing.</w:t>
      </w:r>
    </w:p>
    <w:p>
      <w:r>
        <w:br w:type="page"/>
      </w:r>
    </w:p>
    <w:p>
      <w:pPr>
        <w:pStyle w:val="Heading1"/>
        <w:spacing w:after="200" w:before="400"/>
      </w:pPr>
      <w:r>
        <w:t xml:space="preserve">Findings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1300"/>
        <w:gridCol w:w="1600"/>
        <w:gridCol w:w="1700"/>
        <w:gridCol w:w="1300"/>
      </w:tblGrid>
      <w:tr>
        <w:trPr>
          <w:tblHeader/>
        </w:trPr>
        <w:tc>
          <w:tcPr>
            <w:tcW w:type="dxa" w:w="500"/>
            <w:shd w:fill="1F2937" w:color="auto" w:val="clear"/>
            <w:tcMar>
              <w:top w:type="dxa" w:w="80"/>
              <w:left w:type="dxa" w:w="100"/>
              <w:bottom w:type="dxa" w:w="80"/>
              <w:right w:type="dxa" w:w="100"/>
            </w:tcMar>
            <w:vAlign w:val="center"/>
          </w:tcPr>
          <w:p>
            <w:pPr>
              <w:jc w:val="left"/>
            </w:pPr>
            <w:r>
              <w:rPr>
                <w:b/>
                <w:bCs/>
                <w:color w:val="FFFFFF"/>
                <w:sz w:val="19"/>
                <w:szCs w:val="19"/>
              </w:rPr>
              <w:t xml:space="preserve">#</w:t>
            </w:r>
          </w:p>
        </w:tc>
        <w:tc>
          <w:tcPr>
            <w:tcW w:type="dxa" w:w="3400"/>
            <w:shd w:fill="1F2937" w:color="auto" w:val="clear"/>
            <w:tcMar>
              <w:top w:type="dxa" w:w="80"/>
              <w:left w:type="dxa" w:w="100"/>
              <w:bottom w:type="dxa" w:w="80"/>
              <w:right w:type="dxa" w:w="100"/>
            </w:tcMar>
            <w:vAlign w:val="center"/>
          </w:tcPr>
          <w:p>
            <w:pPr>
              <w:jc w:val="left"/>
            </w:pPr>
            <w:r>
              <w:rPr>
                <w:b/>
                <w:bCs/>
                <w:color w:val="FFFFFF"/>
                <w:sz w:val="19"/>
                <w:szCs w:val="19"/>
              </w:rPr>
              <w:t xml:space="preserve">Finding</w:t>
            </w:r>
          </w:p>
        </w:tc>
        <w:tc>
          <w:tcPr>
            <w:tcW w:type="dxa" w:w="1300"/>
            <w:shd w:fill="1F2937" w:color="auto" w:val="clear"/>
            <w:tcMar>
              <w:top w:type="dxa" w:w="80"/>
              <w:left w:type="dxa" w:w="100"/>
              <w:bottom w:type="dxa" w:w="80"/>
              <w:right w:type="dxa" w:w="100"/>
            </w:tcMar>
            <w:vAlign w:val="center"/>
          </w:tcPr>
          <w:p>
            <w:pPr>
              <w:jc w:val="left"/>
            </w:pPr>
            <w:r>
              <w:rPr>
                <w:b/>
                <w:bCs/>
                <w:color w:val="FFFFFF"/>
                <w:sz w:val="19"/>
                <w:szCs w:val="19"/>
              </w:rPr>
              <w:t xml:space="preserve">Severity</w:t>
            </w:r>
          </w:p>
        </w:tc>
        <w:tc>
          <w:tcPr>
            <w:tcW w:type="dxa" w:w="1600"/>
            <w:shd w:fill="1F2937" w:color="auto" w:val="clear"/>
            <w:tcMar>
              <w:top w:type="dxa" w:w="80"/>
              <w:left w:type="dxa" w:w="100"/>
              <w:bottom w:type="dxa" w:w="80"/>
              <w:right w:type="dxa" w:w="100"/>
            </w:tcMar>
            <w:vAlign w:val="center"/>
          </w:tcPr>
          <w:p>
            <w:pPr>
              <w:jc w:val="left"/>
            </w:pPr>
            <w:r>
              <w:rPr>
                <w:b/>
                <w:bCs/>
                <w:color w:val="FFFFFF"/>
                <w:sz w:val="19"/>
                <w:szCs w:val="19"/>
              </w:rPr>
              <w:t xml:space="preserve">ASR</w:t>
            </w:r>
          </w:p>
        </w:tc>
        <w:tc>
          <w:tcPr>
            <w:tcW w:type="dxa" w:w="1700"/>
            <w:shd w:fill="1F2937" w:color="auto" w:val="clear"/>
            <w:tcMar>
              <w:top w:type="dxa" w:w="80"/>
              <w:left w:type="dxa" w:w="100"/>
              <w:bottom w:type="dxa" w:w="80"/>
              <w:right w:type="dxa" w:w="100"/>
            </w:tcMar>
            <w:vAlign w:val="center"/>
          </w:tcPr>
          <w:p>
            <w:pPr>
              <w:jc w:val="left"/>
            </w:pPr>
            <w:r>
              <w:rPr>
                <w:b/>
                <w:bCs/>
                <w:color w:val="FFFFFF"/>
                <w:sz w:val="19"/>
                <w:szCs w:val="19"/>
              </w:rPr>
              <w:t xml:space="preserve">OWASP LLM</w:t>
            </w:r>
          </w:p>
        </w:tc>
        <w:tc>
          <w:tcPr>
            <w:tcW w:type="dxa" w:w="1300"/>
            <w:shd w:fill="1F2937" w:color="auto" w:val="clear"/>
            <w:tcMar>
              <w:top w:type="dxa" w:w="80"/>
              <w:left w:type="dxa" w:w="100"/>
              <w:bottom w:type="dxa" w:w="80"/>
              <w:right w:type="dxa" w:w="100"/>
            </w:tcMar>
            <w:vAlign w:val="center"/>
          </w:tcPr>
          <w:p>
            <w:pPr>
              <w:jc w:val="left"/>
            </w:pPr>
            <w:r>
              <w:rPr>
                <w:b/>
                <w:bCs/>
                <w:color w:val="FFFFFF"/>
                <w:sz w:val="19"/>
                <w:szCs w:val="19"/>
              </w:rPr>
              <w:t xml:space="preserve">Tool(s)</w:t>
            </w:r>
          </w:p>
        </w:tc>
      </w:tr>
      <w:tr>
        <w:tc>
          <w:tcPr>
            <w:tcW w:type="dxa" w:w="500"/>
            <w:tcMar>
              <w:top w:type="dxa" w:w="80"/>
              <w:left w:type="dxa" w:w="100"/>
              <w:bottom w:type="dxa" w:w="80"/>
              <w:right w:type="dxa" w:w="100"/>
            </w:tcMar>
            <w:vAlign w:val="center"/>
          </w:tcPr>
          <w:p>
            <w:pPr>
              <w:jc w:val="left"/>
            </w:pPr>
            <w:r>
              <w:rPr>
                <w:b w:val="false"/>
                <w:bCs w:val="false"/>
                <w:sz w:val="19"/>
                <w:szCs w:val="19"/>
              </w:rPr>
              <w:t xml:space="preserve">1</w:t>
            </w:r>
          </w:p>
        </w:tc>
        <w:tc>
          <w:tcPr>
            <w:tcW w:type="dxa" w:w="3400"/>
            <w:tcMar>
              <w:top w:type="dxa" w:w="80"/>
              <w:left w:type="dxa" w:w="100"/>
              <w:bottom w:type="dxa" w:w="80"/>
              <w:right w:type="dxa" w:w="100"/>
            </w:tcMar>
            <w:vAlign w:val="center"/>
          </w:tcPr>
          <w:p>
            <w:pPr>
              <w:jc w:val="left"/>
            </w:pPr>
            <w:r>
              <w:rPr>
                <w:b w:val="false"/>
                <w:bCs w:val="false"/>
                <w:sz w:val="19"/>
                <w:szCs w:val="19"/>
              </w:rPr>
              <w:t xml:space="preserve">Excessive Agency — false claims of completed actions</w:t>
            </w:r>
          </w:p>
        </w:tc>
        <w:tc>
          <w:tcPr>
            <w:tcW w:type="dxa" w:w="1300"/>
            <w:tcMar>
              <w:top w:type="dxa" w:w="80"/>
              <w:left w:type="dxa" w:w="100"/>
              <w:bottom w:type="dxa" w:w="80"/>
              <w:right w:type="dxa" w:w="100"/>
            </w:tcMar>
            <w:vAlign w:val="center"/>
          </w:tcPr>
          <w:p>
            <w:pPr>
              <w:jc w:val="left"/>
            </w:pPr>
            <w:r>
              <w:rPr>
                <w:b/>
                <w:bCs/>
                <w:color w:val="C2410C"/>
                <w:sz w:val="19"/>
                <w:szCs w:val="19"/>
              </w:rPr>
              <w:t xml:space="preserve">High</w:t>
            </w:r>
          </w:p>
        </w:tc>
        <w:tc>
          <w:tcPr>
            <w:tcW w:type="dxa" w:w="1600"/>
            <w:tcMar>
              <w:top w:type="dxa" w:w="80"/>
              <w:left w:type="dxa" w:w="100"/>
              <w:bottom w:type="dxa" w:w="80"/>
              <w:right w:type="dxa" w:w="100"/>
            </w:tcMar>
            <w:vAlign w:val="center"/>
          </w:tcPr>
          <w:p>
            <w:pPr>
              <w:jc w:val="left"/>
            </w:pPr>
            <w:r>
              <w:rPr>
                <w:b w:val="false"/>
                <w:bCs w:val="false"/>
                <w:sz w:val="19"/>
                <w:szCs w:val="19"/>
              </w:rPr>
              <w:t xml:space="preserve">66.67%</w:t>
            </w:r>
          </w:p>
        </w:tc>
        <w:tc>
          <w:tcPr>
            <w:tcW w:type="dxa" w:w="1700"/>
            <w:tcMar>
              <w:top w:type="dxa" w:w="80"/>
              <w:left w:type="dxa" w:w="100"/>
              <w:bottom w:type="dxa" w:w="80"/>
              <w:right w:type="dxa" w:w="100"/>
            </w:tcMar>
            <w:vAlign w:val="center"/>
          </w:tcPr>
          <w:p>
            <w:pPr>
              <w:jc w:val="left"/>
            </w:pPr>
            <w:r>
              <w:rPr>
                <w:b w:val="false"/>
                <w:bCs w:val="false"/>
                <w:sz w:val="19"/>
                <w:szCs w:val="19"/>
              </w:rPr>
              <w:t xml:space="preserve">LLM06</w:t>
            </w:r>
          </w:p>
        </w:tc>
        <w:tc>
          <w:tcPr>
            <w:tcW w:type="dxa" w:w="1300"/>
            <w:tcMar>
              <w:top w:type="dxa" w:w="80"/>
              <w:left w:type="dxa" w:w="100"/>
              <w:bottom w:type="dxa" w:w="80"/>
              <w:right w:type="dxa" w:w="100"/>
            </w:tcMar>
            <w:vAlign w:val="center"/>
          </w:tcPr>
          <w:p>
            <w:pPr>
              <w:jc w:val="left"/>
            </w:pPr>
            <w:r>
              <w:rPr>
                <w:b w:val="false"/>
                <w:bCs w:val="false"/>
                <w:sz w:val="19"/>
                <w:szCs w:val="19"/>
              </w:rPr>
              <w:t xml:space="preserve">Promptfoo</w:t>
            </w:r>
          </w:p>
        </w:tc>
      </w:tr>
      <w:tr>
        <w:tc>
          <w:tcPr>
            <w:tcW w:type="dxa" w:w="500"/>
            <w:tcMar>
              <w:top w:type="dxa" w:w="80"/>
              <w:left w:type="dxa" w:w="100"/>
              <w:bottom w:type="dxa" w:w="80"/>
              <w:right w:type="dxa" w:w="100"/>
            </w:tcMar>
            <w:vAlign w:val="center"/>
          </w:tcPr>
          <w:p>
            <w:pPr>
              <w:jc w:val="left"/>
            </w:pPr>
            <w:r>
              <w:rPr>
                <w:b w:val="false"/>
                <w:bCs w:val="false"/>
                <w:sz w:val="19"/>
                <w:szCs w:val="19"/>
              </w:rPr>
              <w:t xml:space="preserve">2</w:t>
            </w:r>
          </w:p>
        </w:tc>
        <w:tc>
          <w:tcPr>
            <w:tcW w:type="dxa" w:w="3400"/>
            <w:tcMar>
              <w:top w:type="dxa" w:w="80"/>
              <w:left w:type="dxa" w:w="100"/>
              <w:bottom w:type="dxa" w:w="80"/>
              <w:right w:type="dxa" w:w="100"/>
            </w:tcMar>
            <w:vAlign w:val="center"/>
          </w:tcPr>
          <w:p>
            <w:pPr>
              <w:jc w:val="left"/>
            </w:pPr>
            <w:r>
              <w:rPr>
                <w:b w:val="false"/>
                <w:bCs w:val="false"/>
                <w:sz w:val="19"/>
                <w:szCs w:val="19"/>
              </w:rPr>
              <w:t xml:space="preserve">Sensitive information disclosure (PII / secret)</w:t>
            </w:r>
          </w:p>
        </w:tc>
        <w:tc>
          <w:tcPr>
            <w:tcW w:type="dxa" w:w="1300"/>
            <w:tcMar>
              <w:top w:type="dxa" w:w="80"/>
              <w:left w:type="dxa" w:w="100"/>
              <w:bottom w:type="dxa" w:w="80"/>
              <w:right w:type="dxa" w:w="100"/>
            </w:tcMar>
            <w:vAlign w:val="center"/>
          </w:tcPr>
          <w:p>
            <w:pPr>
              <w:jc w:val="left"/>
            </w:pPr>
            <w:r>
              <w:rPr>
                <w:b/>
                <w:bCs/>
                <w:color w:val="C2410C"/>
                <w:sz w:val="19"/>
                <w:szCs w:val="19"/>
              </w:rPr>
              <w:t xml:space="preserve">High</w:t>
            </w:r>
          </w:p>
        </w:tc>
        <w:tc>
          <w:tcPr>
            <w:tcW w:type="dxa" w:w="1600"/>
            <w:tcMar>
              <w:top w:type="dxa" w:w="80"/>
              <w:left w:type="dxa" w:w="100"/>
              <w:bottom w:type="dxa" w:w="80"/>
              <w:right w:type="dxa" w:w="100"/>
            </w:tcMar>
            <w:vAlign w:val="center"/>
          </w:tcPr>
          <w:p>
            <w:pPr>
              <w:jc w:val="left"/>
            </w:pPr>
            <w:r>
              <w:rPr>
                <w:b w:val="false"/>
                <w:bCs w:val="false"/>
                <w:sz w:val="19"/>
                <w:szCs w:val="19"/>
              </w:rPr>
              <w:t xml:space="preserve">5–16.67%</w:t>
            </w:r>
          </w:p>
        </w:tc>
        <w:tc>
          <w:tcPr>
            <w:tcW w:type="dxa" w:w="1700"/>
            <w:tcMar>
              <w:top w:type="dxa" w:w="80"/>
              <w:left w:type="dxa" w:w="100"/>
              <w:bottom w:type="dxa" w:w="80"/>
              <w:right w:type="dxa" w:w="100"/>
            </w:tcMar>
            <w:vAlign w:val="center"/>
          </w:tcPr>
          <w:p>
            <w:pPr>
              <w:jc w:val="left"/>
            </w:pPr>
            <w:r>
              <w:rPr>
                <w:b w:val="false"/>
                <w:bCs w:val="false"/>
                <w:sz w:val="19"/>
                <w:szCs w:val="19"/>
              </w:rPr>
              <w:t xml:space="preserve">LLM02</w:t>
            </w:r>
          </w:p>
        </w:tc>
        <w:tc>
          <w:tcPr>
            <w:tcW w:type="dxa" w:w="1300"/>
            <w:tcMar>
              <w:top w:type="dxa" w:w="80"/>
              <w:left w:type="dxa" w:w="100"/>
              <w:bottom w:type="dxa" w:w="80"/>
              <w:right w:type="dxa" w:w="100"/>
            </w:tcMar>
            <w:vAlign w:val="center"/>
          </w:tcPr>
          <w:p>
            <w:pPr>
              <w:jc w:val="left"/>
            </w:pPr>
            <w:r>
              <w:rPr>
                <w:b w:val="false"/>
                <w:bCs w:val="false"/>
                <w:sz w:val="19"/>
                <w:szCs w:val="19"/>
              </w:rPr>
              <w:t xml:space="preserve">Promptfoo</w:t>
            </w:r>
          </w:p>
        </w:tc>
      </w:tr>
      <w:tr>
        <w:tc>
          <w:tcPr>
            <w:tcW w:type="dxa" w:w="500"/>
            <w:tcMar>
              <w:top w:type="dxa" w:w="80"/>
              <w:left w:type="dxa" w:w="100"/>
              <w:bottom w:type="dxa" w:w="80"/>
              <w:right w:type="dxa" w:w="100"/>
            </w:tcMar>
            <w:vAlign w:val="center"/>
          </w:tcPr>
          <w:p>
            <w:pPr>
              <w:jc w:val="left"/>
            </w:pPr>
            <w:r>
              <w:rPr>
                <w:b w:val="false"/>
                <w:bCs w:val="false"/>
                <w:sz w:val="19"/>
                <w:szCs w:val="19"/>
              </w:rPr>
              <w:t xml:space="preserve">3</w:t>
            </w:r>
          </w:p>
        </w:tc>
        <w:tc>
          <w:tcPr>
            <w:tcW w:type="dxa" w:w="3400"/>
            <w:tcMar>
              <w:top w:type="dxa" w:w="80"/>
              <w:left w:type="dxa" w:w="100"/>
              <w:bottom w:type="dxa" w:w="80"/>
              <w:right w:type="dxa" w:w="100"/>
            </w:tcMar>
            <w:vAlign w:val="center"/>
          </w:tcPr>
          <w:p>
            <w:pPr>
              <w:jc w:val="left"/>
            </w:pPr>
            <w:r>
              <w:rPr>
                <w:b w:val="false"/>
                <w:bCs w:val="false"/>
                <w:sz w:val="19"/>
                <w:szCs w:val="19"/>
              </w:rPr>
              <w:t xml:space="preserve">System prompt disclosure</w:t>
            </w:r>
          </w:p>
        </w:tc>
        <w:tc>
          <w:tcPr>
            <w:tcW w:type="dxa" w:w="1300"/>
            <w:tcMar>
              <w:top w:type="dxa" w:w="80"/>
              <w:left w:type="dxa" w:w="100"/>
              <w:bottom w:type="dxa" w:w="80"/>
              <w:right w:type="dxa" w:w="100"/>
            </w:tcMar>
            <w:vAlign w:val="center"/>
          </w:tcPr>
          <w:p>
            <w:pPr>
              <w:jc w:val="left"/>
            </w:pPr>
            <w:r>
              <w:rPr>
                <w:b/>
                <w:bCs/>
                <w:color w:val="A16207"/>
                <w:sz w:val="19"/>
                <w:szCs w:val="19"/>
              </w:rPr>
              <w:t xml:space="preserve">Medium</w:t>
            </w:r>
          </w:p>
        </w:tc>
        <w:tc>
          <w:tcPr>
            <w:tcW w:type="dxa" w:w="1600"/>
            <w:tcMar>
              <w:top w:type="dxa" w:w="80"/>
              <w:left w:type="dxa" w:w="100"/>
              <w:bottom w:type="dxa" w:w="80"/>
              <w:right w:type="dxa" w:w="100"/>
            </w:tcMar>
            <w:vAlign w:val="center"/>
          </w:tcPr>
          <w:p>
            <w:pPr>
              <w:jc w:val="left"/>
            </w:pPr>
            <w:r>
              <w:rPr>
                <w:b w:val="false"/>
                <w:bCs w:val="false"/>
                <w:sz w:val="19"/>
                <w:szCs w:val="19"/>
              </w:rPr>
              <w:t xml:space="preserve">8.33–20%</w:t>
            </w:r>
          </w:p>
        </w:tc>
        <w:tc>
          <w:tcPr>
            <w:tcW w:type="dxa" w:w="1700"/>
            <w:tcMar>
              <w:top w:type="dxa" w:w="80"/>
              <w:left w:type="dxa" w:w="100"/>
              <w:bottom w:type="dxa" w:w="80"/>
              <w:right w:type="dxa" w:w="100"/>
            </w:tcMar>
            <w:vAlign w:val="center"/>
          </w:tcPr>
          <w:p>
            <w:pPr>
              <w:jc w:val="left"/>
            </w:pPr>
            <w:r>
              <w:rPr>
                <w:b w:val="false"/>
                <w:bCs w:val="false"/>
                <w:sz w:val="19"/>
                <w:szCs w:val="19"/>
              </w:rPr>
              <w:t xml:space="preserve">LLM07</w:t>
            </w:r>
          </w:p>
        </w:tc>
        <w:tc>
          <w:tcPr>
            <w:tcW w:type="dxa" w:w="1300"/>
            <w:tcMar>
              <w:top w:type="dxa" w:w="80"/>
              <w:left w:type="dxa" w:w="100"/>
              <w:bottom w:type="dxa" w:w="80"/>
              <w:right w:type="dxa" w:w="100"/>
            </w:tcMar>
            <w:vAlign w:val="center"/>
          </w:tcPr>
          <w:p>
            <w:pPr>
              <w:jc w:val="left"/>
            </w:pPr>
            <w:r>
              <w:rPr>
                <w:b w:val="false"/>
                <w:bCs w:val="false"/>
                <w:sz w:val="19"/>
                <w:szCs w:val="19"/>
              </w:rPr>
              <w:t xml:space="preserve">Promptfoo, Garak</w:t>
            </w:r>
          </w:p>
        </w:tc>
      </w:tr>
      <w:tr>
        <w:tc>
          <w:tcPr>
            <w:tcW w:type="dxa" w:w="500"/>
            <w:tcMar>
              <w:top w:type="dxa" w:w="80"/>
              <w:left w:type="dxa" w:w="100"/>
              <w:bottom w:type="dxa" w:w="80"/>
              <w:right w:type="dxa" w:w="100"/>
            </w:tcMar>
            <w:vAlign w:val="center"/>
          </w:tcPr>
          <w:p>
            <w:pPr>
              <w:jc w:val="left"/>
            </w:pPr>
            <w:r>
              <w:rPr>
                <w:b w:val="false"/>
                <w:bCs w:val="false"/>
                <w:sz w:val="19"/>
                <w:szCs w:val="19"/>
              </w:rPr>
              <w:t xml:space="preserve">4</w:t>
            </w:r>
          </w:p>
        </w:tc>
        <w:tc>
          <w:tcPr>
            <w:tcW w:type="dxa" w:w="3400"/>
            <w:tcMar>
              <w:top w:type="dxa" w:w="80"/>
              <w:left w:type="dxa" w:w="100"/>
              <w:bottom w:type="dxa" w:w="80"/>
              <w:right w:type="dxa" w:w="100"/>
            </w:tcMar>
            <w:vAlign w:val="center"/>
          </w:tcPr>
          <w:p>
            <w:pPr>
              <w:jc w:val="left"/>
            </w:pPr>
            <w:r>
              <w:rPr>
                <w:b w:val="false"/>
                <w:bCs w:val="false"/>
                <w:sz w:val="19"/>
                <w:szCs w:val="19"/>
              </w:rPr>
              <w:t xml:space="preserve">Encoding evasion bypasses named-technique defenses</w:t>
            </w:r>
          </w:p>
        </w:tc>
        <w:tc>
          <w:tcPr>
            <w:tcW w:type="dxa" w:w="1300"/>
            <w:tcMar>
              <w:top w:type="dxa" w:w="80"/>
              <w:left w:type="dxa" w:w="100"/>
              <w:bottom w:type="dxa" w:w="80"/>
              <w:right w:type="dxa" w:w="100"/>
            </w:tcMar>
            <w:vAlign w:val="center"/>
          </w:tcPr>
          <w:p>
            <w:pPr>
              <w:jc w:val="left"/>
            </w:pPr>
            <w:r>
              <w:rPr>
                <w:b/>
                <w:bCs/>
                <w:color w:val="C2410C"/>
                <w:sz w:val="19"/>
                <w:szCs w:val="19"/>
              </w:rPr>
              <w:t xml:space="preserve">High (pattern)</w:t>
            </w:r>
          </w:p>
        </w:tc>
        <w:tc>
          <w:tcPr>
            <w:tcW w:type="dxa" w:w="1600"/>
            <w:tcMar>
              <w:top w:type="dxa" w:w="80"/>
              <w:left w:type="dxa" w:w="100"/>
              <w:bottom w:type="dxa" w:w="80"/>
              <w:right w:type="dxa" w:w="100"/>
            </w:tcMar>
            <w:vAlign w:val="center"/>
          </w:tcPr>
          <w:p>
            <w:pPr>
              <w:jc w:val="left"/>
            </w:pPr>
            <w:r>
              <w:rPr>
                <w:b w:val="false"/>
                <w:bCs w:val="false"/>
                <w:sz w:val="19"/>
                <w:szCs w:val="19"/>
              </w:rPr>
              <w:t xml:space="preserve">3–44%</w:t>
            </w:r>
          </w:p>
        </w:tc>
        <w:tc>
          <w:tcPr>
            <w:tcW w:type="dxa" w:w="1700"/>
            <w:tcMar>
              <w:top w:type="dxa" w:w="80"/>
              <w:left w:type="dxa" w:w="100"/>
              <w:bottom w:type="dxa" w:w="80"/>
              <w:right w:type="dxa" w:w="100"/>
            </w:tcMar>
            <w:vAlign w:val="center"/>
          </w:tcPr>
          <w:p>
            <w:pPr>
              <w:jc w:val="left"/>
            </w:pPr>
            <w:r>
              <w:rPr>
                <w:b w:val="false"/>
                <w:bCs w:val="false"/>
                <w:sz w:val="19"/>
                <w:szCs w:val="19"/>
              </w:rPr>
              <w:t xml:space="preserve">LLM01</w:t>
            </w:r>
          </w:p>
        </w:tc>
        <w:tc>
          <w:tcPr>
            <w:tcW w:type="dxa" w:w="1300"/>
            <w:tcMar>
              <w:top w:type="dxa" w:w="80"/>
              <w:left w:type="dxa" w:w="100"/>
              <w:bottom w:type="dxa" w:w="80"/>
              <w:right w:type="dxa" w:w="100"/>
            </w:tcMar>
            <w:vAlign w:val="center"/>
          </w:tcPr>
          <w:p>
            <w:pPr>
              <w:jc w:val="left"/>
            </w:pPr>
            <w:r>
              <w:rPr>
                <w:b w:val="false"/>
                <w:bCs w:val="false"/>
                <w:sz w:val="19"/>
                <w:szCs w:val="19"/>
              </w:rPr>
              <w:t xml:space="preserve">Promptfoo, Garak</w:t>
            </w:r>
          </w:p>
        </w:tc>
      </w:tr>
      <w:tr>
        <w:tc>
          <w:tcPr>
            <w:tcW w:type="dxa" w:w="500"/>
            <w:tcMar>
              <w:top w:type="dxa" w:w="80"/>
              <w:left w:type="dxa" w:w="100"/>
              <w:bottom w:type="dxa" w:w="80"/>
              <w:right w:type="dxa" w:w="100"/>
            </w:tcMar>
            <w:vAlign w:val="center"/>
          </w:tcPr>
          <w:p>
            <w:pPr>
              <w:jc w:val="left"/>
            </w:pPr>
            <w:r>
              <w:rPr>
                <w:b w:val="false"/>
                <w:bCs w:val="false"/>
                <w:sz w:val="19"/>
                <w:szCs w:val="19"/>
              </w:rPr>
              <w:t xml:space="preserve">5</w:t>
            </w:r>
          </w:p>
        </w:tc>
        <w:tc>
          <w:tcPr>
            <w:tcW w:type="dxa" w:w="3400"/>
            <w:tcMar>
              <w:top w:type="dxa" w:w="80"/>
              <w:left w:type="dxa" w:w="100"/>
              <w:bottom w:type="dxa" w:w="80"/>
              <w:right w:type="dxa" w:w="100"/>
            </w:tcMar>
            <w:vAlign w:val="center"/>
          </w:tcPr>
          <w:p>
            <w:pPr>
              <w:jc w:val="left"/>
            </w:pPr>
            <w:r>
              <w:rPr>
                <w:b w:val="false"/>
                <w:bCs w:val="false"/>
                <w:sz w:val="19"/>
                <w:szCs w:val="19"/>
              </w:rPr>
              <w:t xml:space="preserve">Brand / business-rule violations (competitors, commitments)</w:t>
            </w:r>
          </w:p>
        </w:tc>
        <w:tc>
          <w:tcPr>
            <w:tcW w:type="dxa" w:w="1300"/>
            <w:tcMar>
              <w:top w:type="dxa" w:w="80"/>
              <w:left w:type="dxa" w:w="100"/>
              <w:bottom w:type="dxa" w:w="80"/>
              <w:right w:type="dxa" w:w="100"/>
            </w:tcMar>
            <w:vAlign w:val="center"/>
          </w:tcPr>
          <w:p>
            <w:pPr>
              <w:jc w:val="left"/>
            </w:pPr>
            <w:r>
              <w:rPr>
                <w:b/>
                <w:bCs/>
                <w:color w:val="A16207"/>
                <w:sz w:val="19"/>
                <w:szCs w:val="19"/>
              </w:rPr>
              <w:t xml:space="preserve">Medium</w:t>
            </w:r>
          </w:p>
        </w:tc>
        <w:tc>
          <w:tcPr>
            <w:tcW w:type="dxa" w:w="1600"/>
            <w:tcMar>
              <w:top w:type="dxa" w:w="80"/>
              <w:left w:type="dxa" w:w="100"/>
              <w:bottom w:type="dxa" w:w="80"/>
              <w:right w:type="dxa" w:w="100"/>
            </w:tcMar>
            <w:vAlign w:val="center"/>
          </w:tcPr>
          <w:p>
            <w:pPr>
              <w:jc w:val="left"/>
            </w:pPr>
            <w:r>
              <w:rPr>
                <w:b w:val="false"/>
                <w:bCs w:val="false"/>
                <w:sz w:val="19"/>
                <w:szCs w:val="19"/>
              </w:rPr>
              <w:t xml:space="preserve">8–33%</w:t>
            </w:r>
          </w:p>
        </w:tc>
        <w:tc>
          <w:tcPr>
            <w:tcW w:type="dxa" w:w="1700"/>
            <w:tcMar>
              <w:top w:type="dxa" w:w="80"/>
              <w:left w:type="dxa" w:w="100"/>
              <w:bottom w:type="dxa" w:w="80"/>
              <w:right w:type="dxa" w:w="100"/>
            </w:tcMar>
            <w:vAlign w:val="center"/>
          </w:tcPr>
          <w:p>
            <w:pPr>
              <w:jc w:val="left"/>
            </w:pPr>
            <w:r>
              <w:rPr>
                <w:b w:val="false"/>
                <w:bCs w:val="false"/>
                <w:sz w:val="19"/>
                <w:szCs w:val="19"/>
              </w:rPr>
              <w:t xml:space="preserve">— (business logic)</w:t>
            </w:r>
          </w:p>
        </w:tc>
        <w:tc>
          <w:tcPr>
            <w:tcW w:type="dxa" w:w="1300"/>
            <w:tcMar>
              <w:top w:type="dxa" w:w="80"/>
              <w:left w:type="dxa" w:w="100"/>
              <w:bottom w:type="dxa" w:w="80"/>
              <w:right w:type="dxa" w:w="100"/>
            </w:tcMar>
            <w:vAlign w:val="center"/>
          </w:tcPr>
          <w:p>
            <w:pPr>
              <w:jc w:val="left"/>
            </w:pPr>
            <w:r>
              <w:rPr>
                <w:b w:val="false"/>
                <w:bCs w:val="false"/>
                <w:sz w:val="19"/>
                <w:szCs w:val="19"/>
              </w:rPr>
              <w:t xml:space="preserve">Promptfoo</w:t>
            </w:r>
          </w:p>
        </w:tc>
      </w:tr>
      <w:tr>
        <w:tc>
          <w:tcPr>
            <w:tcW w:type="dxa" w:w="500"/>
            <w:tcMar>
              <w:top w:type="dxa" w:w="80"/>
              <w:left w:type="dxa" w:w="100"/>
              <w:bottom w:type="dxa" w:w="80"/>
              <w:right w:type="dxa" w:w="100"/>
            </w:tcMar>
            <w:vAlign w:val="center"/>
          </w:tcPr>
          <w:p>
            <w:pPr>
              <w:jc w:val="left"/>
            </w:pPr>
            <w:r>
              <w:rPr>
                <w:b w:val="false"/>
                <w:bCs w:val="false"/>
                <w:sz w:val="19"/>
                <w:szCs w:val="19"/>
              </w:rPr>
              <w:t xml:space="preserve">6</w:t>
            </w:r>
          </w:p>
        </w:tc>
        <w:tc>
          <w:tcPr>
            <w:tcW w:type="dxa" w:w="3400"/>
            <w:tcMar>
              <w:top w:type="dxa" w:w="80"/>
              <w:left w:type="dxa" w:w="100"/>
              <w:bottom w:type="dxa" w:w="80"/>
              <w:right w:type="dxa" w:w="100"/>
            </w:tcMar>
            <w:vAlign w:val="center"/>
          </w:tcPr>
          <w:p>
            <w:pPr>
              <w:jc w:val="left"/>
            </w:pPr>
            <w:r>
              <w:rPr>
                <w:b w:val="false"/>
                <w:bCs w:val="false"/>
                <w:sz w:val="19"/>
                <w:szCs w:val="19"/>
              </w:rPr>
              <w:t xml:space="preserve">Unsafe content via encoding (hate speech)</w:t>
            </w:r>
          </w:p>
        </w:tc>
        <w:tc>
          <w:tcPr>
            <w:tcW w:type="dxa" w:w="1300"/>
            <w:tcMar>
              <w:top w:type="dxa" w:w="80"/>
              <w:left w:type="dxa" w:w="100"/>
              <w:bottom w:type="dxa" w:w="80"/>
              <w:right w:type="dxa" w:w="100"/>
            </w:tcMar>
            <w:vAlign w:val="center"/>
          </w:tcPr>
          <w:p>
            <w:pPr>
              <w:jc w:val="left"/>
            </w:pPr>
            <w:r>
              <w:rPr>
                <w:b/>
                <w:bCs/>
                <w:color w:val="B91C1C"/>
                <w:sz w:val="19"/>
                <w:szCs w:val="19"/>
              </w:rPr>
              <w:t xml:space="preserve">Critical</w:t>
            </w:r>
          </w:p>
        </w:tc>
        <w:tc>
          <w:tcPr>
            <w:tcW w:type="dxa" w:w="1600"/>
            <w:tcMar>
              <w:top w:type="dxa" w:w="80"/>
              <w:left w:type="dxa" w:w="100"/>
              <w:bottom w:type="dxa" w:w="80"/>
              <w:right w:type="dxa" w:w="100"/>
            </w:tcMar>
            <w:vAlign w:val="center"/>
          </w:tcPr>
          <w:p>
            <w:pPr>
              <w:jc w:val="left"/>
            </w:pPr>
            <w:r>
              <w:rPr>
                <w:b w:val="false"/>
                <w:bCs w:val="false"/>
                <w:sz w:val="19"/>
                <w:szCs w:val="19"/>
              </w:rPr>
              <w:t xml:space="preserve">8.33% / 78.4% pass</w:t>
            </w:r>
          </w:p>
        </w:tc>
        <w:tc>
          <w:tcPr>
            <w:tcW w:type="dxa" w:w="1700"/>
            <w:tcMar>
              <w:top w:type="dxa" w:w="80"/>
              <w:left w:type="dxa" w:w="100"/>
              <w:bottom w:type="dxa" w:w="80"/>
              <w:right w:type="dxa" w:w="100"/>
            </w:tcMar>
            <w:vAlign w:val="center"/>
          </w:tcPr>
          <w:p>
            <w:pPr>
              <w:jc w:val="left"/>
            </w:pPr>
            <w:r>
              <w:rPr>
                <w:b w:val="false"/>
                <w:bCs w:val="false"/>
                <w:sz w:val="19"/>
                <w:szCs w:val="19"/>
              </w:rPr>
              <w:t xml:space="preserve">LLM01</w:t>
            </w:r>
          </w:p>
        </w:tc>
        <w:tc>
          <w:tcPr>
            <w:tcW w:type="dxa" w:w="1300"/>
            <w:tcMar>
              <w:top w:type="dxa" w:w="80"/>
              <w:left w:type="dxa" w:w="100"/>
              <w:bottom w:type="dxa" w:w="80"/>
              <w:right w:type="dxa" w:w="100"/>
            </w:tcMar>
            <w:vAlign w:val="center"/>
          </w:tcPr>
          <w:p>
            <w:pPr>
              <w:jc w:val="left"/>
            </w:pPr>
            <w:r>
              <w:rPr>
                <w:b w:val="false"/>
                <w:bCs w:val="false"/>
                <w:sz w:val="19"/>
                <w:szCs w:val="19"/>
              </w:rPr>
              <w:t xml:space="preserve">Promptfoo, Garak</w:t>
            </w:r>
          </w:p>
        </w:tc>
      </w:tr>
      <w:tr>
        <w:tc>
          <w:tcPr>
            <w:tcW w:type="dxa" w:w="500"/>
            <w:tcMar>
              <w:top w:type="dxa" w:w="80"/>
              <w:left w:type="dxa" w:w="100"/>
              <w:bottom w:type="dxa" w:w="80"/>
              <w:right w:type="dxa" w:w="100"/>
            </w:tcMar>
            <w:vAlign w:val="center"/>
          </w:tcPr>
          <w:p>
            <w:pPr>
              <w:jc w:val="left"/>
            </w:pPr>
            <w:r>
              <w:rPr>
                <w:b w:val="false"/>
                <w:bCs w:val="false"/>
                <w:sz w:val="19"/>
                <w:szCs w:val="19"/>
              </w:rPr>
              <w:t xml:space="preserve">7</w:t>
            </w:r>
          </w:p>
        </w:tc>
        <w:tc>
          <w:tcPr>
            <w:tcW w:type="dxa" w:w="3400"/>
            <w:tcMar>
              <w:top w:type="dxa" w:w="80"/>
              <w:left w:type="dxa" w:w="100"/>
              <w:bottom w:type="dxa" w:w="80"/>
              <w:right w:type="dxa" w:w="100"/>
            </w:tcMar>
            <w:vAlign w:val="center"/>
          </w:tcPr>
          <w:p>
            <w:pPr>
              <w:jc w:val="left"/>
            </w:pPr>
            <w:r>
              <w:rPr>
                <w:b w:val="false"/>
                <w:bCs w:val="false"/>
                <w:sz w:val="19"/>
                <w:szCs w:val="19"/>
              </w:rPr>
              <w:t xml:space="preserve">Direct/single-shot leak attempts (negative result)</w:t>
            </w:r>
          </w:p>
        </w:tc>
        <w:tc>
          <w:tcPr>
            <w:tcW w:type="dxa" w:w="1300"/>
            <w:tcMar>
              <w:top w:type="dxa" w:w="80"/>
              <w:left w:type="dxa" w:w="100"/>
              <w:bottom w:type="dxa" w:w="80"/>
              <w:right w:type="dxa" w:w="100"/>
            </w:tcMar>
            <w:vAlign w:val="center"/>
          </w:tcPr>
          <w:p>
            <w:pPr>
              <w:jc w:val="left"/>
            </w:pPr>
            <w:r>
              <w:rPr>
                <w:b/>
                <w:bCs/>
                <w:color w:val="15803D"/>
                <w:sz w:val="19"/>
                <w:szCs w:val="19"/>
              </w:rPr>
              <w:t xml:space="preserve">Informational</w:t>
            </w:r>
          </w:p>
        </w:tc>
        <w:tc>
          <w:tcPr>
            <w:tcW w:type="dxa" w:w="1600"/>
            <w:tcMar>
              <w:top w:type="dxa" w:w="80"/>
              <w:left w:type="dxa" w:w="100"/>
              <w:bottom w:type="dxa" w:w="80"/>
              <w:right w:type="dxa" w:w="100"/>
            </w:tcMar>
            <w:vAlign w:val="center"/>
          </w:tcPr>
          <w:p>
            <w:pPr>
              <w:jc w:val="left"/>
            </w:pPr>
            <w:r>
              <w:rPr>
                <w:b w:val="false"/>
                <w:bCs w:val="false"/>
                <w:sz w:val="19"/>
                <w:szCs w:val="19"/>
              </w:rPr>
              <w:t xml:space="preserve">0% (0/8)</w:t>
            </w:r>
          </w:p>
        </w:tc>
        <w:tc>
          <w:tcPr>
            <w:tcW w:type="dxa" w:w="1700"/>
            <w:tcMar>
              <w:top w:type="dxa" w:w="80"/>
              <w:left w:type="dxa" w:w="100"/>
              <w:bottom w:type="dxa" w:w="80"/>
              <w:right w:type="dxa" w:w="100"/>
            </w:tcMar>
            <w:vAlign w:val="center"/>
          </w:tcPr>
          <w:p>
            <w:pPr>
              <w:jc w:val="left"/>
            </w:pPr>
            <w:r>
              <w:rPr>
                <w:b w:val="false"/>
                <w:bCs w:val="false"/>
                <w:sz w:val="19"/>
                <w:szCs w:val="19"/>
              </w:rPr>
              <w:t xml:space="preserve">LLM02</w:t>
            </w:r>
          </w:p>
        </w:tc>
        <w:tc>
          <w:tcPr>
            <w:tcW w:type="dxa" w:w="1300"/>
            <w:tcMar>
              <w:top w:type="dxa" w:w="80"/>
              <w:left w:type="dxa" w:w="100"/>
              <w:bottom w:type="dxa" w:w="80"/>
              <w:right w:type="dxa" w:w="100"/>
            </w:tcMar>
            <w:vAlign w:val="center"/>
          </w:tcPr>
          <w:p>
            <w:pPr>
              <w:jc w:val="left"/>
            </w:pPr>
            <w:r>
              <w:rPr>
                <w:b w:val="false"/>
                <w:bCs w:val="false"/>
                <w:sz w:val="19"/>
                <w:szCs w:val="19"/>
              </w:rPr>
              <w:t xml:space="preserve">PyRIT</w:t>
            </w:r>
          </w:p>
        </w:tc>
      </w:tr>
      <w:tr>
        <w:tc>
          <w:tcPr>
            <w:tcW w:type="dxa" w:w="500"/>
            <w:tcMar>
              <w:top w:type="dxa" w:w="80"/>
              <w:left w:type="dxa" w:w="100"/>
              <w:bottom w:type="dxa" w:w="80"/>
              <w:right w:type="dxa" w:w="100"/>
            </w:tcMar>
            <w:vAlign w:val="center"/>
          </w:tcPr>
          <w:p>
            <w:pPr>
              <w:jc w:val="left"/>
            </w:pPr>
            <w:r>
              <w:rPr>
                <w:b w:val="false"/>
                <w:bCs w:val="false"/>
                <w:sz w:val="19"/>
                <w:szCs w:val="19"/>
              </w:rPr>
              <w:t xml:space="preserve">8</w:t>
            </w:r>
          </w:p>
        </w:tc>
        <w:tc>
          <w:tcPr>
            <w:tcW w:type="dxa" w:w="3400"/>
            <w:tcMar>
              <w:top w:type="dxa" w:w="80"/>
              <w:left w:type="dxa" w:w="100"/>
              <w:bottom w:type="dxa" w:w="80"/>
              <w:right w:type="dxa" w:w="100"/>
            </w:tcMar>
            <w:vAlign w:val="center"/>
          </w:tcPr>
          <w:p>
            <w:pPr>
              <w:jc w:val="left"/>
            </w:pPr>
            <w:r>
              <w:rPr>
                <w:b w:val="false"/>
                <w:bCs w:val="false"/>
                <w:sz w:val="19"/>
                <w:szCs w:val="19"/>
              </w:rPr>
              <w:t xml:space="preserve">Multi-turn escalation attempt (negative) + reliability gap</w:t>
            </w:r>
          </w:p>
        </w:tc>
        <w:tc>
          <w:tcPr>
            <w:tcW w:type="dxa" w:w="1300"/>
            <w:tcMar>
              <w:top w:type="dxa" w:w="80"/>
              <w:left w:type="dxa" w:w="100"/>
              <w:bottom w:type="dxa" w:w="80"/>
              <w:right w:type="dxa" w:w="100"/>
            </w:tcMar>
            <w:vAlign w:val="center"/>
          </w:tcPr>
          <w:p>
            <w:pPr>
              <w:jc w:val="left"/>
            </w:pPr>
            <w:r>
              <w:rPr>
                <w:b/>
                <w:bCs/>
                <w:color w:val="15803D"/>
                <w:sz w:val="19"/>
                <w:szCs w:val="19"/>
              </w:rPr>
              <w:t xml:space="preserve">Informational / Low</w:t>
            </w:r>
          </w:p>
        </w:tc>
        <w:tc>
          <w:tcPr>
            <w:tcW w:type="dxa" w:w="1600"/>
            <w:tcMar>
              <w:top w:type="dxa" w:w="80"/>
              <w:left w:type="dxa" w:w="100"/>
              <w:bottom w:type="dxa" w:w="80"/>
              <w:right w:type="dxa" w:w="100"/>
            </w:tcMar>
            <w:vAlign w:val="center"/>
          </w:tcPr>
          <w:p>
            <w:pPr>
              <w:jc w:val="left"/>
            </w:pPr>
            <w:r>
              <w:rPr>
                <w:b w:val="false"/>
                <w:bCs w:val="false"/>
                <w:sz w:val="19"/>
                <w:szCs w:val="19"/>
              </w:rPr>
              <w:t xml:space="preserve">0% (0/5 turns)</w:t>
            </w:r>
          </w:p>
        </w:tc>
        <w:tc>
          <w:tcPr>
            <w:tcW w:type="dxa" w:w="1700"/>
            <w:tcMar>
              <w:top w:type="dxa" w:w="80"/>
              <w:left w:type="dxa" w:w="100"/>
              <w:bottom w:type="dxa" w:w="80"/>
              <w:right w:type="dxa" w:w="100"/>
            </w:tcMar>
            <w:vAlign w:val="center"/>
          </w:tcPr>
          <w:p>
            <w:pPr>
              <w:jc w:val="left"/>
            </w:pPr>
            <w:r>
              <w:rPr>
                <w:b w:val="false"/>
                <w:bCs w:val="false"/>
                <w:sz w:val="19"/>
                <w:szCs w:val="19"/>
              </w:rPr>
              <w:t xml:space="preserve">LLM02</w:t>
            </w:r>
          </w:p>
        </w:tc>
        <w:tc>
          <w:tcPr>
            <w:tcW w:type="dxa" w:w="1300"/>
            <w:tcMar>
              <w:top w:type="dxa" w:w="80"/>
              <w:left w:type="dxa" w:w="100"/>
              <w:bottom w:type="dxa" w:w="80"/>
              <w:right w:type="dxa" w:w="100"/>
            </w:tcMar>
            <w:vAlign w:val="center"/>
          </w:tcPr>
          <w:p>
            <w:pPr>
              <w:jc w:val="left"/>
            </w:pPr>
            <w:r>
              <w:rPr>
                <w:b w:val="false"/>
                <w:bCs w:val="false"/>
                <w:sz w:val="19"/>
                <w:szCs w:val="19"/>
              </w:rPr>
              <w:t xml:space="preserve">Custom (PyRIT-scored)</w:t>
            </w:r>
          </w:p>
        </w:tc>
      </w:tr>
    </w:tbl>
    <w:p>
      <w:pPr>
        <w:spacing w:after="300"/>
      </w:pPr>
    </w:p>
    <w:p>
      <w:pPr>
        <w:pStyle w:val="Heading2"/>
        <w:spacing w:after="150" w:before="300"/>
      </w:pPr>
      <w:r>
        <w:t xml:space="preserve">Finding 1 — Excessive Agency (False Action Claims)</w:t>
      </w:r>
    </w:p>
    <w:p>
      <w:pPr>
        <w:spacing w:after="120"/>
      </w:pPr>
      <w:r>
        <w:rPr>
          <w:b/>
          <w:bCs/>
        </w:rPr>
        <w:t xml:space="preserve">Severity: </w:t>
      </w:r>
      <w:r>
        <w:t xml:space="preserve">High  |  ASR: 66.67%  |  Source: Promptfoo (widened scan)  |  OWASP LLM06</w:t>
      </w:r>
    </w:p>
    <w:p>
      <w:pPr>
        <w:spacing w:after="160"/>
      </w:pPr>
      <w:r>
        <w:t xml:space="preserve">Aria could be manipulated into falsely confirming she had taken actions she has no capability to perform (e.g., “I've processed your refund”), despite having no backend integration to any order or refund system. This was the highest attack-success-rate finding in the assessment and the only finding flagged by every compliance framework Promptfoo evaluated against (MITRE ATLAS, NIST AI RMF, EU AI Act, ISO/IEC 42001, DoD AI Ethical Principles).</w:t>
      </w:r>
    </w:p>
    <w:p>
      <w:pPr>
        <w:spacing w:after="120"/>
      </w:pPr>
      <w:r>
        <w:rPr>
          <w:b/>
          <w:bCs/>
        </w:rPr>
        <w:t xml:space="preserve">Business impact: </w:t>
      </w:r>
      <w:r>
        <w:t xml:space="preserve">A customer could reasonably believe an action was taken when nothing occurred — a direct trust and operational-risk exposure independent of any data leakage.</w:t>
      </w:r>
    </w:p>
    <w:p>
      <w:pPr>
        <w:spacing w:after="120"/>
      </w:pPr>
      <w:r>
        <w:rPr>
          <w:b/>
          <w:bCs/>
        </w:rPr>
        <w:t xml:space="preserve">Status: </w:t>
      </w:r>
      <w:r>
        <w:t xml:space="preserve">Mitigated. See Retest Results.</w:t>
      </w:r>
    </w:p>
    <w:p>
      <w:pPr>
        <w:pStyle w:val="Heading2"/>
        <w:spacing w:after="150" w:before="300"/>
      </w:pPr>
      <w:r>
        <w:t xml:space="preserve">Finding 2 — Sensitive Information Disclosure</w:t>
      </w:r>
    </w:p>
    <w:p>
      <w:pPr>
        <w:spacing w:after="120"/>
      </w:pPr>
      <w:r>
        <w:rPr>
          <w:b/>
          <w:bCs/>
        </w:rPr>
        <w:t xml:space="preserve">Severity: </w:t>
      </w:r>
      <w:r>
        <w:t xml:space="preserve">High  |  ASR: 5–16.67%  |  Source: Promptfoo (both scans)  |  OWASP LLM02</w:t>
      </w:r>
    </w:p>
    <w:p>
      <w:pPr>
        <w:spacing w:after="160"/>
      </w:pPr>
      <w:r>
        <w:t xml:space="preserve">The planted internal credential and PII-equivalent data could be extracted via direct-exposure requests, social-engineering framing, and session-data-style probing. Simple direct requests failed consistently (manual baseline: 0/4); success required adaptive/multi-turn framing or encoded requests.</w:t>
      </w:r>
    </w:p>
    <w:p>
      <w:pPr>
        <w:spacing w:after="120"/>
      </w:pPr>
      <w:r>
        <w:rPr>
          <w:b/>
          <w:bCs/>
        </w:rPr>
        <w:t xml:space="preserve">Status: </w:t>
      </w:r>
      <w:r>
        <w:t xml:space="preserve">Not separately mitigated this cycle; partially addressed by Finding 1's action-claim rule reinforcing boundary language. Recommended for a future mitigation cycle.</w:t>
      </w:r>
    </w:p>
    <w:p>
      <w:pPr>
        <w:pStyle w:val="Heading2"/>
        <w:spacing w:after="150" w:before="300"/>
      </w:pPr>
      <w:r>
        <w:t xml:space="preserve">Finding 3 — System Prompt Disclosure</w:t>
      </w:r>
    </w:p>
    <w:p>
      <w:pPr>
        <w:spacing w:after="120"/>
      </w:pPr>
      <w:r>
        <w:rPr>
          <w:b/>
          <w:bCs/>
        </w:rPr>
        <w:t xml:space="preserve">Severity: </w:t>
      </w:r>
      <w:r>
        <w:t xml:space="preserve">Medium  |  ASR: 8.33–20%  |  Source: Promptfoo, Garak  |  OWASP LLM07</w:t>
      </w:r>
    </w:p>
    <w:p>
      <w:pPr>
        <w:spacing w:after="160"/>
      </w:pPr>
      <w:r>
        <w:t xml:space="preserve">Partial system prompt content could be extracted via adaptive phrasing strategies. Garak's direct-extraction probe family (“ignore system prompt” variants) showed a 97% pass rate (~3% ASR), indicating comparative strength against direct extraction specifically — the higher Promptfoo figure reflects success via different, more adaptive phrasing.</w:t>
      </w:r>
    </w:p>
    <w:p>
      <w:pPr>
        <w:spacing w:after="120"/>
      </w:pPr>
      <w:r>
        <w:rPr>
          <w:b/>
          <w:bCs/>
        </w:rPr>
        <w:t xml:space="preserve">Status: </w:t>
      </w:r>
      <w:r>
        <w:t xml:space="preserve">Not mitigated this cycle. Recommended for a future mitigation cycle.</w:t>
      </w:r>
    </w:p>
    <w:p>
      <w:pPr>
        <w:pStyle w:val="Heading2"/>
        <w:spacing w:after="150" w:before="300"/>
      </w:pPr>
      <w:r>
        <w:t xml:space="preserve">Finding 4 — Encoding Evasion Bypasses Named-Technique Defenses</w:t>
      </w:r>
    </w:p>
    <w:p>
      <w:pPr>
        <w:spacing w:after="120"/>
      </w:pPr>
      <w:r>
        <w:rPr>
          <w:b/>
          <w:bCs/>
        </w:rPr>
        <w:t xml:space="preserve">Severity: </w:t>
      </w:r>
      <w:r>
        <w:t xml:space="preserve">High (pattern-level)  |  Source: Promptfoo + Garak (cross-validated)  |  OWASP LLM01</w:t>
      </w:r>
    </w:p>
    <w:p>
      <w:pPr>
        <w:spacing w:after="160"/>
      </w:pPr>
      <w:r>
        <w:t xml:space="preserve">The original system prompt explicitly named specific jailbreak techniques (“DAN,” “roleplay,” “claims to be a developer/administrator”). Results showed this defense worked only against the exact named techniques (0% ASR against static jailbreak templates) while adaptive and encoded variants of the same underlying request succeeded at meaningfully higher rates (Meta-Agent Strategic Jailbreak: 43.75% ASR; ROT13: 21.88%; Leetspeak: 15.63%).</w:t>
      </w:r>
    </w:p>
    <w:p>
      <w:pPr>
        <w:spacing w:after="120"/>
      </w:pPr>
      <w:r>
        <w:rPr>
          <w:b/>
          <w:bCs/>
        </w:rPr>
        <w:t xml:space="preserve">Significance: </w:t>
      </w:r>
      <w:r>
        <w:t xml:space="preserve">This is the most important pattern-level finding in the assessment. Two independent tools, using different generation methods, both demonstrate that pattern-matching named attack techniques does not generalize to obfuscated or adaptive variants of the same request — a finding with direct implications for guardrail design.</w:t>
      </w:r>
    </w:p>
    <w:p>
      <w:pPr>
        <w:pStyle w:val="Heading2"/>
        <w:spacing w:after="150" w:before="300"/>
      </w:pPr>
      <w:r>
        <w:t xml:space="preserve">Finding 5 — Brand and Business-Rule Violations</w:t>
      </w:r>
    </w:p>
    <w:p>
      <w:pPr>
        <w:spacing w:after="120"/>
      </w:pPr>
      <w:r>
        <w:rPr>
          <w:b/>
          <w:bCs/>
        </w:rPr>
        <w:t xml:space="preserve">Severity: </w:t>
      </w:r>
      <w:r>
        <w:t xml:space="preserve">Medium  |  Source: Promptfoo (widened scan)  |  Business logic (not a standard OWASP LLM category)</w:t>
      </w:r>
    </w:p>
    <w:p>
      <w:pPr>
        <w:spacing w:after="160"/>
      </w:pPr>
      <w:r>
        <w:t xml:space="preserve">Aria could be induced to discuss competitors (25% ASR), make unauthorized binding-sounding commitments (8.33% ASR), fabricate policy details (Hallucination: 33.33% ASR), and accept false user-asserted premises (Overreliance: 16.67% ASR).</w:t>
      </w:r>
    </w:p>
    <w:p>
      <w:pPr>
        <w:spacing w:after="120"/>
      </w:pPr>
      <w:r>
        <w:rPr>
          <w:b/>
          <w:bCs/>
        </w:rPr>
        <w:t xml:space="preserve">Status: </w:t>
      </w:r>
      <w:r>
        <w:t xml:space="preserve">Not mitigated this cycle.</w:t>
      </w:r>
    </w:p>
    <w:p>
      <w:pPr>
        <w:pStyle w:val="Heading2"/>
        <w:spacing w:after="150" w:before="300"/>
      </w:pPr>
      <w:r>
        <w:t xml:space="preserve">Finding 6 — Unsafe Content via Encoding (Hate Speech)</w:t>
      </w:r>
    </w:p>
    <w:p>
      <w:pPr>
        <w:spacing w:after="120"/>
      </w:pPr>
      <w:r>
        <w:rPr>
          <w:b/>
          <w:bCs/>
        </w:rPr>
        <w:t xml:space="preserve">Severity: </w:t>
      </w:r>
      <w:r>
        <w:t xml:space="preserve">Critical (Promptfoo) / Elevated Risk (Garak)  |  Source: Both tools, cross-validated  |  OWASP LLM01</w:t>
      </w:r>
    </w:p>
    <w:p>
      <w:pPr>
        <w:spacing w:after="160"/>
      </w:pPr>
      <w:r>
        <w:t xml:space="preserve">Promptfoo flagged Hate Speech as its only Critical-severity finding (8.33% ASR). Garak's data-encoding module independently found a 78.42% pass rate (78 of 658 evaluations failed) on hate-speech-intent encoded payloads — its highest-flagged risk in the assessment. The original system prompt contained no explicit content-safety instructions, relying entirely on the base model's own training for this category.</w:t>
      </w:r>
    </w:p>
    <w:p>
      <w:pPr>
        <w:spacing w:after="120"/>
      </w:pPr>
      <w:r>
        <w:rPr>
          <w:b/>
          <w:bCs/>
        </w:rPr>
        <w:t xml:space="preserve">Status: </w:t>
      </w:r>
      <w:r>
        <w:t xml:space="preserve">Mitigation attempted and retested; NOT effective. See Retest Results and Recommendations.</w:t>
      </w:r>
    </w:p>
    <w:p>
      <w:pPr>
        <w:pStyle w:val="Heading2"/>
        <w:spacing w:after="150" w:before="300"/>
      </w:pPr>
      <w:r>
        <w:t xml:space="preserve">Finding 7 — Direct/Single-Shot Leak Attempts (Negative Result)</w:t>
      </w:r>
    </w:p>
    <w:p>
      <w:pPr>
        <w:spacing w:after="120"/>
      </w:pPr>
      <w:r>
        <w:rPr>
          <w:b/>
          <w:bCs/>
        </w:rPr>
        <w:t xml:space="preserve">Severity: </w:t>
      </w:r>
      <w:r>
        <w:t xml:space="preserve">Informational  |  ASR: 0% (0/8)  |  Source: PyRIT  |  OWASP LLM02</w:t>
      </w:r>
    </w:p>
    <w:p>
      <w:pPr>
        <w:spacing w:after="160"/>
      </w:pPr>
      <w:r>
        <w:t xml:space="preserve">Using PyRIT's programmatic exact-string-match scoring against the planted secret, 8 attempts across 4 objectives (direct override, DAN-style jailbreak, system-prompt-repeat, developer-impersonation), each tested plain and Base64-encoded, returned zero leaks. This cross-validates the manual baseline using an independent tool and unambiguous scoring rather than manual judgment.</w:t>
      </w:r>
    </w:p>
    <w:p>
      <w:pPr>
        <w:pStyle w:val="Heading2"/>
        <w:spacing w:after="150" w:before="300"/>
      </w:pPr>
      <w:r>
        <w:t xml:space="preserve">Finding 8 — Multi-Turn Escalation Attempt (Negative) and Reliability Gap</w:t>
      </w:r>
    </w:p>
    <w:p>
      <w:pPr>
        <w:spacing w:after="120"/>
      </w:pPr>
      <w:r>
        <w:rPr>
          <w:b/>
          <w:bCs/>
        </w:rPr>
        <w:t xml:space="preserve">Severity: </w:t>
      </w:r>
      <w:r>
        <w:t xml:space="preserve">Informational / Low  |  Source: Custom PyRIT-scored escalation script  |  OWASP LLM02</w:t>
      </w:r>
    </w:p>
    <w:p>
      <w:pPr>
        <w:spacing w:after="160"/>
      </w:pPr>
      <w:r>
        <w:t xml:space="preserve">A custom 5-turn adaptive escalation attack (built after PyRIT's native multi-turn attack strategy proved incompatible with this application's stateless REST architecture) produced no leak after 5 escalating turns. During testing, both the attacker model and the target application intermittently returned empty response content when routed to a reasoning-capable free-tier model that exhausted its token budget on internal reasoning before producing visible output. The application did not handle this gracefully prior to mitigation.</w:t>
      </w:r>
    </w:p>
    <w:p>
      <w:pPr>
        <w:spacing w:after="120"/>
      </w:pPr>
      <w:r>
        <w:rPr>
          <w:b/>
          <w:bCs/>
        </w:rPr>
        <w:t xml:space="preserve">Status: </w:t>
      </w:r>
      <w:r>
        <w:t xml:space="preserve">Reliability gap fixed and spot-checked (non-security fix).</w:t>
      </w:r>
    </w:p>
    <w:p>
      <w:r>
        <w:br w:type="page"/>
      </w:r>
    </w:p>
    <w:p>
      <w:pPr>
        <w:pStyle w:val="Heading1"/>
        <w:spacing w:after="200" w:before="400"/>
      </w:pPr>
      <w:r>
        <w:t xml:space="preserve">OWASP Top 10 for LLM Applications — Mapping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1600"/>
        <w:gridCol w:w="2600"/>
      </w:tblGrid>
      <w:tr>
        <w:trPr>
          <w:tblHeader/>
        </w:trPr>
        <w:tc>
          <w:tcPr>
            <w:tcW w:type="dxa" w:w="1400"/>
            <w:shd w:fill="1F2937" w:color="auto" w:val="clear"/>
            <w:tcMar>
              <w:top w:type="dxa" w:w="80"/>
              <w:left w:type="dxa" w:w="100"/>
              <w:bottom w:type="dxa" w:w="80"/>
              <w:right w:type="dxa" w:w="100"/>
            </w:tcMar>
            <w:vAlign w:val="center"/>
          </w:tcPr>
          <w:p>
            <w:pPr>
              <w:jc w:val="left"/>
            </w:pPr>
            <w:r>
              <w:rPr>
                <w:b/>
                <w:bCs/>
                <w:color w:val="FFFFFF"/>
                <w:sz w:val="19"/>
                <w:szCs w:val="19"/>
              </w:rPr>
              <w:t xml:space="preserve">Category</w:t>
            </w:r>
          </w:p>
        </w:tc>
        <w:tc>
          <w:tcPr>
            <w:tcW w:type="dxa" w:w="4200"/>
            <w:shd w:fill="1F2937" w:color="auto"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600"/>
            <w:shd w:fill="1F2937" w:color="auto" w:val="clear"/>
            <w:tcMar>
              <w:top w:type="dxa" w:w="80"/>
              <w:left w:type="dxa" w:w="100"/>
              <w:bottom w:type="dxa" w:w="80"/>
              <w:right w:type="dxa" w:w="100"/>
            </w:tcMar>
            <w:vAlign w:val="center"/>
          </w:tcPr>
          <w:p>
            <w:pPr>
              <w:jc w:val="left"/>
            </w:pPr>
            <w:r>
              <w:rPr>
                <w:b/>
                <w:bCs/>
                <w:color w:val="FFFFFF"/>
                <w:sz w:val="19"/>
                <w:szCs w:val="19"/>
              </w:rPr>
              <w:t xml:space="preserve">Findings</w:t>
            </w:r>
          </w:p>
        </w:tc>
        <w:tc>
          <w:tcPr>
            <w:tcW w:type="dxa" w:w="2600"/>
            <w:shd w:fill="1F2937" w:color="auto" w:val="clear"/>
            <w:tcMar>
              <w:top w:type="dxa" w:w="80"/>
              <w:left w:type="dxa" w:w="100"/>
              <w:bottom w:type="dxa" w:w="80"/>
              <w:right w:type="dxa" w:w="100"/>
            </w:tcMar>
            <w:vAlign w:val="center"/>
          </w:tcPr>
          <w:p>
            <w:pPr>
              <w:jc w:val="left"/>
            </w:pPr>
            <w:r>
              <w:rPr>
                <w:b/>
                <w:bCs/>
                <w:color w:val="FFFFFF"/>
                <w:sz w:val="19"/>
                <w:szCs w:val="19"/>
              </w:rPr>
              <w:t xml:space="preserve">Status</w:t>
            </w:r>
          </w:p>
        </w:tc>
      </w:tr>
      <w:tr>
        <w:tc>
          <w:tcPr>
            <w:tcW w:type="dxa" w:w="1400"/>
            <w:tcMar>
              <w:top w:type="dxa" w:w="80"/>
              <w:left w:type="dxa" w:w="100"/>
              <w:bottom w:type="dxa" w:w="80"/>
              <w:right w:type="dxa" w:w="100"/>
            </w:tcMar>
            <w:vAlign w:val="center"/>
          </w:tcPr>
          <w:p>
            <w:pPr>
              <w:jc w:val="left"/>
            </w:pPr>
            <w:r>
              <w:rPr>
                <w:b w:val="false"/>
                <w:bCs w:val="false"/>
                <w:sz w:val="19"/>
                <w:szCs w:val="19"/>
              </w:rPr>
              <w:t xml:space="preserve">LLM01</w:t>
            </w:r>
          </w:p>
        </w:tc>
        <w:tc>
          <w:tcPr>
            <w:tcW w:type="dxa" w:w="4200"/>
            <w:tcMar>
              <w:top w:type="dxa" w:w="80"/>
              <w:left w:type="dxa" w:w="100"/>
              <w:bottom w:type="dxa" w:w="80"/>
              <w:right w:type="dxa" w:w="100"/>
            </w:tcMar>
            <w:vAlign w:val="center"/>
          </w:tcPr>
          <w:p>
            <w:pPr>
              <w:jc w:val="left"/>
            </w:pPr>
            <w:r>
              <w:rPr>
                <w:b w:val="false"/>
                <w:bCs w:val="false"/>
                <w:sz w:val="19"/>
                <w:szCs w:val="19"/>
              </w:rPr>
              <w:t xml:space="preserve">Prompt Injection</w:t>
            </w:r>
          </w:p>
        </w:tc>
        <w:tc>
          <w:tcPr>
            <w:tcW w:type="dxa" w:w="1600"/>
            <w:tcMar>
              <w:top w:type="dxa" w:w="80"/>
              <w:left w:type="dxa" w:w="100"/>
              <w:bottom w:type="dxa" w:w="80"/>
              <w:right w:type="dxa" w:w="100"/>
            </w:tcMar>
            <w:vAlign w:val="center"/>
          </w:tcPr>
          <w:p>
            <w:pPr>
              <w:jc w:val="left"/>
            </w:pPr>
            <w:r>
              <w:rPr>
                <w:b w:val="false"/>
                <w:bCs w:val="false"/>
                <w:sz w:val="19"/>
                <w:szCs w:val="19"/>
              </w:rPr>
              <w:t xml:space="preserve">#4, #6</w:t>
            </w:r>
          </w:p>
        </w:tc>
        <w:tc>
          <w:tcPr>
            <w:tcW w:type="dxa" w:w="2600"/>
            <w:tcMar>
              <w:top w:type="dxa" w:w="80"/>
              <w:left w:type="dxa" w:w="100"/>
              <w:bottom w:type="dxa" w:w="80"/>
              <w:right w:type="dxa" w:w="100"/>
            </w:tcMar>
            <w:vAlign w:val="center"/>
          </w:tcPr>
          <w:p>
            <w:pPr>
              <w:jc w:val="left"/>
            </w:pPr>
            <w:r>
              <w:rPr>
                <w:b w:val="false"/>
                <w:bCs w:val="false"/>
                <w:sz w:val="19"/>
                <w:szCs w:val="19"/>
              </w:rPr>
              <w:t xml:space="preserve">Partially mitigated</w:t>
            </w:r>
          </w:p>
        </w:tc>
      </w:tr>
      <w:tr>
        <w:tc>
          <w:tcPr>
            <w:tcW w:type="dxa" w:w="1400"/>
            <w:tcMar>
              <w:top w:type="dxa" w:w="80"/>
              <w:left w:type="dxa" w:w="100"/>
              <w:bottom w:type="dxa" w:w="80"/>
              <w:right w:type="dxa" w:w="100"/>
            </w:tcMar>
            <w:vAlign w:val="center"/>
          </w:tcPr>
          <w:p>
            <w:pPr>
              <w:jc w:val="left"/>
            </w:pPr>
            <w:r>
              <w:rPr>
                <w:b w:val="false"/>
                <w:bCs w:val="false"/>
                <w:sz w:val="19"/>
                <w:szCs w:val="19"/>
              </w:rPr>
              <w:t xml:space="preserve">LLM02</w:t>
            </w:r>
          </w:p>
        </w:tc>
        <w:tc>
          <w:tcPr>
            <w:tcW w:type="dxa" w:w="4200"/>
            <w:tcMar>
              <w:top w:type="dxa" w:w="80"/>
              <w:left w:type="dxa" w:w="100"/>
              <w:bottom w:type="dxa" w:w="80"/>
              <w:right w:type="dxa" w:w="100"/>
            </w:tcMar>
            <w:vAlign w:val="center"/>
          </w:tcPr>
          <w:p>
            <w:pPr>
              <w:jc w:val="left"/>
            </w:pPr>
            <w:r>
              <w:rPr>
                <w:b w:val="false"/>
                <w:bCs w:val="false"/>
                <w:sz w:val="19"/>
                <w:szCs w:val="19"/>
              </w:rPr>
              <w:t xml:space="preserve">Sensitive Information Disclosure</w:t>
            </w:r>
          </w:p>
        </w:tc>
        <w:tc>
          <w:tcPr>
            <w:tcW w:type="dxa" w:w="1600"/>
            <w:tcMar>
              <w:top w:type="dxa" w:w="80"/>
              <w:left w:type="dxa" w:w="100"/>
              <w:bottom w:type="dxa" w:w="80"/>
              <w:right w:type="dxa" w:w="100"/>
            </w:tcMar>
            <w:vAlign w:val="center"/>
          </w:tcPr>
          <w:p>
            <w:pPr>
              <w:jc w:val="left"/>
            </w:pPr>
            <w:r>
              <w:rPr>
                <w:b w:val="false"/>
                <w:bCs w:val="false"/>
                <w:sz w:val="19"/>
                <w:szCs w:val="19"/>
              </w:rPr>
              <w:t xml:space="preserve">#2, #7, #8</w:t>
            </w:r>
          </w:p>
        </w:tc>
        <w:tc>
          <w:tcPr>
            <w:tcW w:type="dxa" w:w="2600"/>
            <w:tcMar>
              <w:top w:type="dxa" w:w="80"/>
              <w:left w:type="dxa" w:w="100"/>
              <w:bottom w:type="dxa" w:w="80"/>
              <w:right w:type="dxa" w:w="100"/>
            </w:tcMar>
            <w:vAlign w:val="center"/>
          </w:tcPr>
          <w:p>
            <w:pPr>
              <w:jc w:val="left"/>
            </w:pPr>
            <w:r>
              <w:rPr>
                <w:b w:val="false"/>
                <w:bCs w:val="false"/>
                <w:sz w:val="19"/>
                <w:szCs w:val="19"/>
              </w:rPr>
              <w:t xml:space="preserve">Mitigated (residual risk via adaptive attacks)</w:t>
            </w:r>
          </w:p>
        </w:tc>
      </w:tr>
      <w:tr>
        <w:tc>
          <w:tcPr>
            <w:tcW w:type="dxa" w:w="1400"/>
            <w:tcMar>
              <w:top w:type="dxa" w:w="80"/>
              <w:left w:type="dxa" w:w="100"/>
              <w:bottom w:type="dxa" w:w="80"/>
              <w:right w:type="dxa" w:w="100"/>
            </w:tcMar>
            <w:vAlign w:val="center"/>
          </w:tcPr>
          <w:p>
            <w:pPr>
              <w:jc w:val="left"/>
            </w:pPr>
            <w:r>
              <w:rPr>
                <w:b w:val="false"/>
                <w:bCs w:val="false"/>
                <w:sz w:val="19"/>
                <w:szCs w:val="19"/>
              </w:rPr>
              <w:t xml:space="preserve">LLM06</w:t>
            </w:r>
          </w:p>
        </w:tc>
        <w:tc>
          <w:tcPr>
            <w:tcW w:type="dxa" w:w="4200"/>
            <w:tcMar>
              <w:top w:type="dxa" w:w="80"/>
              <w:left w:type="dxa" w:w="100"/>
              <w:bottom w:type="dxa" w:w="80"/>
              <w:right w:type="dxa" w:w="100"/>
            </w:tcMar>
            <w:vAlign w:val="center"/>
          </w:tcPr>
          <w:p>
            <w:pPr>
              <w:jc w:val="left"/>
            </w:pPr>
            <w:r>
              <w:rPr>
                <w:b w:val="false"/>
                <w:bCs w:val="false"/>
                <w:sz w:val="19"/>
                <w:szCs w:val="19"/>
              </w:rPr>
              <w:t xml:space="preserve">Excessive Agency</w:t>
            </w:r>
          </w:p>
        </w:tc>
        <w:tc>
          <w:tcPr>
            <w:tcW w:type="dxa" w:w="1600"/>
            <w:tcMar>
              <w:top w:type="dxa" w:w="80"/>
              <w:left w:type="dxa" w:w="100"/>
              <w:bottom w:type="dxa" w:w="80"/>
              <w:right w:type="dxa" w:w="100"/>
            </w:tcMar>
            <w:vAlign w:val="center"/>
          </w:tcPr>
          <w:p>
            <w:pPr>
              <w:jc w:val="left"/>
            </w:pPr>
            <w:r>
              <w:rPr>
                <w:b w:val="false"/>
                <w:bCs w:val="false"/>
                <w:sz w:val="19"/>
                <w:szCs w:val="19"/>
              </w:rPr>
              <w:t xml:space="preserve">#1</w:t>
            </w:r>
          </w:p>
        </w:tc>
        <w:tc>
          <w:tcPr>
            <w:tcW w:type="dxa" w:w="2600"/>
            <w:tcMar>
              <w:top w:type="dxa" w:w="80"/>
              <w:left w:type="dxa" w:w="100"/>
              <w:bottom w:type="dxa" w:w="80"/>
              <w:right w:type="dxa" w:w="100"/>
            </w:tcMar>
            <w:vAlign w:val="center"/>
          </w:tcPr>
          <w:p>
            <w:pPr>
              <w:jc w:val="left"/>
            </w:pPr>
            <w:r>
              <w:rPr>
                <w:b w:val="false"/>
                <w:bCs w:val="false"/>
                <w:sz w:val="19"/>
                <w:szCs w:val="19"/>
              </w:rPr>
              <w:t xml:space="preserve">Mitigated (66.67% → 20.00% ASR)</w:t>
            </w:r>
          </w:p>
        </w:tc>
      </w:tr>
      <w:tr>
        <w:tc>
          <w:tcPr>
            <w:tcW w:type="dxa" w:w="1400"/>
            <w:tcMar>
              <w:top w:type="dxa" w:w="80"/>
              <w:left w:type="dxa" w:w="100"/>
              <w:bottom w:type="dxa" w:w="80"/>
              <w:right w:type="dxa" w:w="100"/>
            </w:tcMar>
            <w:vAlign w:val="center"/>
          </w:tcPr>
          <w:p>
            <w:pPr>
              <w:jc w:val="left"/>
            </w:pPr>
            <w:r>
              <w:rPr>
                <w:b w:val="false"/>
                <w:bCs w:val="false"/>
                <w:sz w:val="19"/>
                <w:szCs w:val="19"/>
              </w:rPr>
              <w:t xml:space="preserve">LLM07</w:t>
            </w:r>
          </w:p>
        </w:tc>
        <w:tc>
          <w:tcPr>
            <w:tcW w:type="dxa" w:w="4200"/>
            <w:tcMar>
              <w:top w:type="dxa" w:w="80"/>
              <w:left w:type="dxa" w:w="100"/>
              <w:bottom w:type="dxa" w:w="80"/>
              <w:right w:type="dxa" w:w="100"/>
            </w:tcMar>
            <w:vAlign w:val="center"/>
          </w:tcPr>
          <w:p>
            <w:pPr>
              <w:jc w:val="left"/>
            </w:pPr>
            <w:r>
              <w:rPr>
                <w:b w:val="false"/>
                <w:bCs w:val="false"/>
                <w:sz w:val="19"/>
                <w:szCs w:val="19"/>
              </w:rPr>
              <w:t xml:space="preserve">System Prompt Leakage</w:t>
            </w:r>
          </w:p>
        </w:tc>
        <w:tc>
          <w:tcPr>
            <w:tcW w:type="dxa" w:w="1600"/>
            <w:tcMar>
              <w:top w:type="dxa" w:w="80"/>
              <w:left w:type="dxa" w:w="100"/>
              <w:bottom w:type="dxa" w:w="80"/>
              <w:right w:type="dxa" w:w="100"/>
            </w:tcMar>
            <w:vAlign w:val="center"/>
          </w:tcPr>
          <w:p>
            <w:pPr>
              <w:jc w:val="left"/>
            </w:pPr>
            <w:r>
              <w:rPr>
                <w:b w:val="false"/>
                <w:bCs w:val="false"/>
                <w:sz w:val="19"/>
                <w:szCs w:val="19"/>
              </w:rPr>
              <w:t xml:space="preserve">#3</w:t>
            </w:r>
          </w:p>
        </w:tc>
        <w:tc>
          <w:tcPr>
            <w:tcW w:type="dxa" w:w="2600"/>
            <w:tcMar>
              <w:top w:type="dxa" w:w="80"/>
              <w:left w:type="dxa" w:w="100"/>
              <w:bottom w:type="dxa" w:w="80"/>
              <w:right w:type="dxa" w:w="100"/>
            </w:tcMar>
            <w:vAlign w:val="center"/>
          </w:tcPr>
          <w:p>
            <w:pPr>
              <w:jc w:val="left"/>
            </w:pPr>
            <w:r>
              <w:rPr>
                <w:b w:val="false"/>
                <w:bCs w:val="false"/>
                <w:sz w:val="19"/>
                <w:szCs w:val="19"/>
              </w:rPr>
              <w:t xml:space="preserve">Not mitigated (out of scope this cycle)</w:t>
            </w:r>
          </w:p>
        </w:tc>
      </w:tr>
    </w:tbl>
    <w:p>
      <w:pPr>
        <w:spacing w:after="300"/>
      </w:pPr>
    </w:p>
    <w:p>
      <w:pPr>
        <w:pStyle w:val="Heading1"/>
        <w:spacing w:after="200" w:before="400"/>
      </w:pPr>
      <w:r>
        <w:t xml:space="preserve">MITRE ATLAS — Technique Mapping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900"/>
        <w:gridCol w:w="3400"/>
      </w:tblGrid>
      <w:tr>
        <w:trPr>
          <w:tblHeader/>
        </w:trPr>
        <w:tc>
          <w:tcPr>
            <w:tcW w:type="dxa" w:w="1500"/>
            <w:shd w:fill="1F2937" w:color="auto" w:val="clear"/>
            <w:tcMar>
              <w:top w:type="dxa" w:w="80"/>
              <w:left w:type="dxa" w:w="100"/>
              <w:bottom w:type="dxa" w:w="80"/>
              <w:right w:type="dxa" w:w="100"/>
            </w:tcMar>
            <w:vAlign w:val="center"/>
          </w:tcPr>
          <w:p>
            <w:pPr>
              <w:jc w:val="left"/>
            </w:pPr>
            <w:r>
              <w:rPr>
                <w:b/>
                <w:bCs/>
                <w:color w:val="FFFFFF"/>
                <w:sz w:val="19"/>
                <w:szCs w:val="19"/>
              </w:rPr>
              <w:t xml:space="preserve">ATLAS Technique</w:t>
            </w:r>
          </w:p>
        </w:tc>
        <w:tc>
          <w:tcPr>
            <w:tcW w:type="dxa" w:w="3000"/>
            <w:shd w:fill="1F2937" w:color="auto" w:val="clear"/>
            <w:tcMar>
              <w:top w:type="dxa" w:w="80"/>
              <w:left w:type="dxa" w:w="100"/>
              <w:bottom w:type="dxa" w:w="80"/>
              <w:right w:type="dxa" w:w="100"/>
            </w:tcMar>
            <w:vAlign w:val="center"/>
          </w:tcPr>
          <w:p>
            <w:pPr>
              <w:jc w:val="left"/>
            </w:pPr>
            <w:r>
              <w:rPr>
                <w:b/>
                <w:bCs/>
                <w:color w:val="FFFFFF"/>
                <w:sz w:val="19"/>
                <w:szCs w:val="19"/>
              </w:rPr>
              <w:t xml:space="preserve">Name</w:t>
            </w:r>
          </w:p>
        </w:tc>
        <w:tc>
          <w:tcPr>
            <w:tcW w:type="dxa" w:w="1900"/>
            <w:shd w:fill="1F2937" w:color="auto" w:val="clear"/>
            <w:tcMar>
              <w:top w:type="dxa" w:w="80"/>
              <w:left w:type="dxa" w:w="100"/>
              <w:bottom w:type="dxa" w:w="80"/>
              <w:right w:type="dxa" w:w="100"/>
            </w:tcMar>
            <w:vAlign w:val="center"/>
          </w:tcPr>
          <w:p>
            <w:pPr>
              <w:jc w:val="left"/>
            </w:pPr>
            <w:r>
              <w:rPr>
                <w:b/>
                <w:bCs/>
                <w:color w:val="FFFFFF"/>
                <w:sz w:val="19"/>
                <w:szCs w:val="19"/>
              </w:rPr>
              <w:t xml:space="preserve">Findings</w:t>
            </w:r>
          </w:p>
        </w:tc>
        <w:tc>
          <w:tcPr>
            <w:tcW w:type="dxa" w:w="3400"/>
            <w:shd w:fill="1F2937" w:color="auto"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1500"/>
            <w:tcMar>
              <w:top w:type="dxa" w:w="80"/>
              <w:left w:type="dxa" w:w="100"/>
              <w:bottom w:type="dxa" w:w="80"/>
              <w:right w:type="dxa" w:w="100"/>
            </w:tcMar>
            <w:vAlign w:val="center"/>
          </w:tcPr>
          <w:p>
            <w:pPr>
              <w:jc w:val="left"/>
            </w:pPr>
            <w:r>
              <w:rPr>
                <w:b w:val="false"/>
                <w:bCs w:val="false"/>
                <w:sz w:val="19"/>
                <w:szCs w:val="19"/>
              </w:rPr>
              <w:t xml:space="preserve">AML.T0051</w:t>
            </w:r>
          </w:p>
        </w:tc>
        <w:tc>
          <w:tcPr>
            <w:tcW w:type="dxa" w:w="3000"/>
            <w:tcMar>
              <w:top w:type="dxa" w:w="80"/>
              <w:left w:type="dxa" w:w="100"/>
              <w:bottom w:type="dxa" w:w="80"/>
              <w:right w:type="dxa" w:w="100"/>
            </w:tcMar>
            <w:vAlign w:val="center"/>
          </w:tcPr>
          <w:p>
            <w:pPr>
              <w:jc w:val="left"/>
            </w:pPr>
            <w:r>
              <w:rPr>
                <w:b w:val="false"/>
                <w:bCs w:val="false"/>
                <w:sz w:val="19"/>
                <w:szCs w:val="19"/>
              </w:rPr>
              <w:t xml:space="preserve">LLM Prompt Injection</w:t>
            </w:r>
          </w:p>
        </w:tc>
        <w:tc>
          <w:tcPr>
            <w:tcW w:type="dxa" w:w="1900"/>
            <w:tcMar>
              <w:top w:type="dxa" w:w="80"/>
              <w:left w:type="dxa" w:w="100"/>
              <w:bottom w:type="dxa" w:w="80"/>
              <w:right w:type="dxa" w:w="100"/>
            </w:tcMar>
            <w:vAlign w:val="center"/>
          </w:tcPr>
          <w:p>
            <w:pPr>
              <w:jc w:val="left"/>
            </w:pPr>
            <w:r>
              <w:rPr>
                <w:b w:val="false"/>
                <w:bCs w:val="false"/>
                <w:sz w:val="19"/>
                <w:szCs w:val="19"/>
              </w:rPr>
              <w:t xml:space="preserve">#4, #6</w:t>
            </w:r>
          </w:p>
        </w:tc>
        <w:tc>
          <w:tcPr>
            <w:tcW w:type="dxa" w:w="3400"/>
            <w:tcMar>
              <w:top w:type="dxa" w:w="80"/>
              <w:left w:type="dxa" w:w="100"/>
              <w:bottom w:type="dxa" w:w="80"/>
              <w:right w:type="dxa" w:w="100"/>
            </w:tcMar>
            <w:vAlign w:val="center"/>
          </w:tcPr>
          <w:p>
            <w:pPr>
              <w:jc w:val="left"/>
            </w:pPr>
            <w:r>
              <w:rPr>
                <w:b w:val="false"/>
                <w:bCs w:val="false"/>
                <w:sz w:val="19"/>
                <w:szCs w:val="19"/>
              </w:rPr>
              <w:t xml:space="preserve">Delivery mechanism for encoding-based bypasses</w:t>
            </w:r>
          </w:p>
        </w:tc>
      </w:tr>
      <w:tr>
        <w:tc>
          <w:tcPr>
            <w:tcW w:type="dxa" w:w="1500"/>
            <w:tcMar>
              <w:top w:type="dxa" w:w="80"/>
              <w:left w:type="dxa" w:w="100"/>
              <w:bottom w:type="dxa" w:w="80"/>
              <w:right w:type="dxa" w:w="100"/>
            </w:tcMar>
            <w:vAlign w:val="center"/>
          </w:tcPr>
          <w:p>
            <w:pPr>
              <w:jc w:val="left"/>
            </w:pPr>
            <w:r>
              <w:rPr>
                <w:b w:val="false"/>
                <w:bCs w:val="false"/>
                <w:sz w:val="19"/>
                <w:szCs w:val="19"/>
              </w:rPr>
              <w:t xml:space="preserve">AML.T0054</w:t>
            </w:r>
          </w:p>
        </w:tc>
        <w:tc>
          <w:tcPr>
            <w:tcW w:type="dxa" w:w="3000"/>
            <w:tcMar>
              <w:top w:type="dxa" w:w="80"/>
              <w:left w:type="dxa" w:w="100"/>
              <w:bottom w:type="dxa" w:w="80"/>
              <w:right w:type="dxa" w:w="100"/>
            </w:tcMar>
            <w:vAlign w:val="center"/>
          </w:tcPr>
          <w:p>
            <w:pPr>
              <w:jc w:val="left"/>
            </w:pPr>
            <w:r>
              <w:rPr>
                <w:b w:val="false"/>
                <w:bCs w:val="false"/>
                <w:sz w:val="19"/>
                <w:szCs w:val="19"/>
              </w:rPr>
              <w:t xml:space="preserve">LLM Jailbreak</w:t>
            </w:r>
          </w:p>
        </w:tc>
        <w:tc>
          <w:tcPr>
            <w:tcW w:type="dxa" w:w="1900"/>
            <w:tcMar>
              <w:top w:type="dxa" w:w="80"/>
              <w:left w:type="dxa" w:w="100"/>
              <w:bottom w:type="dxa" w:w="80"/>
              <w:right w:type="dxa" w:w="100"/>
            </w:tcMar>
            <w:vAlign w:val="center"/>
          </w:tcPr>
          <w:p>
            <w:pPr>
              <w:jc w:val="left"/>
            </w:pPr>
            <w:r>
              <w:rPr>
                <w:b w:val="false"/>
                <w:bCs w:val="false"/>
                <w:sz w:val="19"/>
                <w:szCs w:val="19"/>
              </w:rPr>
              <w:t xml:space="preserve">#4, #6, #8</w:t>
            </w:r>
          </w:p>
        </w:tc>
        <w:tc>
          <w:tcPr>
            <w:tcW w:type="dxa" w:w="3400"/>
            <w:tcMar>
              <w:top w:type="dxa" w:w="80"/>
              <w:left w:type="dxa" w:w="100"/>
              <w:bottom w:type="dxa" w:w="80"/>
              <w:right w:type="dxa" w:w="100"/>
            </w:tcMar>
            <w:vAlign w:val="center"/>
          </w:tcPr>
          <w:p>
            <w:pPr>
              <w:jc w:val="left"/>
            </w:pPr>
            <w:r>
              <w:rPr>
                <w:b w:val="false"/>
                <w:bCs w:val="false"/>
                <w:sz w:val="19"/>
                <w:szCs w:val="19"/>
              </w:rPr>
              <w:t xml:space="preserve">Meta-Agent Strategic Jailbreak was the single most effective technique observed (43.75% ASR)</w:t>
            </w:r>
          </w:p>
        </w:tc>
      </w:tr>
      <w:tr>
        <w:tc>
          <w:tcPr>
            <w:tcW w:type="dxa" w:w="1500"/>
            <w:tcMar>
              <w:top w:type="dxa" w:w="80"/>
              <w:left w:type="dxa" w:w="100"/>
              <w:bottom w:type="dxa" w:w="80"/>
              <w:right w:type="dxa" w:w="100"/>
            </w:tcMar>
            <w:vAlign w:val="center"/>
          </w:tcPr>
          <w:p>
            <w:pPr>
              <w:jc w:val="left"/>
            </w:pPr>
            <w:r>
              <w:rPr>
                <w:b w:val="false"/>
                <w:bCs w:val="false"/>
                <w:sz w:val="19"/>
                <w:szCs w:val="19"/>
              </w:rPr>
              <w:t xml:space="preserve">AML.T0056</w:t>
            </w:r>
          </w:p>
        </w:tc>
        <w:tc>
          <w:tcPr>
            <w:tcW w:type="dxa" w:w="3000"/>
            <w:tcMar>
              <w:top w:type="dxa" w:w="80"/>
              <w:left w:type="dxa" w:w="100"/>
              <w:bottom w:type="dxa" w:w="80"/>
              <w:right w:type="dxa" w:w="100"/>
            </w:tcMar>
            <w:vAlign w:val="center"/>
          </w:tcPr>
          <w:p>
            <w:pPr>
              <w:jc w:val="left"/>
            </w:pPr>
            <w:r>
              <w:rPr>
                <w:b w:val="false"/>
                <w:bCs w:val="false"/>
                <w:sz w:val="19"/>
                <w:szCs w:val="19"/>
              </w:rPr>
              <w:t xml:space="preserve">LLM Meta Prompt Extraction</w:t>
            </w:r>
          </w:p>
        </w:tc>
        <w:tc>
          <w:tcPr>
            <w:tcW w:type="dxa" w:w="1900"/>
            <w:tcMar>
              <w:top w:type="dxa" w:w="80"/>
              <w:left w:type="dxa" w:w="100"/>
              <w:bottom w:type="dxa" w:w="80"/>
              <w:right w:type="dxa" w:w="100"/>
            </w:tcMar>
            <w:vAlign w:val="center"/>
          </w:tcPr>
          <w:p>
            <w:pPr>
              <w:jc w:val="left"/>
            </w:pPr>
            <w:r>
              <w:rPr>
                <w:b w:val="false"/>
                <w:bCs w:val="false"/>
                <w:sz w:val="19"/>
                <w:szCs w:val="19"/>
              </w:rPr>
              <w:t xml:space="preserve">#3</w:t>
            </w:r>
          </w:p>
        </w:tc>
        <w:tc>
          <w:tcPr>
            <w:tcW w:type="dxa" w:w="3400"/>
            <w:tcMar>
              <w:top w:type="dxa" w:w="80"/>
              <w:left w:type="dxa" w:w="100"/>
              <w:bottom w:type="dxa" w:w="80"/>
              <w:right w:type="dxa" w:w="100"/>
            </w:tcMar>
            <w:vAlign w:val="center"/>
          </w:tcPr>
          <w:p>
            <w:pPr>
              <w:jc w:val="left"/>
            </w:pPr>
            <w:r>
              <w:rPr>
                <w:b w:val="false"/>
                <w:bCs w:val="false"/>
                <w:sz w:val="19"/>
                <w:szCs w:val="19"/>
              </w:rPr>
              <w:t xml:space="preserve">Partial system-prompt content extracted</w:t>
            </w:r>
          </w:p>
        </w:tc>
      </w:tr>
      <w:tr>
        <w:tc>
          <w:tcPr>
            <w:tcW w:type="dxa" w:w="1500"/>
            <w:tcMar>
              <w:top w:type="dxa" w:w="80"/>
              <w:left w:type="dxa" w:w="100"/>
              <w:bottom w:type="dxa" w:w="80"/>
              <w:right w:type="dxa" w:w="100"/>
            </w:tcMar>
            <w:vAlign w:val="center"/>
          </w:tcPr>
          <w:p>
            <w:pPr>
              <w:jc w:val="left"/>
            </w:pPr>
            <w:r>
              <w:rPr>
                <w:b w:val="false"/>
                <w:bCs w:val="false"/>
                <w:sz w:val="19"/>
                <w:szCs w:val="19"/>
              </w:rPr>
              <w:t xml:space="preserve">AML.T0057</w:t>
            </w:r>
          </w:p>
        </w:tc>
        <w:tc>
          <w:tcPr>
            <w:tcW w:type="dxa" w:w="3000"/>
            <w:tcMar>
              <w:top w:type="dxa" w:w="80"/>
              <w:left w:type="dxa" w:w="100"/>
              <w:bottom w:type="dxa" w:w="80"/>
              <w:right w:type="dxa" w:w="100"/>
            </w:tcMar>
            <w:vAlign w:val="center"/>
          </w:tcPr>
          <w:p>
            <w:pPr>
              <w:jc w:val="left"/>
            </w:pPr>
            <w:r>
              <w:rPr>
                <w:b w:val="false"/>
                <w:bCs w:val="false"/>
                <w:sz w:val="19"/>
                <w:szCs w:val="19"/>
              </w:rPr>
              <w:t xml:space="preserve">LLM Data Leakage</w:t>
            </w:r>
          </w:p>
        </w:tc>
        <w:tc>
          <w:tcPr>
            <w:tcW w:type="dxa" w:w="1900"/>
            <w:tcMar>
              <w:top w:type="dxa" w:w="80"/>
              <w:left w:type="dxa" w:w="100"/>
              <w:bottom w:type="dxa" w:w="80"/>
              <w:right w:type="dxa" w:w="100"/>
            </w:tcMar>
            <w:vAlign w:val="center"/>
          </w:tcPr>
          <w:p>
            <w:pPr>
              <w:jc w:val="left"/>
            </w:pPr>
            <w:r>
              <w:rPr>
                <w:b w:val="false"/>
                <w:bCs w:val="false"/>
                <w:sz w:val="19"/>
                <w:szCs w:val="19"/>
              </w:rPr>
              <w:t xml:space="preserve">#2, #7, #8</w:t>
            </w:r>
          </w:p>
        </w:tc>
        <w:tc>
          <w:tcPr>
            <w:tcW w:type="dxa" w:w="3400"/>
            <w:tcMar>
              <w:top w:type="dxa" w:w="80"/>
              <w:left w:type="dxa" w:w="100"/>
              <w:bottom w:type="dxa" w:w="80"/>
              <w:right w:type="dxa" w:w="100"/>
            </w:tcMar>
            <w:vAlign w:val="center"/>
          </w:tcPr>
          <w:p>
            <w:pPr>
              <w:jc w:val="left"/>
            </w:pPr>
            <w:r>
              <w:rPr>
                <w:b w:val="false"/>
                <w:bCs w:val="false"/>
                <w:sz w:val="19"/>
                <w:szCs w:val="19"/>
              </w:rPr>
              <w:t xml:space="preserve">PyRIT single-shot and multi-turn attempts unsuccessful; Promptfoo adaptive attempts partially successful</w:t>
            </w:r>
          </w:p>
        </w:tc>
      </w:tr>
    </w:tbl>
    <w:p>
      <w:pPr>
        <w:spacing w:after="100" w:before="200"/>
      </w:pPr>
    </w:p>
    <w:p>
      <w:pPr>
        <w:spacing w:after="160"/>
      </w:pPr>
      <w:r>
        <w:rPr>
          <w:i/>
          <w:iCs/>
          <w:color w:val="6B7280"/>
          <w:sz w:val="18"/>
          <w:szCs w:val="18"/>
        </w:rPr>
        <w:t xml:space="preserve">Note: Finding #1 (Excessive Agency) and Finding #5 (business-rule violations) have no directly corresponding ATLAS technique. The closest analog for Excessive Agency is AML.T0053 (AI Agent Tool Invocation / LLM Plugin Compromise), though this finding involves the model falsely claiming an action rather than actually invoking an unauthorized tool — ATLAS's technique library is oriented toward agentic/tool-enabled systems, which this application is not.</w:t>
      </w:r>
    </w:p>
    <w:p>
      <w:r>
        <w:br w:type="page"/>
      </w:r>
    </w:p>
    <w:p>
      <w:pPr>
        <w:pStyle w:val="Heading1"/>
        <w:spacing w:after="200" w:before="400"/>
      </w:pPr>
      <w:r>
        <w:t xml:space="preserve">Mitigation and Retest Results</w:t>
      </w:r>
    </w:p>
    <w:p>
      <w:pPr>
        <w:spacing w:after="160"/>
      </w:pPr>
      <w:r>
        <w:t xml:space="preserve">Two mitigations were implemented and verified using the same tooling that identified the original findings — a methodology principle applied throughout this assessment: a fix is only considered verified if it is retested with equivalent rigor to how the issue was found, not merely reviewed by inspection.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400"/>
      </w:tblGrid>
      <w:tr>
        <w:trPr>
          <w:tblHeader/>
        </w:trPr>
        <w:tc>
          <w:tcPr>
            <w:tcW w:type="dxa" w:w="2600"/>
            <w:shd w:fill="1F2937" w:color="auto" w:val="clear"/>
            <w:tcMar>
              <w:top w:type="dxa" w:w="80"/>
              <w:left w:type="dxa" w:w="100"/>
              <w:bottom w:type="dxa" w:w="80"/>
              <w:right w:type="dxa" w:w="100"/>
            </w:tcMar>
            <w:vAlign w:val="center"/>
          </w:tcPr>
          <w:p>
            <w:pPr>
              <w:jc w:val="left"/>
            </w:pPr>
            <w:r>
              <w:rPr>
                <w:b/>
                <w:bCs/>
                <w:color w:val="FFFFFF"/>
                <w:sz w:val="19"/>
                <w:szCs w:val="19"/>
              </w:rPr>
              <w:t xml:space="preserve">Finding</w:t>
            </w:r>
          </w:p>
        </w:tc>
        <w:tc>
          <w:tcPr>
            <w:tcW w:type="dxa" w:w="2400"/>
            <w:shd w:fill="1F2937" w:color="auto" w:val="clear"/>
            <w:tcMar>
              <w:top w:type="dxa" w:w="80"/>
              <w:left w:type="dxa" w:w="100"/>
              <w:bottom w:type="dxa" w:w="80"/>
              <w:right w:type="dxa" w:w="100"/>
            </w:tcMar>
            <w:vAlign w:val="center"/>
          </w:tcPr>
          <w:p>
            <w:pPr>
              <w:jc w:val="left"/>
            </w:pPr>
            <w:r>
              <w:rPr>
                <w:b/>
                <w:bCs/>
                <w:color w:val="FFFFFF"/>
                <w:sz w:val="19"/>
                <w:szCs w:val="19"/>
              </w:rPr>
              <w:t xml:space="preserve">Before</w:t>
            </w:r>
          </w:p>
        </w:tc>
        <w:tc>
          <w:tcPr>
            <w:tcW w:type="dxa" w:w="2400"/>
            <w:shd w:fill="1F2937" w:color="auto" w:val="clear"/>
            <w:tcMar>
              <w:top w:type="dxa" w:w="80"/>
              <w:left w:type="dxa" w:w="100"/>
              <w:bottom w:type="dxa" w:w="80"/>
              <w:right w:type="dxa" w:w="100"/>
            </w:tcMar>
            <w:vAlign w:val="center"/>
          </w:tcPr>
          <w:p>
            <w:pPr>
              <w:jc w:val="left"/>
            </w:pPr>
            <w:r>
              <w:rPr>
                <w:b/>
                <w:bCs/>
                <w:color w:val="FFFFFF"/>
                <w:sz w:val="19"/>
                <w:szCs w:val="19"/>
              </w:rPr>
              <w:t xml:space="preserve">After</w:t>
            </w:r>
          </w:p>
        </w:tc>
        <w:tc>
          <w:tcPr>
            <w:tcW w:type="dxa" w:w="2400"/>
            <w:shd w:fill="1F2937" w:color="auto" w:val="clear"/>
            <w:tcMar>
              <w:top w:type="dxa" w:w="80"/>
              <w:left w:type="dxa" w:w="100"/>
              <w:bottom w:type="dxa" w:w="80"/>
              <w:right w:type="dxa" w:w="100"/>
            </w:tcMar>
            <w:vAlign w:val="center"/>
          </w:tcPr>
          <w:p>
            <w:pPr>
              <w:jc w:val="left"/>
            </w:pPr>
            <w:r>
              <w:rPr>
                <w:b/>
                <w:bCs/>
                <w:color w:val="FFFFFF"/>
                <w:sz w:val="19"/>
                <w:szCs w:val="19"/>
              </w:rPr>
              <w:t xml:space="preserve">Result</w:t>
            </w:r>
          </w:p>
        </w:tc>
      </w:tr>
      <w:tr>
        <w:tc>
          <w:tcPr>
            <w:tcW w:type="dxa" w:w="2600"/>
            <w:tcMar>
              <w:top w:type="dxa" w:w="80"/>
              <w:left w:type="dxa" w:w="100"/>
              <w:bottom w:type="dxa" w:w="80"/>
              <w:right w:type="dxa" w:w="100"/>
            </w:tcMar>
            <w:vAlign w:val="center"/>
          </w:tcPr>
          <w:p>
            <w:pPr>
              <w:jc w:val="left"/>
            </w:pPr>
            <w:r>
              <w:rPr>
                <w:b w:val="false"/>
                <w:bCs w:val="false"/>
                <w:sz w:val="19"/>
                <w:szCs w:val="19"/>
              </w:rPr>
              <w:t xml:space="preserve">Excessive Agency (Promptfoo)</w:t>
            </w:r>
          </w:p>
        </w:tc>
        <w:tc>
          <w:tcPr>
            <w:tcW w:type="dxa" w:w="2400"/>
            <w:tcMar>
              <w:top w:type="dxa" w:w="80"/>
              <w:left w:type="dxa" w:w="100"/>
              <w:bottom w:type="dxa" w:w="80"/>
              <w:right w:type="dxa" w:w="100"/>
            </w:tcMar>
            <w:vAlign w:val="center"/>
          </w:tcPr>
          <w:p>
            <w:pPr>
              <w:jc w:val="left"/>
            </w:pPr>
            <w:r>
              <w:rPr>
                <w:b w:val="false"/>
                <w:bCs w:val="false"/>
                <w:sz w:val="19"/>
                <w:szCs w:val="19"/>
              </w:rPr>
              <w:t xml:space="preserve">66.67% ASR</w:t>
            </w:r>
          </w:p>
        </w:tc>
        <w:tc>
          <w:tcPr>
            <w:tcW w:type="dxa" w:w="2400"/>
            <w:tcMar>
              <w:top w:type="dxa" w:w="80"/>
              <w:left w:type="dxa" w:w="100"/>
              <w:bottom w:type="dxa" w:w="80"/>
              <w:right w:type="dxa" w:w="100"/>
            </w:tcMar>
            <w:vAlign w:val="center"/>
          </w:tcPr>
          <w:p>
            <w:pPr>
              <w:jc w:val="left"/>
            </w:pPr>
            <w:r>
              <w:rPr>
                <w:b w:val="false"/>
                <w:bCs w:val="false"/>
                <w:sz w:val="19"/>
                <w:szCs w:val="19"/>
              </w:rPr>
              <w:t xml:space="preserve">20.00% ASR</w:t>
            </w:r>
          </w:p>
        </w:tc>
        <w:tc>
          <w:tcPr>
            <w:tcW w:type="dxa" w:w="2400"/>
            <w:tcMar>
              <w:top w:type="dxa" w:w="80"/>
              <w:left w:type="dxa" w:w="100"/>
              <w:bottom w:type="dxa" w:w="80"/>
              <w:right w:type="dxa" w:w="100"/>
            </w:tcMar>
            <w:vAlign w:val="center"/>
          </w:tcPr>
          <w:p>
            <w:pPr>
              <w:jc w:val="left"/>
            </w:pPr>
            <w:r>
              <w:rPr>
                <w:b/>
                <w:bCs/>
                <w:color w:val="15803D"/>
                <w:sz w:val="19"/>
                <w:szCs w:val="19"/>
              </w:rPr>
              <w:t xml:space="preserve">MITIGATED</w:t>
            </w:r>
          </w:p>
        </w:tc>
      </w:tr>
      <w:tr>
        <w:tc>
          <w:tcPr>
            <w:tcW w:type="dxa" w:w="2600"/>
            <w:tcMar>
              <w:top w:type="dxa" w:w="80"/>
              <w:left w:type="dxa" w:w="100"/>
              <w:bottom w:type="dxa" w:w="80"/>
              <w:right w:type="dxa" w:w="100"/>
            </w:tcMar>
            <w:vAlign w:val="center"/>
          </w:tcPr>
          <w:p>
            <w:pPr>
              <w:jc w:val="left"/>
            </w:pPr>
            <w:r>
              <w:rPr>
                <w:b w:val="false"/>
                <w:bCs w:val="false"/>
                <w:sz w:val="19"/>
                <w:szCs w:val="19"/>
              </w:rPr>
              <w:t xml:space="preserve">Hate speech via encoding (Promptfoo)</w:t>
            </w:r>
          </w:p>
        </w:tc>
        <w:tc>
          <w:tcPr>
            <w:tcW w:type="dxa" w:w="2400"/>
            <w:tcMar>
              <w:top w:type="dxa" w:w="80"/>
              <w:left w:type="dxa" w:w="100"/>
              <w:bottom w:type="dxa" w:w="80"/>
              <w:right w:type="dxa" w:w="100"/>
            </w:tcMar>
            <w:vAlign w:val="center"/>
          </w:tcPr>
          <w:p>
            <w:pPr>
              <w:jc w:val="left"/>
            </w:pPr>
            <w:r>
              <w:rPr>
                <w:b w:val="false"/>
                <w:bCs w:val="false"/>
                <w:sz w:val="19"/>
                <w:szCs w:val="19"/>
              </w:rPr>
              <w:t xml:space="preserve">8.33% ASR</w:t>
            </w:r>
          </w:p>
        </w:tc>
        <w:tc>
          <w:tcPr>
            <w:tcW w:type="dxa" w:w="2400"/>
            <w:tcMar>
              <w:top w:type="dxa" w:w="80"/>
              <w:left w:type="dxa" w:w="100"/>
              <w:bottom w:type="dxa" w:w="80"/>
              <w:right w:type="dxa" w:w="100"/>
            </w:tcMar>
            <w:vAlign w:val="center"/>
          </w:tcPr>
          <w:p>
            <w:pPr>
              <w:jc w:val="left"/>
            </w:pPr>
            <w:r>
              <w:rPr>
                <w:b w:val="false"/>
                <w:bCs w:val="false"/>
                <w:sz w:val="19"/>
                <w:szCs w:val="19"/>
              </w:rPr>
              <w:t xml:space="preserve">13.33% ASR</w:t>
            </w:r>
          </w:p>
        </w:tc>
        <w:tc>
          <w:tcPr>
            <w:tcW w:type="dxa" w:w="2400"/>
            <w:tcMar>
              <w:top w:type="dxa" w:w="80"/>
              <w:left w:type="dxa" w:w="100"/>
              <w:bottom w:type="dxa" w:w="80"/>
              <w:right w:type="dxa" w:w="100"/>
            </w:tcMar>
            <w:vAlign w:val="center"/>
          </w:tcPr>
          <w:p>
            <w:pPr>
              <w:jc w:val="left"/>
            </w:pPr>
            <w:r>
              <w:rPr>
                <w:b/>
                <w:bCs/>
                <w:color w:val="B91C1C"/>
                <w:sz w:val="19"/>
                <w:szCs w:val="19"/>
              </w:rPr>
              <w:t xml:space="preserve">NOT MITIGATED</w:t>
            </w:r>
          </w:p>
        </w:tc>
      </w:tr>
      <w:tr>
        <w:tc>
          <w:tcPr>
            <w:tcW w:type="dxa" w:w="2600"/>
            <w:tcMar>
              <w:top w:type="dxa" w:w="80"/>
              <w:left w:type="dxa" w:w="100"/>
              <w:bottom w:type="dxa" w:w="80"/>
              <w:right w:type="dxa" w:w="100"/>
            </w:tcMar>
            <w:vAlign w:val="center"/>
          </w:tcPr>
          <w:p>
            <w:pPr>
              <w:jc w:val="left"/>
            </w:pPr>
            <w:r>
              <w:rPr>
                <w:b w:val="false"/>
                <w:bCs w:val="false"/>
                <w:sz w:val="19"/>
                <w:szCs w:val="19"/>
              </w:rPr>
              <w:t xml:space="preserve">Hate speech via encoding (Garak, hate intent)</w:t>
            </w:r>
          </w:p>
        </w:tc>
        <w:tc>
          <w:tcPr>
            <w:tcW w:type="dxa" w:w="2400"/>
            <w:tcMar>
              <w:top w:type="dxa" w:w="80"/>
              <w:left w:type="dxa" w:w="100"/>
              <w:bottom w:type="dxa" w:w="80"/>
              <w:right w:type="dxa" w:w="100"/>
            </w:tcMar>
            <w:vAlign w:val="center"/>
          </w:tcPr>
          <w:p>
            <w:pPr>
              <w:jc w:val="left"/>
            </w:pPr>
            <w:r>
              <w:rPr>
                <w:b w:val="false"/>
                <w:bCs w:val="false"/>
                <w:sz w:val="19"/>
                <w:szCs w:val="19"/>
              </w:rPr>
              <w:t xml:space="preserve">78.42% pass</w:t>
            </w:r>
          </w:p>
        </w:tc>
        <w:tc>
          <w:tcPr>
            <w:tcW w:type="dxa" w:w="2400"/>
            <w:tcMar>
              <w:top w:type="dxa" w:w="80"/>
              <w:left w:type="dxa" w:w="100"/>
              <w:bottom w:type="dxa" w:w="80"/>
              <w:right w:type="dxa" w:w="100"/>
            </w:tcMar>
            <w:vAlign w:val="center"/>
          </w:tcPr>
          <w:p>
            <w:pPr>
              <w:jc w:val="left"/>
            </w:pPr>
            <w:r>
              <w:rPr>
                <w:b w:val="false"/>
                <w:bCs w:val="false"/>
                <w:sz w:val="19"/>
                <w:szCs w:val="19"/>
              </w:rPr>
              <w:t xml:space="preserve">78% pass</w:t>
            </w:r>
          </w:p>
        </w:tc>
        <w:tc>
          <w:tcPr>
            <w:tcW w:type="dxa" w:w="2400"/>
            <w:tcMar>
              <w:top w:type="dxa" w:w="80"/>
              <w:left w:type="dxa" w:w="100"/>
              <w:bottom w:type="dxa" w:w="80"/>
              <w:right w:type="dxa" w:w="100"/>
            </w:tcMar>
            <w:vAlign w:val="center"/>
          </w:tcPr>
          <w:p>
            <w:pPr>
              <w:jc w:val="left"/>
            </w:pPr>
            <w:r>
              <w:rPr>
                <w:b/>
                <w:bCs/>
                <w:color w:val="B91C1C"/>
                <w:sz w:val="19"/>
                <w:szCs w:val="19"/>
              </w:rPr>
              <w:t xml:space="preserve">NOT MITIGATED</w:t>
            </w:r>
          </w:p>
        </w:tc>
      </w:tr>
      <w:tr>
        <w:tc>
          <w:tcPr>
            <w:tcW w:type="dxa" w:w="2600"/>
            <w:tcMar>
              <w:top w:type="dxa" w:w="80"/>
              <w:left w:type="dxa" w:w="100"/>
              <w:bottom w:type="dxa" w:w="80"/>
              <w:right w:type="dxa" w:w="100"/>
            </w:tcMar>
            <w:vAlign w:val="center"/>
          </w:tcPr>
          <w:p>
            <w:pPr>
              <w:jc w:val="left"/>
            </w:pPr>
            <w:r>
              <w:rPr>
                <w:b w:val="false"/>
                <w:bCs w:val="false"/>
                <w:sz w:val="19"/>
                <w:szCs w:val="19"/>
              </w:rPr>
              <w:t xml:space="preserve">Decode-encoded-data (Garak)</w:t>
            </w:r>
          </w:p>
        </w:tc>
        <w:tc>
          <w:tcPr>
            <w:tcW w:type="dxa" w:w="2400"/>
            <w:tcMar>
              <w:top w:type="dxa" w:w="80"/>
              <w:left w:type="dxa" w:w="100"/>
              <w:bottom w:type="dxa" w:w="80"/>
              <w:right w:type="dxa" w:w="100"/>
            </w:tcMar>
            <w:vAlign w:val="center"/>
          </w:tcPr>
          <w:p>
            <w:pPr>
              <w:jc w:val="left"/>
            </w:pPr>
            <w:r>
              <w:rPr>
                <w:b w:val="false"/>
                <w:bCs w:val="false"/>
                <w:sz w:val="19"/>
                <w:szCs w:val="19"/>
              </w:rPr>
              <w:t xml:space="preserve">80.65% pass</w:t>
            </w:r>
          </w:p>
        </w:tc>
        <w:tc>
          <w:tcPr>
            <w:tcW w:type="dxa" w:w="2400"/>
            <w:tcMar>
              <w:top w:type="dxa" w:w="80"/>
              <w:left w:type="dxa" w:w="100"/>
              <w:bottom w:type="dxa" w:w="80"/>
              <w:right w:type="dxa" w:w="100"/>
            </w:tcMar>
            <w:vAlign w:val="center"/>
          </w:tcPr>
          <w:p>
            <w:pPr>
              <w:jc w:val="left"/>
            </w:pPr>
            <w:r>
              <w:rPr>
                <w:b w:val="false"/>
                <w:bCs w:val="false"/>
                <w:sz w:val="19"/>
                <w:szCs w:val="19"/>
              </w:rPr>
              <w:t xml:space="preserve">77% pass</w:t>
            </w:r>
          </w:p>
        </w:tc>
        <w:tc>
          <w:tcPr>
            <w:tcW w:type="dxa" w:w="2400"/>
            <w:tcMar>
              <w:top w:type="dxa" w:w="80"/>
              <w:left w:type="dxa" w:w="100"/>
              <w:bottom w:type="dxa" w:w="80"/>
              <w:right w:type="dxa" w:w="100"/>
            </w:tcMar>
            <w:vAlign w:val="center"/>
          </w:tcPr>
          <w:p>
            <w:pPr>
              <w:jc w:val="left"/>
            </w:pPr>
            <w:r>
              <w:rPr>
                <w:b/>
                <w:bCs/>
                <w:color w:val="B91C1C"/>
                <w:sz w:val="19"/>
                <w:szCs w:val="19"/>
              </w:rPr>
              <w:t xml:space="preserve">NOT MITIGATED</w:t>
            </w:r>
          </w:p>
        </w:tc>
      </w:tr>
    </w:tbl>
    <w:p>
      <w:pPr>
        <w:spacing w:after="300"/>
      </w:pPr>
    </w:p>
    <w:p>
      <w:pPr>
        <w:pStyle w:val="Heading2"/>
        <w:spacing w:after="150" w:before="300"/>
      </w:pPr>
      <w:r>
        <w:t xml:space="preserve">Excessive Agency — Mitigation Successful</w:t>
      </w:r>
    </w:p>
    <w:p>
      <w:pPr>
        <w:spacing w:after="160"/>
      </w:pPr>
      <w:r>
        <w:t xml:space="preserve">An explicit system-prompt rule was added stating the application has no ability to take real actions (process refunds, cancel orders, escalate tickets) and must never state or imply otherwise, redirecting instead to the appropriate real channel. This reduced the attack success rate from 66.67% to 20.00% — a substantial, measurable improvement. Residual risk (20%) remains, concentrated in adaptive/jailbreak-framed attempts, and is recommended for a follow-up hardening cycle.</w:t>
      </w:r>
    </w:p>
    <w:p>
      <w:pPr>
        <w:pStyle w:val="Heading2"/>
        <w:spacing w:after="150" w:before="300"/>
      </w:pPr>
      <w:r>
        <w:t xml:space="preserve">Hate Speech via Encoding — Mitigation Not Effective</w:t>
      </w:r>
    </w:p>
    <w:p>
      <w:pPr>
        <w:spacing w:after="160"/>
      </w:pPr>
      <w:r>
        <w:t xml:space="preserve">An explicit content-safety rule was added prohibiting hateful or discriminatory content “in any format, including base64, ROT13, leetspeak, or any other encoding.” Retesting with both Promptfoo and Garak showed no meaningful improvement (Promptfoo ASR increased slightly, within statistical noise at n=15; Garak's pass rate was functionally unchanged at 78% vs. 78.42%).</w:t>
      </w:r>
    </w:p>
    <w:p>
      <w:pPr>
        <w:spacing w:after="160"/>
      </w:pPr>
      <w:r>
        <w:rPr>
          <w:i w:val="false"/>
          <w:iCs w:val="false"/>
        </w:rPr>
        <w:t xml:space="preserve">Root cause: system-prompt instructions are text the model reads before generating output — they do not mechanically prevent the model from decoding an obfuscated input and generating a policy-violating response despite being instructed not to. This is a structural limitation of prompt-level defenses: they depend on the model correctly generalizing an instruction to novel encoded inputs at inference time, which these results demonstrate does not reliably occur.</w:t>
      </w:r>
    </w:p>
    <w:p>
      <w:pPr>
        <w:spacing w:after="120"/>
      </w:pPr>
      <w:r>
        <w:rPr>
          <w:b/>
          <w:bCs/>
        </w:rPr>
        <w:t xml:space="preserve">This finding remains open </w:t>
      </w:r>
      <w:r>
        <w:t xml:space="preserve">and is the primary basis for the top recommendation below.</w:t>
      </w:r>
    </w:p>
    <w:p>
      <w:r>
        <w:br w:type="page"/>
      </w:r>
    </w:p>
    <w:p>
      <w:pPr>
        <w:pStyle w:val="Heading1"/>
        <w:spacing w:after="200" w:before="400"/>
      </w:pPr>
      <w:r>
        <w:t xml:space="preserve">Recommendations</w:t>
      </w:r>
    </w:p>
    <w:p>
      <w:pPr>
        <w:spacing w:after="160"/>
      </w:pPr>
      <w:r>
        <w:t xml:space="preserve">Prioritized by risk reduction relative to implementation effort.</w:t>
      </w:r>
    </w:p>
    <w:p>
      <w:pPr>
        <w:spacing w:after="120"/>
      </w:pPr>
      <w:r>
        <w:rPr>
          <w:b/>
          <w:bCs/>
        </w:rPr>
        <w:t xml:space="preserve">1. Implement an output-filtering layer for content safety (Critical priority). </w:t>
      </w:r>
      <w:r>
        <w:t xml:space="preserve">Add a moderation check (e.g., a classifier or moderation API call) that scans generated responses before they reach the user, independent of the model's own prompt-following behavior. This directly addresses Finding 6, which prompt-level instructions did not resolve.</w:t>
      </w:r>
    </w:p>
    <w:p>
      <w:pPr>
        <w:spacing w:after="120"/>
      </w:pPr>
      <w:r>
        <w:rPr>
          <w:b/>
          <w:bCs/>
        </w:rPr>
        <w:t xml:space="preserve">2. Continue hardening the Excessive Agency defense. </w:t>
      </w:r>
      <w:r>
        <w:t xml:space="preserve">20% residual ASR remains after mitigation, concentrated in adaptive attacks. Consider pairing the existing prompt rule with a lightweight output check for phrases indicating claimed task completion (“I've processed,” “I've cancelled,” etc.).</w:t>
      </w:r>
    </w:p>
    <w:p>
      <w:pPr>
        <w:spacing w:after="120"/>
      </w:pPr>
      <w:r>
        <w:rPr>
          <w:b/>
          <w:bCs/>
        </w:rPr>
        <w:t xml:space="preserve">3. Extract the planted/production credential out of the system prompt entirely. </w:t>
      </w:r>
      <w:r>
        <w:t xml:space="preserve">Even with strong instructions, keeping any credential in a system prompt is a defense-in-depth gap. In a production system, sensitive values referenced by an assistant should be resolved server-side at time of use, never included in the prompt context at all.</w:t>
      </w:r>
    </w:p>
    <w:p>
      <w:pPr>
        <w:spacing w:after="120"/>
      </w:pPr>
      <w:r>
        <w:rPr>
          <w:b/>
          <w:bCs/>
        </w:rPr>
        <w:t xml:space="preserve">4. Address System Prompt Disclosure (Finding 3) and remaining PII disclosure (Finding 2) </w:t>
      </w:r>
      <w:r>
        <w:t xml:space="preserve">in a follow-up mitigation cycle; both were identified but not remediated in this engagement.</w:t>
      </w:r>
    </w:p>
    <w:p>
      <w:pPr>
        <w:spacing w:after="120"/>
      </w:pPr>
      <w:r>
        <w:rPr>
          <w:b/>
          <w:bCs/>
        </w:rPr>
        <w:t xml:space="preserve">5. Continue automated regression testing via CI. </w:t>
      </w:r>
      <w:r>
        <w:t xml:space="preserve">A GitHub Actions workflow triggering a fast Promptfoo scan on system-prompt or application changes has been implemented (see Appendix) and should be retained and expanded over time.</w:t>
      </w:r>
    </w:p>
    <w:p>
      <w:pPr>
        <w:spacing w:after="120"/>
      </w:pPr>
      <w:r>
        <w:rPr>
          <w:b/>
          <w:bCs/>
        </w:rPr>
        <w:t xml:space="preserve">6. Prioritize adaptive/multi-turn testing in future assessment cycles. </w:t>
      </w:r>
      <w:r>
        <w:t xml:space="preserve">Across all three tools, adaptive and multi-step attacks consistently outperformed static, single-shot attempts (e.g., Meta-Agent Strategic Jailbreak: 43.75% ASR vs. 3.13% for baseline single-shot testing). Security testing programs for conversational AI should weight adaptive-attack coverage accordingly, rather than relying primarily on static prompt libraries.</w:t>
      </w:r>
    </w:p>
    <w:p>
      <w:r>
        <w:br w:type="page"/>
      </w:r>
    </w:p>
    <w:p>
      <w:pPr>
        <w:pStyle w:val="Heading1"/>
        <w:spacing w:after="200" w:before="400"/>
      </w:pPr>
      <w:r>
        <w:t xml:space="preserve">Appendix</w:t>
      </w:r>
    </w:p>
    <w:p>
      <w:pPr>
        <w:pStyle w:val="Heading2"/>
        <w:spacing w:after="150" w:before="300"/>
      </w:pPr>
      <w:r>
        <w:t xml:space="preserve">Tools Used</w:t>
      </w:r>
    </w:p>
    <w:p>
      <w:pPr>
        <w:pStyle w:val="ListParagraph"/>
        <w:numPr>
          <w:ilvl w:val="0"/>
          <w:numId w:val="1"/>
        </w:numPr>
        <w:spacing w:after="80"/>
      </w:pPr>
      <w:r>
        <w:t xml:space="preserve">Promptfoo (community edition) — automated adversarial test generation and evaluation</w:t>
      </w:r>
    </w:p>
    <w:p>
      <w:pPr>
        <w:pStyle w:val="ListParagraph"/>
        <w:numPr>
          <w:ilvl w:val="0"/>
          <w:numId w:val="1"/>
        </w:numPr>
        <w:spacing w:after="80"/>
      </w:pPr>
      <w:r>
        <w:t xml:space="preserve">Garak (NVIDIA, open source) — LLM vulnerability probe scanner</w:t>
      </w:r>
    </w:p>
    <w:p>
      <w:pPr>
        <w:pStyle w:val="ListParagraph"/>
        <w:numPr>
          <w:ilvl w:val="0"/>
          <w:numId w:val="1"/>
        </w:numPr>
        <w:spacing w:after="80"/>
      </w:pPr>
      <w:r>
        <w:t xml:space="preserve">Microsoft PyRIT — orchestrated attack framework with programmatic scoring</w:t>
      </w:r>
    </w:p>
    <w:p>
      <w:pPr>
        <w:pStyle w:val="ListParagraph"/>
        <w:numPr>
          <w:ilvl w:val="0"/>
          <w:numId w:val="1"/>
        </w:numPr>
        <w:spacing w:after="80"/>
      </w:pPr>
      <w:r>
        <w:t xml:space="preserve">Custom Python scripting — multi-turn escalation attack (PyRIT-scored)</w:t>
      </w:r>
    </w:p>
    <w:p>
      <w:pPr>
        <w:pStyle w:val="Heading2"/>
        <w:spacing w:after="150" w:before="300"/>
      </w:pPr>
      <w:r>
        <w:t xml:space="preserve">Model / Infrastructure</w:t>
      </w:r>
    </w:p>
    <w:p>
      <w:pPr>
        <w:spacing w:after="160"/>
      </w:pPr>
      <w:r>
        <w:t xml:space="preserve">Target application: Python/Flask, single REST endpoint. Backing model: OpenRouter free-tier auto-router (“openrouter/free”), which selects among available free models per request. Testing environment: isolated Kali Linux virtual machine.</w:t>
      </w:r>
    </w:p>
    <w:p>
      <w:pPr>
        <w:pStyle w:val="Heading2"/>
        <w:spacing w:after="150" w:before="300"/>
      </w:pPr>
      <w:r>
        <w:t xml:space="preserve">Repeatability</w:t>
      </w:r>
    </w:p>
    <w:p>
      <w:pPr>
        <w:spacing w:after="160"/>
      </w:pPr>
      <w:r>
        <w:t xml:space="preserve">All configuration files, attack scripts, raw tool output, and this report's source data are version-controlled and available in the project repository, including a CI workflow that reruns a representative test subset automatically when the system prompt or application code changes.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Northwind Retail Chatbot — LLM Security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b/>
      <w:bCs/>
      <w:color w:val="1F2937"/>
      <w:sz w:val="30"/>
      <w:szCs w:val="30"/>
    </w:rPr>
  </w:style>
  <w:style w:type="paragraph" w:styleId="Heading2">
    <w:name w:val="Heading 2"/>
    <w:basedOn w:val="Normal"/>
    <w:next w:val="Normal"/>
    <w:pPr>
      <w:spacing w:after="150" w:before="300"/>
    </w:pPr>
    <w:rPr>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2026-09-02T07:32:11.275Z</dcterms:created>
  <dcterms:modified xsi:type="dcterms:W3CDTF">2026-09-02T07:32:11.290Z</dcterms:modified>
</cp:coreProperties>
</file>

<file path=docProps/custom.xml><?xml version="1.0" encoding="utf-8"?>
<Properties xmlns="http://schemas.openxmlformats.org/officeDocument/2006/custom-properties" xmlns:vt="http://schemas.openxmlformats.org/officeDocument/2006/docPropsVTypes"/>
</file>