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2D" w:rsidRDefault="00274C12">
      <w:pPr>
        <w:pStyle w:val="Title"/>
      </w:pPr>
      <w:r>
        <w:t>The Battle of Neighborhoods</w:t>
      </w:r>
    </w:p>
    <w:p w:rsidR="00E0312D" w:rsidRDefault="00274C12">
      <w:pPr>
        <w:pStyle w:val="Heading1"/>
        <w:spacing w:before="100"/>
        <w:ind w:left="1990" w:right="2029"/>
        <w:jc w:val="center"/>
      </w:pPr>
      <w:r>
        <w:rPr>
          <w:color w:val="666666"/>
        </w:rPr>
        <w:t>Applied Data Science Capstone Project</w:t>
      </w:r>
    </w:p>
    <w:p w:rsidR="00E0312D" w:rsidRDefault="00E0312D">
      <w:pPr>
        <w:pStyle w:val="BodyText"/>
        <w:spacing w:before="9"/>
        <w:rPr>
          <w:sz w:val="24"/>
        </w:rPr>
      </w:pPr>
    </w:p>
    <w:p w:rsidR="00E0312D" w:rsidRDefault="00893474">
      <w:pPr>
        <w:spacing w:before="1"/>
        <w:ind w:left="1990" w:right="2035"/>
        <w:jc w:val="center"/>
        <w:rPr>
          <w:sz w:val="24"/>
        </w:rPr>
      </w:pPr>
      <w:r>
        <w:rPr>
          <w:color w:val="666666"/>
          <w:sz w:val="24"/>
        </w:rPr>
        <w:t>Ashit Shrivastava</w:t>
      </w:r>
      <w:bookmarkStart w:id="0" w:name="_GoBack"/>
      <w:bookmarkEnd w:id="0"/>
    </w:p>
    <w:p w:rsidR="00E0312D" w:rsidRDefault="00274C12">
      <w:pPr>
        <w:pStyle w:val="BodyText"/>
        <w:spacing w:before="6"/>
        <w:rPr>
          <w:sz w:val="18"/>
        </w:rPr>
      </w:pPr>
      <w:r>
        <w:pict>
          <v:rect id="_x0000_s1026" style="position:absolute;margin-left:39.05pt;margin-top:14.4pt;width:517.95pt;height:.75pt;z-index:-251655680;mso-wrap-distance-left:0;mso-wrap-distance-right:0;mso-position-horizontal-relative:page" fillcolor="#878787" stroked="f">
            <w10:wrap type="topAndBottom" anchorx="page"/>
          </v:rect>
        </w:pict>
      </w:r>
    </w:p>
    <w:p w:rsidR="00E0312D" w:rsidRDefault="00E0312D">
      <w:pPr>
        <w:pStyle w:val="BodyText"/>
        <w:spacing w:before="13"/>
        <w:rPr>
          <w:sz w:val="17"/>
        </w:rPr>
      </w:pPr>
    </w:p>
    <w:p w:rsidR="00E0312D" w:rsidRDefault="00274C12">
      <w:pPr>
        <w:pStyle w:val="Heading1"/>
        <w:spacing w:before="14"/>
      </w:pPr>
      <w:r>
        <w:rPr>
          <w:color w:val="666666"/>
        </w:rPr>
        <w:t>Introduction</w:t>
      </w:r>
    </w:p>
    <w:p w:rsidR="00E0312D" w:rsidRDefault="00274C12">
      <w:pPr>
        <w:pStyle w:val="BodyText"/>
        <w:spacing w:before="220" w:line="242" w:lineRule="auto"/>
        <w:ind w:left="100" w:right="155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apartment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Vienna.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looking</w:t>
      </w:r>
      <w:r>
        <w:rPr>
          <w:spacing w:val="-14"/>
        </w:rPr>
        <w:t xml:space="preserve"> </w:t>
      </w:r>
      <w:r>
        <w:t>to move to Vienna they can</w:t>
      </w:r>
      <w:r>
        <w:rPr>
          <w:spacing w:val="25"/>
        </w:rPr>
        <w:t xml:space="preserve"> </w:t>
      </w:r>
      <w:r>
        <w:t>see:</w:t>
      </w:r>
    </w:p>
    <w:p w:rsidR="00E0312D" w:rsidRDefault="00E0312D">
      <w:pPr>
        <w:pStyle w:val="BodyText"/>
        <w:spacing w:before="8"/>
        <w:rPr>
          <w:sz w:val="15"/>
        </w:rPr>
      </w:pPr>
    </w:p>
    <w:p w:rsidR="00E0312D" w:rsidRDefault="00274C1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</w:pPr>
      <w:r>
        <w:t>Which district has cheaper rent</w:t>
      </w:r>
      <w:r>
        <w:rPr>
          <w:spacing w:val="25"/>
        </w:rPr>
        <w:t xml:space="preserve"> </w:t>
      </w:r>
      <w:r>
        <w:t>or,</w:t>
      </w:r>
    </w:p>
    <w:p w:rsidR="00E0312D" w:rsidRDefault="00274C1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" w:line="242" w:lineRule="auto"/>
        <w:ind w:right="144"/>
      </w:pPr>
      <w:r>
        <w:t>They can choose to live in residential or commercial areas and can see for example which residential districts is</w:t>
      </w:r>
      <w:r>
        <w:rPr>
          <w:spacing w:val="11"/>
        </w:rPr>
        <w:t xml:space="preserve"> </w:t>
      </w:r>
      <w:r>
        <w:t>best</w:t>
      </w:r>
    </w:p>
    <w:p w:rsidR="00E0312D" w:rsidRDefault="00E0312D">
      <w:pPr>
        <w:pStyle w:val="BodyText"/>
        <w:spacing w:before="8"/>
        <w:rPr>
          <w:sz w:val="15"/>
        </w:rPr>
      </w:pPr>
    </w:p>
    <w:p w:rsidR="00E0312D" w:rsidRDefault="00274C12">
      <w:pPr>
        <w:pStyle w:val="BodyText"/>
        <w:spacing w:before="1"/>
        <w:ind w:left="100"/>
        <w:jc w:val="both"/>
      </w:pPr>
      <w:r>
        <w:t xml:space="preserve">Or, if they already live in one of the 23 districts in </w:t>
      </w:r>
      <w:proofErr w:type="gramStart"/>
      <w:r>
        <w:t>Vienna</w:t>
      </w:r>
      <w:proofErr w:type="gramEnd"/>
      <w:r>
        <w:t xml:space="preserve"> they </w:t>
      </w:r>
      <w:r>
        <w:t>will be able to see:</w:t>
      </w:r>
    </w:p>
    <w:p w:rsidR="00E0312D" w:rsidRDefault="00E0312D">
      <w:pPr>
        <w:pStyle w:val="BodyText"/>
        <w:spacing w:before="11"/>
        <w:rPr>
          <w:sz w:val="15"/>
        </w:rPr>
      </w:pPr>
    </w:p>
    <w:p w:rsidR="00E0312D" w:rsidRDefault="00274C1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</w:pPr>
      <w:r>
        <w:t>If they are paying more than the average price for their</w:t>
      </w:r>
      <w:r>
        <w:rPr>
          <w:spacing w:val="28"/>
        </w:rPr>
        <w:t xml:space="preserve"> </w:t>
      </w:r>
      <w:r>
        <w:t>apartment</w:t>
      </w:r>
    </w:p>
    <w:p w:rsidR="00E0312D" w:rsidRDefault="00274C1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/>
        <w:ind w:hanging="362"/>
      </w:pPr>
      <w:r>
        <w:t>If there are similar districts to theirs with lower</w:t>
      </w:r>
      <w:r>
        <w:rPr>
          <w:spacing w:val="39"/>
        </w:rPr>
        <w:t xml:space="preserve"> </w:t>
      </w:r>
      <w:r>
        <w:t>rents</w:t>
      </w:r>
    </w:p>
    <w:p w:rsidR="00E0312D" w:rsidRDefault="00274C12">
      <w:pPr>
        <w:pStyle w:val="Heading1"/>
        <w:spacing w:before="205"/>
      </w:pPr>
      <w:r>
        <w:rPr>
          <w:color w:val="666666"/>
        </w:rPr>
        <w:t>Data</w:t>
      </w:r>
    </w:p>
    <w:p w:rsidR="00E0312D" w:rsidRDefault="00E0312D">
      <w:pPr>
        <w:pStyle w:val="BodyText"/>
        <w:spacing w:before="2"/>
        <w:rPr>
          <w:sz w:val="25"/>
        </w:rPr>
      </w:pPr>
    </w:p>
    <w:p w:rsidR="00E0312D" w:rsidRDefault="00274C12">
      <w:pPr>
        <w:pStyle w:val="BodyText"/>
        <w:spacing w:before="1" w:line="242" w:lineRule="auto"/>
        <w:ind w:left="100" w:right="145"/>
        <w:jc w:val="both"/>
      </w:pP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apartments:</w:t>
      </w:r>
      <w:r>
        <w:rPr>
          <w:spacing w:val="-20"/>
        </w:rPr>
        <w:t xml:space="preserve"> </w:t>
      </w:r>
      <w:r>
        <w:t>size,</w:t>
      </w:r>
      <w:r>
        <w:rPr>
          <w:spacing w:val="-19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rooms,</w:t>
      </w:r>
      <w:r>
        <w:rPr>
          <w:spacing w:val="-20"/>
        </w:rPr>
        <w:t xml:space="preserve"> </w:t>
      </w:r>
      <w:r>
        <w:t>address,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price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collected</w:t>
      </w:r>
      <w:r>
        <w:rPr>
          <w:spacing w:val="-19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scraping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local</w:t>
      </w:r>
      <w:r>
        <w:rPr>
          <w:spacing w:val="-19"/>
        </w:rPr>
        <w:t xml:space="preserve"> </w:t>
      </w:r>
      <w:r>
        <w:t>website</w:t>
      </w:r>
      <w:r>
        <w:rPr>
          <w:spacing w:val="-20"/>
        </w:rPr>
        <w:t xml:space="preserve"> </w:t>
      </w:r>
      <w:r>
        <w:t>with apartment</w:t>
      </w:r>
      <w:r>
        <w:rPr>
          <w:spacing w:val="-5"/>
        </w:rPr>
        <w:t xml:space="preserve"> </w:t>
      </w:r>
      <w:r>
        <w:t>listings</w:t>
      </w:r>
      <w:r>
        <w:rPr>
          <w:spacing w:val="-5"/>
        </w:rPr>
        <w:t xml:space="preserve"> </w:t>
      </w:r>
      <w:r>
        <w:t>(willhaben.at).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price/m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dividing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 xml:space="preserve">by the size column. The data is </w:t>
      </w:r>
      <w:proofErr w:type="gramStart"/>
      <w:r>
        <w:t>pre-processed</w:t>
      </w:r>
      <w:proofErr w:type="gramEnd"/>
      <w:r>
        <w:t xml:space="preserve"> and we get our first</w:t>
      </w:r>
      <w:r>
        <w:rPr>
          <w:spacing w:val="19"/>
        </w:rPr>
        <w:t xml:space="preserve"> </w:t>
      </w:r>
      <w:proofErr w:type="spellStart"/>
      <w:r>
        <w:t>dataframe</w:t>
      </w:r>
      <w:proofErr w:type="spellEnd"/>
      <w:r>
        <w:t>:</w:t>
      </w:r>
    </w:p>
    <w:p w:rsidR="00E0312D" w:rsidRDefault="00274C12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1878000</wp:posOffset>
            </wp:positionH>
            <wp:positionV relativeFrom="paragraph">
              <wp:posOffset>242772</wp:posOffset>
            </wp:positionV>
            <wp:extent cx="3800474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D" w:rsidRDefault="00E0312D">
      <w:pPr>
        <w:pStyle w:val="BodyText"/>
        <w:spacing w:before="12"/>
        <w:rPr>
          <w:sz w:val="20"/>
        </w:rPr>
      </w:pPr>
    </w:p>
    <w:p w:rsidR="00E0312D" w:rsidRDefault="00274C12">
      <w:pPr>
        <w:pStyle w:val="BodyText"/>
        <w:spacing w:line="242" w:lineRule="auto"/>
        <w:ind w:left="100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cleaned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removing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outliers,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8045</w:t>
      </w:r>
      <w:r>
        <w:rPr>
          <w:spacing w:val="-11"/>
        </w:rPr>
        <w:t xml:space="preserve"> </w:t>
      </w:r>
      <w:r>
        <w:t>apartments.</w:t>
      </w:r>
      <w:r>
        <w:rPr>
          <w:spacing w:val="-12"/>
        </w:rPr>
        <w:t xml:space="preserve"> </w:t>
      </w:r>
      <w:r>
        <w:t>From this</w:t>
      </w:r>
      <w:r>
        <w:rPr>
          <w:spacing w:val="-14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extract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rows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Postal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proofErr w:type="spellStart"/>
      <w:r>
        <w:t>geopy</w:t>
      </w:r>
      <w:proofErr w:type="spellEnd"/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coordinates</w:t>
      </w:r>
      <w:r>
        <w:rPr>
          <w:spacing w:val="-14"/>
        </w:rPr>
        <w:t xml:space="preserve"> </w:t>
      </w:r>
      <w:r>
        <w:t>for each</w:t>
      </w:r>
      <w:r>
        <w:rPr>
          <w:spacing w:val="5"/>
        </w:rPr>
        <w:t xml:space="preserve"> </w:t>
      </w:r>
      <w:r>
        <w:t>district.</w:t>
      </w:r>
    </w:p>
    <w:p w:rsidR="00E0312D" w:rsidRDefault="00E0312D">
      <w:pPr>
        <w:pStyle w:val="BodyText"/>
        <w:spacing w:before="9"/>
        <w:rPr>
          <w:sz w:val="15"/>
        </w:rPr>
      </w:pPr>
    </w:p>
    <w:p w:rsidR="00E0312D" w:rsidRDefault="00274C12">
      <w:pPr>
        <w:pStyle w:val="BodyText"/>
        <w:spacing w:before="1" w:line="242" w:lineRule="auto"/>
        <w:ind w:left="100"/>
      </w:pPr>
      <w:r>
        <w:t>Using</w:t>
      </w:r>
      <w:r>
        <w:rPr>
          <w:spacing w:val="-11"/>
        </w:rPr>
        <w:t xml:space="preserve"> </w:t>
      </w:r>
      <w:r>
        <w:t>Foursquare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closest</w:t>
      </w:r>
      <w:r>
        <w:rPr>
          <w:spacing w:val="-10"/>
        </w:rPr>
        <w:t xml:space="preserve"> </w:t>
      </w:r>
      <w:r>
        <w:t>venues</w:t>
      </w:r>
      <w:r>
        <w:rPr>
          <w:spacing w:val="-10"/>
        </w:rPr>
        <w:t xml:space="preserve"> </w:t>
      </w:r>
      <w:r>
        <w:t>(supermarket,</w:t>
      </w:r>
      <w:r>
        <w:rPr>
          <w:spacing w:val="-11"/>
        </w:rPr>
        <w:t xml:space="preserve"> </w:t>
      </w:r>
      <w:r>
        <w:t>restaurant,</w:t>
      </w:r>
      <w:r>
        <w:rPr>
          <w:spacing w:val="-10"/>
        </w:rPr>
        <w:t xml:space="preserve"> </w:t>
      </w:r>
      <w:r>
        <w:t>park,</w:t>
      </w:r>
      <w:r>
        <w:rPr>
          <w:spacing w:val="-11"/>
        </w:rPr>
        <w:t xml:space="preserve"> </w:t>
      </w:r>
      <w:r>
        <w:t>etc.)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10 venues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district.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k-means</w:t>
      </w:r>
      <w:r>
        <w:rPr>
          <w:spacing w:val="-16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districts</w:t>
      </w:r>
      <w:r>
        <w:rPr>
          <w:spacing w:val="-16"/>
        </w:rPr>
        <w:t xml:space="preserve"> </w:t>
      </w:r>
      <w:r>
        <w:t>into residential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choropleth</w:t>
      </w:r>
      <w:r>
        <w:rPr>
          <w:spacing w:val="-3"/>
        </w:rPr>
        <w:t xml:space="preserve"> </w:t>
      </w:r>
      <w:r>
        <w:t>map.</w:t>
      </w:r>
    </w:p>
    <w:p w:rsidR="00E0312D" w:rsidRDefault="00E0312D">
      <w:pPr>
        <w:spacing w:line="242" w:lineRule="auto"/>
        <w:sectPr w:rsidR="00E0312D">
          <w:type w:val="continuous"/>
          <w:pgSz w:w="11920" w:h="16860"/>
          <w:pgMar w:top="1460" w:right="580" w:bottom="280" w:left="620" w:header="720" w:footer="720" w:gutter="0"/>
          <w:cols w:space="720"/>
        </w:sectPr>
      </w:pPr>
    </w:p>
    <w:p w:rsidR="00E0312D" w:rsidRDefault="00274C12">
      <w:pPr>
        <w:pStyle w:val="Heading1"/>
        <w:spacing w:line="396" w:lineRule="exact"/>
      </w:pPr>
      <w:r>
        <w:rPr>
          <w:color w:val="666666"/>
        </w:rPr>
        <w:lastRenderedPageBreak/>
        <w:t>Methodology</w:t>
      </w:r>
    </w:p>
    <w:p w:rsidR="00E0312D" w:rsidRDefault="00E0312D">
      <w:pPr>
        <w:pStyle w:val="BodyText"/>
        <w:spacing w:before="2"/>
        <w:rPr>
          <w:sz w:val="25"/>
        </w:rPr>
      </w:pPr>
    </w:p>
    <w:p w:rsidR="00E0312D" w:rsidRDefault="00274C12">
      <w:pPr>
        <w:pStyle w:val="BodyText"/>
        <w:spacing w:line="242" w:lineRule="auto"/>
        <w:ind w:left="100" w:right="251"/>
      </w:pPr>
      <w:r>
        <w:t>We</w:t>
      </w:r>
      <w:r>
        <w:rPr>
          <w:spacing w:val="-21"/>
        </w:rPr>
        <w:t xml:space="preserve"> </w:t>
      </w:r>
      <w:r>
        <w:t>check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apartments</w:t>
      </w:r>
      <w:r>
        <w:rPr>
          <w:spacing w:val="-20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room</w:t>
      </w:r>
      <w:r>
        <w:rPr>
          <w:spacing w:val="-20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apartments</w:t>
      </w:r>
      <w:r>
        <w:rPr>
          <w:spacing w:val="-20"/>
        </w:rPr>
        <w:t xml:space="preserve"> </w:t>
      </w:r>
      <w:r>
        <w:t xml:space="preserve">we have in each district. After removing any </w:t>
      </w:r>
      <w:proofErr w:type="gramStart"/>
      <w:r>
        <w:t>outliers</w:t>
      </w:r>
      <w:proofErr w:type="gramEnd"/>
      <w:r>
        <w:t xml:space="preserve"> we can plot the following</w:t>
      </w:r>
      <w:r>
        <w:rPr>
          <w:spacing w:val="-10"/>
        </w:rPr>
        <w:t xml:space="preserve"> </w:t>
      </w:r>
      <w:r>
        <w:t>charts:</w:t>
      </w:r>
    </w:p>
    <w:p w:rsidR="00E0312D" w:rsidRDefault="00274C12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762421</wp:posOffset>
            </wp:positionH>
            <wp:positionV relativeFrom="paragraph">
              <wp:posOffset>233143</wp:posOffset>
            </wp:positionV>
            <wp:extent cx="6043835" cy="72260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835" cy="722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D" w:rsidRDefault="00E0312D">
      <w:pPr>
        <w:pStyle w:val="BodyText"/>
        <w:spacing w:before="11"/>
        <w:rPr>
          <w:sz w:val="20"/>
        </w:rPr>
      </w:pPr>
    </w:p>
    <w:p w:rsidR="00E0312D" w:rsidRDefault="00274C12">
      <w:pPr>
        <w:pStyle w:val="BodyText"/>
        <w:ind w:left="100"/>
      </w:pPr>
      <w:r>
        <w:t>From this we can see that 2 and 3 roo</w:t>
      </w:r>
      <w:r>
        <w:t>m apartments are the most common.</w:t>
      </w:r>
    </w:p>
    <w:p w:rsidR="00E0312D" w:rsidRDefault="00E0312D">
      <w:pPr>
        <w:sectPr w:rsidR="00E0312D">
          <w:pgSz w:w="11920" w:h="16860"/>
          <w:pgMar w:top="1420" w:right="580" w:bottom="280" w:left="620" w:header="720" w:footer="720" w:gutter="0"/>
          <w:cols w:space="720"/>
        </w:sectPr>
      </w:pPr>
    </w:p>
    <w:p w:rsidR="00E0312D" w:rsidRDefault="00274C12">
      <w:pPr>
        <w:pStyle w:val="BodyText"/>
        <w:spacing w:before="20"/>
        <w:ind w:left="100"/>
      </w:pPr>
      <w:r>
        <w:lastRenderedPageBreak/>
        <w:t>We can also see if there is a correlation between the price and apartment size:</w:t>
      </w:r>
    </w:p>
    <w:p w:rsidR="00E0312D" w:rsidRDefault="00274C12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1782670</wp:posOffset>
            </wp:positionH>
            <wp:positionV relativeFrom="paragraph">
              <wp:posOffset>168183</wp:posOffset>
            </wp:positionV>
            <wp:extent cx="4038599" cy="3886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59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D" w:rsidRDefault="00E0312D">
      <w:pPr>
        <w:pStyle w:val="BodyText"/>
        <w:spacing w:before="11"/>
        <w:rPr>
          <w:sz w:val="17"/>
        </w:rPr>
      </w:pPr>
    </w:p>
    <w:p w:rsidR="00E0312D" w:rsidRDefault="00274C12">
      <w:pPr>
        <w:pStyle w:val="BodyText"/>
        <w:spacing w:line="242" w:lineRule="auto"/>
        <w:ind w:left="100" w:right="251"/>
      </w:pPr>
      <w:r>
        <w:t>And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expected,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larger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apartment,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monthly</w:t>
      </w:r>
      <w:r>
        <w:rPr>
          <w:spacing w:val="-14"/>
        </w:rPr>
        <w:t xml:space="preserve"> </w:t>
      </w:r>
      <w:r>
        <w:t>rent.</w:t>
      </w:r>
      <w:r>
        <w:rPr>
          <w:spacing w:val="-14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thing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 rent per number of</w:t>
      </w:r>
      <w:r>
        <w:rPr>
          <w:spacing w:val="19"/>
        </w:rPr>
        <w:t xml:space="preserve"> </w:t>
      </w:r>
      <w:r>
        <w:t>rooms:</w:t>
      </w:r>
    </w:p>
    <w:p w:rsidR="00E0312D" w:rsidRDefault="00274C12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1868467</wp:posOffset>
            </wp:positionH>
            <wp:positionV relativeFrom="paragraph">
              <wp:posOffset>242752</wp:posOffset>
            </wp:positionV>
            <wp:extent cx="3733804" cy="2438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D" w:rsidRDefault="00E0312D">
      <w:pPr>
        <w:pStyle w:val="BodyText"/>
        <w:spacing w:before="3"/>
        <w:rPr>
          <w:sz w:val="23"/>
        </w:rPr>
      </w:pPr>
    </w:p>
    <w:p w:rsidR="00E0312D" w:rsidRDefault="00274C12">
      <w:pPr>
        <w:pStyle w:val="BodyText"/>
        <w:spacing w:line="242" w:lineRule="auto"/>
        <w:ind w:left="100"/>
      </w:pPr>
      <w:r>
        <w:t>We</w:t>
      </w:r>
      <w:r>
        <w:rPr>
          <w:spacing w:val="-14"/>
        </w:rPr>
        <w:t xml:space="preserve"> </w:t>
      </w:r>
      <w:r>
        <w:t>expect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rooms</w:t>
      </w:r>
      <w:r>
        <w:rPr>
          <w:spacing w:val="-14"/>
        </w:rPr>
        <w:t xml:space="preserve"> </w:t>
      </w:r>
      <w:r>
        <w:t>increases.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interesting</w:t>
      </w:r>
      <w:r>
        <w:rPr>
          <w:spacing w:val="-14"/>
        </w:rPr>
        <w:t xml:space="preserve"> </w:t>
      </w:r>
      <w:r>
        <w:t>aspect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 boxplot is that 1 and 2 room apartments are competing in the same price</w:t>
      </w:r>
      <w:r>
        <w:rPr>
          <w:spacing w:val="6"/>
        </w:rPr>
        <w:t xml:space="preserve"> </w:t>
      </w:r>
      <w:r>
        <w:t>range.</w:t>
      </w:r>
    </w:p>
    <w:p w:rsidR="00E0312D" w:rsidRDefault="00E0312D">
      <w:pPr>
        <w:pStyle w:val="BodyText"/>
        <w:spacing w:before="9"/>
        <w:rPr>
          <w:sz w:val="15"/>
        </w:rPr>
      </w:pPr>
    </w:p>
    <w:p w:rsidR="00E0312D" w:rsidRDefault="00274C12">
      <w:pPr>
        <w:pStyle w:val="BodyText"/>
        <w:spacing w:line="242" w:lineRule="auto"/>
        <w:ind w:left="100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price/m2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apartments</w:t>
      </w:r>
      <w:r>
        <w:rPr>
          <w:spacing w:val="-12"/>
        </w:rPr>
        <w:t xml:space="preserve"> </w:t>
      </w:r>
      <w:r>
        <w:t>besides</w:t>
      </w:r>
      <w:r>
        <w:rPr>
          <w:spacing w:val="-12"/>
        </w:rPr>
        <w:t xml:space="preserve"> </w:t>
      </w:r>
      <w:r>
        <w:t>for single room apartments where the price/m2 goes even</w:t>
      </w:r>
      <w:r>
        <w:rPr>
          <w:spacing w:val="25"/>
        </w:rPr>
        <w:t xml:space="preserve"> </w:t>
      </w:r>
      <w:r>
        <w:t>higher.</w:t>
      </w:r>
    </w:p>
    <w:p w:rsidR="00E0312D" w:rsidRDefault="00E0312D">
      <w:pPr>
        <w:spacing w:line="242" w:lineRule="auto"/>
        <w:sectPr w:rsidR="00E0312D">
          <w:pgSz w:w="11920" w:h="16860"/>
          <w:pgMar w:top="1400" w:right="580" w:bottom="280" w:left="620" w:header="720" w:footer="720" w:gutter="0"/>
          <w:cols w:space="720"/>
        </w:sectPr>
      </w:pPr>
    </w:p>
    <w:p w:rsidR="00E0312D" w:rsidRDefault="00274C12">
      <w:pPr>
        <w:pStyle w:val="BodyText"/>
        <w:ind w:left="25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89589" cy="2438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58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D" w:rsidRDefault="00E0312D">
      <w:pPr>
        <w:pStyle w:val="BodyText"/>
        <w:spacing w:before="2"/>
        <w:rPr>
          <w:sz w:val="19"/>
        </w:rPr>
      </w:pPr>
    </w:p>
    <w:p w:rsidR="00E0312D" w:rsidRDefault="00274C12">
      <w:pPr>
        <w:pStyle w:val="BodyText"/>
        <w:spacing w:before="60" w:line="242" w:lineRule="auto"/>
        <w:ind w:left="100" w:right="251"/>
      </w:pPr>
      <w:r>
        <w:t>Using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apartment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district</w:t>
      </w:r>
      <w:r>
        <w:rPr>
          <w:spacing w:val="-18"/>
        </w:rPr>
        <w:t xml:space="preserve"> </w:t>
      </w:r>
      <w:r>
        <w:t>coordinates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visualize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price/m</w:t>
      </w:r>
      <w:r>
        <w:rPr>
          <w:vertAlign w:val="superscript"/>
        </w:rPr>
        <w:t>2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ea</w:t>
      </w:r>
      <w:r>
        <w:t>ch</w:t>
      </w:r>
      <w:r>
        <w:rPr>
          <w:spacing w:val="-17"/>
        </w:rPr>
        <w:t xml:space="preserve"> </w:t>
      </w:r>
      <w:r>
        <w:t>district in Vienna. We can produce the following choropleth</w:t>
      </w:r>
      <w:r>
        <w:rPr>
          <w:spacing w:val="21"/>
        </w:rPr>
        <w:t xml:space="preserve"> </w:t>
      </w:r>
      <w:r>
        <w:t>map:</w:t>
      </w:r>
    </w:p>
    <w:p w:rsidR="00E0312D" w:rsidRDefault="00274C1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476649</wp:posOffset>
            </wp:positionH>
            <wp:positionV relativeFrom="paragraph">
              <wp:posOffset>166733</wp:posOffset>
            </wp:positionV>
            <wp:extent cx="6571300" cy="39624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300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D" w:rsidRDefault="00E0312D">
      <w:pPr>
        <w:rPr>
          <w:sz w:val="16"/>
        </w:rPr>
        <w:sectPr w:rsidR="00E0312D">
          <w:pgSz w:w="11920" w:h="16860"/>
          <w:pgMar w:top="1480" w:right="580" w:bottom="280" w:left="620" w:header="720" w:footer="720" w:gutter="0"/>
          <w:cols w:space="720"/>
        </w:sectPr>
      </w:pPr>
    </w:p>
    <w:p w:rsidR="00E0312D" w:rsidRDefault="00274C12">
      <w:pPr>
        <w:pStyle w:val="Heading1"/>
        <w:spacing w:line="396" w:lineRule="exact"/>
      </w:pPr>
      <w:r>
        <w:rPr>
          <w:color w:val="666666"/>
        </w:rPr>
        <w:lastRenderedPageBreak/>
        <w:t>Results</w:t>
      </w:r>
    </w:p>
    <w:p w:rsidR="00E0312D" w:rsidRDefault="00274C12">
      <w:pPr>
        <w:pStyle w:val="BodyText"/>
        <w:spacing w:before="219" w:line="242" w:lineRule="auto"/>
        <w:ind w:left="100" w:right="141"/>
        <w:jc w:val="both"/>
      </w:pPr>
      <w:r>
        <w:t>Once</w:t>
      </w:r>
      <w:r>
        <w:rPr>
          <w:spacing w:val="-11"/>
        </w:rPr>
        <w:t xml:space="preserve"> </w:t>
      </w:r>
      <w:r>
        <w:t>Foursquare</w:t>
      </w:r>
      <w:r>
        <w:rPr>
          <w:spacing w:val="-11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collected.</w:t>
      </w:r>
      <w:r>
        <w:rPr>
          <w:spacing w:val="-20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find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common</w:t>
      </w:r>
      <w:r>
        <w:rPr>
          <w:spacing w:val="-20"/>
        </w:rPr>
        <w:t xml:space="preserve"> </w:t>
      </w:r>
      <w:r>
        <w:t>venues</w:t>
      </w:r>
      <w:r>
        <w:rPr>
          <w:spacing w:val="-19"/>
        </w:rPr>
        <w:t xml:space="preserve"> </w:t>
      </w:r>
      <w:r>
        <w:t>(supermarket,</w:t>
      </w:r>
      <w:r>
        <w:rPr>
          <w:spacing w:val="-20"/>
        </w:rPr>
        <w:t xml:space="preserve"> </w:t>
      </w:r>
      <w:r>
        <w:t>restaurant,</w:t>
      </w:r>
      <w:r>
        <w:rPr>
          <w:spacing w:val="-20"/>
        </w:rPr>
        <w:t xml:space="preserve"> </w:t>
      </w:r>
      <w:r>
        <w:t>park,</w:t>
      </w:r>
      <w:r>
        <w:rPr>
          <w:spacing w:val="-19"/>
        </w:rPr>
        <w:t xml:space="preserve"> </w:t>
      </w:r>
      <w:r>
        <w:t>etc.)</w:t>
      </w:r>
      <w:r>
        <w:rPr>
          <w:spacing w:val="-20"/>
        </w:rPr>
        <w:t xml:space="preserve"> </w:t>
      </w:r>
      <w:r>
        <w:t xml:space="preserve">and select the top 10 venues for each district. After the data collection we can run k-means clustering to cluster the districts. By analyzing the </w:t>
      </w:r>
      <w:proofErr w:type="gramStart"/>
      <w:r>
        <w:t>clusters</w:t>
      </w:r>
      <w:proofErr w:type="gramEnd"/>
      <w:r>
        <w:t xml:space="preserve"> we can see that cluster 1 is more residential since it contains lots of parks and supermarkets while</w:t>
      </w:r>
      <w:r>
        <w:t xml:space="preserve"> cluster 2 is more commercial </w:t>
      </w:r>
      <w:r>
        <w:rPr>
          <w:w w:val="110"/>
        </w:rPr>
        <w:t xml:space="preserve">/ </w:t>
      </w:r>
      <w:r>
        <w:t>touristic and contains many hotels and restaurants. We can visualize all this data on a single choropleth</w:t>
      </w:r>
      <w:r>
        <w:rPr>
          <w:spacing w:val="25"/>
        </w:rPr>
        <w:t xml:space="preserve"> </w:t>
      </w:r>
      <w:r>
        <w:t>map.</w:t>
      </w:r>
    </w:p>
    <w:p w:rsidR="00E0312D" w:rsidRDefault="00E0312D">
      <w:pPr>
        <w:pStyle w:val="BodyText"/>
        <w:spacing w:before="10"/>
        <w:rPr>
          <w:sz w:val="15"/>
        </w:rPr>
      </w:pPr>
    </w:p>
    <w:p w:rsidR="00E0312D" w:rsidRDefault="00274C12">
      <w:pPr>
        <w:pStyle w:val="BodyText"/>
        <w:spacing w:before="1" w:line="242" w:lineRule="auto"/>
        <w:ind w:left="100" w:right="153"/>
        <w:jc w:val="both"/>
      </w:pPr>
      <w:r>
        <w:t>The red markers represent the commercial districts and the blue markers represent the residential districts. The</w:t>
      </w:r>
      <w:r>
        <w:t xml:space="preserve"> markers give further data on each district such as the average price/m</w:t>
      </w:r>
      <w:r>
        <w:rPr>
          <w:vertAlign w:val="superscript"/>
        </w:rPr>
        <w:t>2</w:t>
      </w:r>
      <w:r>
        <w:t xml:space="preserve"> and the top 10 venues for each district.</w:t>
      </w:r>
    </w:p>
    <w:p w:rsidR="00E0312D" w:rsidRDefault="00274C1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476649</wp:posOffset>
            </wp:positionH>
            <wp:positionV relativeFrom="paragraph">
              <wp:posOffset>166567</wp:posOffset>
            </wp:positionV>
            <wp:extent cx="6608780" cy="39624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780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12D" w:rsidRDefault="00E0312D">
      <w:pPr>
        <w:pStyle w:val="BodyText"/>
        <w:spacing w:before="6"/>
        <w:rPr>
          <w:sz w:val="20"/>
        </w:rPr>
      </w:pPr>
    </w:p>
    <w:p w:rsidR="00E0312D" w:rsidRDefault="00274C12">
      <w:pPr>
        <w:pStyle w:val="Heading1"/>
        <w:spacing w:before="1"/>
      </w:pPr>
      <w:r>
        <w:rPr>
          <w:color w:val="666666"/>
        </w:rPr>
        <w:t>Discussion &amp; Conclusion</w:t>
      </w:r>
    </w:p>
    <w:p w:rsidR="00E0312D" w:rsidRDefault="00E0312D">
      <w:pPr>
        <w:pStyle w:val="BodyText"/>
        <w:spacing w:before="2"/>
        <w:rPr>
          <w:sz w:val="25"/>
        </w:rPr>
      </w:pPr>
    </w:p>
    <w:p w:rsidR="00E0312D" w:rsidRDefault="00274C12">
      <w:pPr>
        <w:pStyle w:val="BodyText"/>
        <w:spacing w:line="242" w:lineRule="auto"/>
        <w:ind w:left="100" w:right="143"/>
        <w:jc w:val="both"/>
      </w:pPr>
      <w:r>
        <w:t>With this map, one could determine for example that the 1st district is the most expensive district to live in, ho</w:t>
      </w:r>
      <w:r>
        <w:t>wever by clustering we determined that there are several more similar districts where the price/m2 is significantly lower. Therefore, if someone wants to rent an apartment but cannot afford to live in the 1st district, they could look for apartments in the</w:t>
      </w:r>
      <w:r>
        <w:t xml:space="preserve"> 12th or 15th district which is similar in venues but has much lower price for renting apartments.</w:t>
      </w:r>
    </w:p>
    <w:sectPr w:rsidR="00E0312D">
      <w:pgSz w:w="11920" w:h="16860"/>
      <w:pgMar w:top="14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D0F"/>
    <w:multiLevelType w:val="hybridMultilevel"/>
    <w:tmpl w:val="68888C74"/>
    <w:lvl w:ilvl="0" w:tplc="E952812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85"/>
        <w:sz w:val="22"/>
        <w:szCs w:val="22"/>
        <w:lang w:val="en-US" w:eastAsia="en-US" w:bidi="ar-SA"/>
      </w:rPr>
    </w:lvl>
    <w:lvl w:ilvl="1" w:tplc="32F42862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C04A73E2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2BE093A4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 w:tplc="7B0844FC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 w:tplc="FE78F3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ar-SA"/>
      </w:rPr>
    </w:lvl>
    <w:lvl w:ilvl="6" w:tplc="56D4611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7" w:tplc="6B5C2EBC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50EA944A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12D"/>
    <w:rsid w:val="00274C12"/>
    <w:rsid w:val="00893474"/>
    <w:rsid w:val="00E0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2271AF"/>
  <w15:docId w15:val="{CA87363E-3F8B-444B-B564-056A605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32" w:lineRule="exact"/>
      <w:ind w:left="1990" w:right="204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34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74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Shrivastava, Ashit (Axtria)</cp:lastModifiedBy>
  <cp:revision>2</cp:revision>
  <dcterms:created xsi:type="dcterms:W3CDTF">2020-05-10T22:12:00Z</dcterms:created>
  <dcterms:modified xsi:type="dcterms:W3CDTF">2020-05-10T22:12:00Z</dcterms:modified>
</cp:coreProperties>
</file>