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left"/>
        <w:widowControl w:val="1"/>
      </w:pPr>
      <w:r>
        <w:rPr>
          <w:rFonts w:ascii="Lato" w:hAnsi="Lato"/>
          <w:b/>
          <w:color w:val="1E2733"/>
          <w:sz w:val="60"/>
        </w:rPr>
        <w:t>SACRIFICIAL DEBT</w:t>
      </w:r>
    </w:p>
    <w:p>
      <w:pPr>
        <w:spacing w:after="360"/>
        <w:widowControl w:val="1"/>
      </w:pPr>
      <w:r>
        <w:rPr>
          <w:rFonts w:ascii="Lato" w:hAnsi="Lato"/>
          <w:b w:val="0"/>
          <w:color w:val="3F4959"/>
          <w:sz w:val="38"/>
        </w:rPr>
        <w:t>How Unequal Suffering Turns Survival into Political Guilt</w:t>
      </w:r>
    </w:p>
    <w:p>
      <w:pPr>
        <w:spacing w:after="600"/>
        <w:widowControl w:val="1"/>
      </w:pPr>
      <w:r>
        <w:rPr>
          <w:rFonts w:ascii="Noto Serif" w:hAnsi="Noto Serif"/>
          <w:i/>
          <w:color w:val="464646"/>
          <w:sz w:val="26"/>
        </w:rPr>
        <w:t>A Comparative Theory-Building Research Program Prospectus</w:t>
      </w:r>
    </w:p>
    <w:p>
      <w:pPr>
        <w:spacing w:after="480"/>
        <w:widowControl w:val="1"/>
      </w:pPr>
      <w:r>
        <w:rPr>
          <w:rFonts w:ascii="Lato" w:hAnsi="Lato"/>
          <w:color w:val="5F6978"/>
          <w:sz w:val="22"/>
        </w:rPr>
        <w:t>━━━━━━━━━━━━━━━━━━━━━━━━━━━━━━━━━━━━</w:t>
      </w:r>
    </w:p>
    <w:p>
      <w:pPr>
        <w:spacing w:after="40"/>
        <w:widowControl w:val="1"/>
      </w:pPr>
      <w:r>
        <w:rPr>
          <w:rFonts w:ascii="Lato" w:hAnsi="Lato"/>
          <w:b/>
          <w:color w:val="374151"/>
          <w:sz w:val="24"/>
        </w:rPr>
        <w:t>Foundation for the Study of Political Pathology</w:t>
      </w:r>
    </w:p>
    <w:p>
      <w:pPr>
        <w:spacing w:after="40"/>
        <w:widowControl w:val="1"/>
      </w:pPr>
      <w:r>
        <w:rPr>
          <w:rFonts w:ascii="Lato" w:hAnsi="Lato"/>
          <w:b w:val="0"/>
          <w:color w:val="374151"/>
          <w:sz w:val="22"/>
        </w:rPr>
        <w:t>Working Proposal v0.2</w:t>
      </w:r>
    </w:p>
    <w:p>
      <w:pPr>
        <w:spacing w:after="40"/>
        <w:widowControl w:val="1"/>
      </w:pPr>
      <w:r>
        <w:rPr>
          <w:rFonts w:ascii="Lato" w:hAnsi="Lato"/>
          <w:b w:val="0"/>
          <w:color w:val="374151"/>
          <w:sz w:val="22"/>
        </w:rPr>
        <w:t>20 August 2026</w:t>
      </w:r>
    </w:p>
    <w:p>
      <w:pPr>
        <w:spacing w:before="720"/>
        <w:widowControl w:val="1"/>
      </w:pPr>
      <w:r>
        <w:rPr>
          <w:rFonts w:ascii="Noto Serif" w:hAnsi="Noto Serif"/>
          <w:i/>
          <w:color w:val="4B4B4B"/>
          <w:sz w:val="21"/>
        </w:rPr>
        <w:t>Project status: comparative theory-building research program prospectus. This document specifies a staged research agenda rather than a proposal for a single paper. It treats Richard A. Koenigsberg’s interpretation of Hitler and the Holocaust as a generative case, not as the proposition to be re-proved.</w:t>
      </w:r>
    </w:p>
    <w:p>
      <w:pPr>
        <w:widowControl w:val="1"/>
      </w:pPr>
      <w:r>
        <w:rPr>
          <w:rFonts w:ascii="Noto Serif" w:hAnsi="Noto Serif"/>
          <w:sz w:val="21"/>
        </w:rPr>
        <w:br w:type="page"/>
      </w:r>
    </w:p>
    <w:p>
      <w:pPr>
        <w:pStyle w:val="Heading1"/>
        <w:widowControl w:val="1"/>
      </w:pPr>
      <w:r>
        <w:rPr>
          <w:rFonts w:ascii="Noto Serif" w:hAnsi="Noto Serif"/>
          <w:sz w:val="21"/>
        </w:rPr>
        <w:t>Executive Summary</w:t>
      </w:r>
    </w:p>
    <w:p>
      <w:pPr>
        <w:widowControl w:val="1"/>
      </w:pPr>
      <w:r>
        <w:rPr>
          <w:rFonts w:ascii="Noto Serif" w:hAnsi="Noto Serif"/>
          <w:sz w:val="21"/>
        </w:rPr>
        <w:t>This project asks a general political-pathological question generated by, but not reducible to, Richard A. Koenigsberg’s work on the sacrificial meaning of the Holocaust: under what conditions does perceived exemption from collective sacrifice become an unpayable political debt that legitimates coercive suffering or death of the allegedly nonsacrificing group? The project moves beyond validating Koenigsberg’s interpretation of Hitler. Its purpose is to identify, formalize, test, and delimit a broader mechanism by which unequal suffering can alter political deservingness, turn survival into evidence of guilt, and authorize escalating forms of exclusion and violence. The prospectus is designed to generate multiple linked scholarly outputs; a focused postgraduate paper is one empirical test within the broader program, not a miniature version of the entire project.</w:t>
      </w:r>
    </w:p>
    <w:p>
      <w:pPr>
        <w:widowControl w:val="1"/>
      </w:pPr>
      <w:r>
        <w:rPr>
          <w:rFonts w:ascii="Noto Serif" w:hAnsi="Noto Serif"/>
          <w:sz w:val="21"/>
        </w:rPr>
        <w:t>The project begins from a historically established phenomenon. First World War societies commonly developed moral languages of sacrifice in which hardship was expected to be shared, while “shirkers” and “profiteers” became objects of anger. In Germany, the 1916 Judenzählung institutionalized unfounded allegations that Jews were avoiding frontline service, despite substantial Jewish military participation. Koenigsberg’s work identifies a radicalized form of this logic in Hitler: German soldiers suffer and die; Jews are imagined as escaping the obligation to suffer and die; Jewish death is then represented as redressing an intolerable imbalance. The proposed research asks what political and psychological processes make that transition possible, and why comparable sacrificial resentment in other societies did not produce the same outcome.</w:t>
      </w:r>
    </w:p>
    <w:p>
      <w:pPr>
        <w:widowControl w:val="1"/>
      </w:pPr>
      <w:r>
        <w:rPr>
          <w:rFonts w:ascii="Noto Serif" w:hAnsi="Noto Serif"/>
          <w:sz w:val="21"/>
        </w:rPr>
        <w:t>The project therefore uses Germany as a mechanism-discovery case and compares it initially with Britain, Australia, and France, where mass mobilization, casualty burdens, accusations of shirking, and demands for “equality of sacrifice” were also present. The comparison is designed around variation in outcome: stigma and coercion toward alleged nonsacrificers occurred across these societies, but racialized, ontological, and exterminatory forms of sacrificial debt did not develop in the same way.</w:t>
      </w:r>
    </w:p>
    <w:p>
      <w:pPr>
        <w:pStyle w:val="Quote"/>
        <w:spacing w:before="100" w:after="140"/>
        <w:ind w:left="504" w:right="504"/>
        <w:widowControl w:val="1"/>
      </w:pPr>
      <w:r>
        <w:rPr>
          <w:rFonts w:ascii="Noto Serif" w:hAnsi="Noto Serif"/>
          <w:i/>
          <w:sz w:val="21"/>
        </w:rPr>
        <w:t>Central research question: Under what conditions does perceived exemption from collective sacrifice become an unpayable political debt that legitimates the coercive suffering or death of the allegedly nonsacrificing group?</w:t>
      </w:r>
    </w:p>
    <w:p>
      <w:pPr>
        <w:pStyle w:val="Heading2"/>
        <w:widowControl w:val="1"/>
      </w:pPr>
      <w:r>
        <w:rPr>
          <w:rFonts w:ascii="Noto Serif" w:hAnsi="Noto Serif"/>
          <w:sz w:val="21"/>
        </w:rPr>
        <w:t>Decision Summary</w:t>
      </w:r>
    </w:p>
    <w:p>
      <w:pPr>
        <w:pStyle w:val="ListBullet"/>
      </w:pPr>
      <w:r>
        <w:t>Treat this document as a comparative research-program prospectus with staged theory development, empirical pilots, comparative tests, and multiple scholarly outputs.</w:t>
      </w:r>
    </w:p>
    <w:p>
      <w:pPr>
        <w:pStyle w:val="ListBullet"/>
      </w:pPr>
      <w:r>
        <w:t>Designate the German-Jewish veteran study, “When Survival Becomes Guilt,” as the recommended postgraduate empirical paper because it provides a hard test of whether demonstrated sacrifice can discharge an accusation of nonsacrifice.</w:t>
      </w:r>
    </w:p>
    <w:p>
      <w:pPr>
        <w:pStyle w:val="ListBullet"/>
        <w:spacing w:after="60"/>
        <w:widowControl w:val="1"/>
      </w:pPr>
      <w:r>
        <w:rPr>
          <w:rFonts w:ascii="Noto Serif" w:hAnsi="Noto Serif"/>
          <w:sz w:val="21"/>
        </w:rPr>
        <w:t>Treat “sacrificial debt” as a new theory-building project rather than a second Koenigsberg-validation workbench.</w:t>
      </w:r>
    </w:p>
    <w:p>
      <w:pPr>
        <w:pStyle w:val="ListBullet"/>
        <w:spacing w:after="60"/>
        <w:widowControl w:val="1"/>
      </w:pPr>
      <w:r>
        <w:rPr>
          <w:rFonts w:ascii="Noto Serif" w:hAnsi="Noto Serif"/>
          <w:sz w:val="21"/>
        </w:rPr>
        <w:t>Use Hitler and the German-Jewish case to discover the mechanism, but require comparison with non-exterminatory cases before making general claims.</w:t>
      </w:r>
    </w:p>
    <w:p>
      <w:pPr>
        <w:pStyle w:val="ListBullet"/>
        <w:spacing w:after="60"/>
        <w:widowControl w:val="1"/>
      </w:pPr>
      <w:r>
        <w:rPr>
          <w:rFonts w:ascii="Noto Serif" w:hAnsi="Noto Serif"/>
          <w:sz w:val="21"/>
        </w:rPr>
        <w:t>Begin with manual, proposition-level coding of a small high-quality corpus before building large-scale NLP or automated extraction.</w:t>
      </w:r>
    </w:p>
    <w:p>
      <w:pPr>
        <w:pStyle w:val="ListBullet"/>
        <w:spacing w:after="60"/>
        <w:widowControl w:val="1"/>
      </w:pPr>
      <w:r>
        <w:rPr>
          <w:rFonts w:ascii="Noto Serif" w:hAnsi="Noto Serif"/>
          <w:sz w:val="21"/>
        </w:rPr>
        <w:t>Create falsification criteria at the start and maintain a dedicated negative-evidence record throughout the project.</w:t>
      </w:r>
    </w:p>
    <w:p>
      <w:pPr>
        <w:pStyle w:val="ListBullet"/>
        <w:spacing w:after="60"/>
        <w:widowControl w:val="1"/>
      </w:pPr>
      <w:r>
        <w:rPr>
          <w:rFonts w:ascii="Noto Serif" w:hAnsi="Noto Serif"/>
          <w:sz w:val="21"/>
        </w:rPr>
        <w:t>Make the behavioral-to-ontological transition a central object of study: “you did not sacrifice” can potentially be corrected; “your kind does not sacrifice” may create an unpayable debt.</w:t>
      </w:r>
    </w:p>
    <w:p>
      <w:pPr>
        <w:pStyle w:val="ListBullet"/>
        <w:spacing w:after="60"/>
        <w:widowControl w:val="1"/>
      </w:pPr>
      <w:r>
        <w:rPr>
          <w:rFonts w:ascii="Noto Serif" w:hAnsi="Noto Serif"/>
          <w:sz w:val="21"/>
        </w:rPr>
        <w:t>Treat genocide as one possible terminal outcome, not as the definition of sacrificial debt. The model must explain variation from stigma through exclusion, punitive extraction, coercive suffering, and extermination.</w:t>
      </w:r>
    </w:p>
    <w:p>
      <w:pPr>
        <w:pStyle w:val="Heading1"/>
        <w:widowControl w:val="1"/>
      </w:pPr>
      <w:r>
        <w:rPr>
          <w:rFonts w:ascii="Noto Serif" w:hAnsi="Noto Serif"/>
          <w:sz w:val="21"/>
        </w:rPr>
        <w:t>1. Project Rationale and Intellectual Problem</w:t>
      </w:r>
    </w:p>
    <w:p>
      <w:pPr>
        <w:widowControl w:val="1"/>
      </w:pPr>
      <w:r>
        <w:rPr>
          <w:rFonts w:ascii="Noto Serif" w:hAnsi="Noto Serif"/>
          <w:sz w:val="21"/>
        </w:rPr>
        <w:t>Koenigsberg’s interpretation of Hitler provides an unusually sharp observation: Hitler repeatedly moralized German military death and juxtaposed it with populations he imagined as escaping the sacrificial obligation. In Koenigsberg’s formulation, the Holocaust can be interpreted partly as an attempt to “balance the scales of death.” That claim is historically provocative, but simply assembling additional Hitler quotations that confirm the same proposition would produce a validation exercise rather than a new research program.</w:t>
      </w:r>
    </w:p>
    <w:p>
      <w:pPr>
        <w:widowControl w:val="1"/>
      </w:pPr>
      <w:r>
        <w:rPr>
          <w:rFonts w:ascii="Noto Serif" w:hAnsi="Noto Serif"/>
          <w:sz w:val="21"/>
        </w:rPr>
        <w:t>The larger problem appears when Koenigsberg’s observation is placed beside First World War scholarship. Historians of the war describe a “social relations of sacrifice” in which communities accepted hardship partly on the assumption that burdens were fairly shared. Those seen as avoiding service or profiting from others’ suffering could be cast outside the moral community. Australian conscription debates, for example, explicitly invoked the question “why should my son, father or husband die while yours lives?” British men who did not enlist could be publicly marked as shirkers or cowards. French wartime discourse contrasted combatants paying the “blood tax” with embusqués who appeared to escape the front. Germany’s Judenzählung translated a similar suspicion into an official inquiry aimed at Jewish military participation.</w:t>
      </w:r>
    </w:p>
    <w:p>
      <w:pPr>
        <w:widowControl w:val="1"/>
      </w:pPr>
      <w:r>
        <w:rPr>
          <w:rFonts w:ascii="Noto Serif" w:hAnsi="Noto Serif"/>
          <w:sz w:val="21"/>
        </w:rPr>
        <w:t>These findings suggest that unequal sacrifice is neither uniquely German nor uniquely Nazi. The new research problem is therefore not whether mass sacrifice creates resentment. It plainly can. The unexplained transition is how a remediable accusation of unequal contribution becomes a fixed moral identity, how survival itself can become incriminating, and how a perceived debt can become collectable through state coercion.</w:t>
      </w:r>
    </w:p>
    <w:p>
      <w:pPr>
        <w:pStyle w:val="Heading2"/>
        <w:widowControl w:val="1"/>
      </w:pPr>
      <w:r>
        <w:rPr>
          <w:rFonts w:ascii="Noto Serif" w:hAnsi="Noto Serif"/>
          <w:sz w:val="21"/>
        </w:rPr>
        <w:t>1.1 Why this is a Foundation for the Study of Political Pathology project</w:t>
      </w:r>
    </w:p>
    <w:p>
      <w:pPr>
        <w:widowControl w:val="1"/>
      </w:pPr>
      <w:r>
        <w:rPr>
          <w:rFonts w:ascii="Noto Serif" w:hAnsi="Noto Serif"/>
          <w:sz w:val="21"/>
        </w:rPr>
        <w:t>The project fits the Foundation’s broader concern with political orders that transform persons and bodies into resources for sustaining a collective sacred object. It also extends the Foundation’s distinction between offering and sacrifice. A soldier may offer, willingly or under compulsion, his body to the political community; political authority receives and disposes of that body through war. The proposed project examines the further pathology that arises when authorities or publics conclude that other persons have not offered enough, have survived unjustly, or owe suffering because others have already paid the blood price.</w:t>
      </w:r>
    </w:p>
    <w:p>
      <w:pPr>
        <w:widowControl w:val="1"/>
      </w:pPr>
      <w:r>
        <w:rPr>
          <w:rFonts w:ascii="Noto Serif" w:hAnsi="Noto Serif"/>
          <w:sz w:val="21"/>
        </w:rPr>
        <w:t>This shifts analysis from the familiar question “why does a regime hate an enemy?” to a different question: “what moral accounting system makes another person’s survival appear unjust?” That is a distinct problem in political morality and one that potentially links nationalism, citizenship, war, social deservingness, scapegoating, exclusion, and mass violence without collapsing those phenomena into one category.</w:t>
      </w:r>
    </w:p>
    <w:p>
      <w:pPr>
        <w:pStyle w:val="Heading1"/>
        <w:widowControl w:val="1"/>
      </w:pPr>
      <w:r>
        <w:rPr>
          <w:rFonts w:ascii="Noto Serif" w:hAnsi="Noto Serif"/>
          <w:sz w:val="21"/>
        </w:rPr>
        <w:t>2. Research Questions</w:t>
      </w:r>
    </w:p>
    <w:p>
      <w:pPr>
        <w:pStyle w:val="Heading2"/>
        <w:widowControl w:val="1"/>
      </w:pPr>
      <w:r>
        <w:rPr>
          <w:rFonts w:ascii="Noto Serif" w:hAnsi="Noto Serif"/>
          <w:sz w:val="21"/>
        </w:rPr>
        <w:t>2.1 Central research question</w:t>
      </w:r>
    </w:p>
    <w:p>
      <w:pPr>
        <w:pStyle w:val="Quote"/>
        <w:spacing w:before="100" w:after="140"/>
        <w:ind w:left="504" w:right="504"/>
        <w:widowControl w:val="1"/>
      </w:pPr>
      <w:r>
        <w:rPr>
          <w:rFonts w:ascii="Noto Serif" w:hAnsi="Noto Serif"/>
          <w:i/>
          <w:sz w:val="21"/>
        </w:rPr>
        <w:t>Under what conditions does perceived exemption from collective sacrifice become an unpayable political debt that legitimates the coercive suffering or death of the allegedly nonsacrificing group?</w:t>
      </w:r>
    </w:p>
    <w:p>
      <w:pPr>
        <w:pStyle w:val="Heading2"/>
        <w:widowControl w:val="1"/>
      </w:pPr>
      <w:r>
        <w:rPr>
          <w:rFonts w:ascii="Noto Serif" w:hAnsi="Noto Serif"/>
          <w:sz w:val="21"/>
        </w:rPr>
        <w:t>2.2 Subordinate questions</w:t>
      </w:r>
    </w:p>
    <w:p>
      <w:pPr>
        <w:pStyle w:val="ListBullet"/>
        <w:spacing w:after="60"/>
        <w:widowControl w:val="1"/>
      </w:pPr>
      <w:r>
        <w:rPr>
          <w:rFonts w:ascii="Noto Serif" w:hAnsi="Noto Serif"/>
          <w:sz w:val="21"/>
        </w:rPr>
        <w:t>How does participation in collective sacrifice become a measure of political worth, loyalty, masculinity, citizenship, or national belonging?</w:t>
      </w:r>
    </w:p>
    <w:p>
      <w:pPr>
        <w:pStyle w:val="ListBullet"/>
        <w:spacing w:after="60"/>
        <w:widowControl w:val="1"/>
      </w:pPr>
      <w:r>
        <w:rPr>
          <w:rFonts w:ascii="Noto Serif" w:hAnsi="Noto Serif"/>
          <w:sz w:val="21"/>
        </w:rPr>
        <w:t>How are sacrificers and survivors compared, and when does unequal survival become morally problematic?</w:t>
      </w:r>
    </w:p>
    <w:p>
      <w:pPr>
        <w:pStyle w:val="ListBullet"/>
        <w:spacing w:after="60"/>
        <w:widowControl w:val="1"/>
      </w:pPr>
      <w:r>
        <w:rPr>
          <w:rFonts w:ascii="Noto Serif" w:hAnsi="Noto Serif"/>
          <w:sz w:val="21"/>
        </w:rPr>
        <w:t>When does the claim “you have not sacrificed” become the ontological claim “your kind does not or cannot sacrifice”?</w:t>
      </w:r>
    </w:p>
    <w:p>
      <w:pPr>
        <w:pStyle w:val="ListBullet"/>
        <w:spacing w:after="60"/>
        <w:widowControl w:val="1"/>
      </w:pPr>
      <w:r>
        <w:rPr>
          <w:rFonts w:ascii="Noto Serif" w:hAnsi="Noto Serif"/>
          <w:sz w:val="21"/>
        </w:rPr>
        <w:t>How does a sacrificial deficit become a debt owed to the dead, to veterans, to bereaved families, to the nation, or to the state?</w:t>
      </w:r>
    </w:p>
    <w:p>
      <w:pPr>
        <w:pStyle w:val="ListBullet"/>
        <w:spacing w:after="60"/>
        <w:widowControl w:val="1"/>
      </w:pPr>
      <w:r>
        <w:rPr>
          <w:rFonts w:ascii="Noto Serif" w:hAnsi="Noto Serif"/>
          <w:sz w:val="21"/>
        </w:rPr>
        <w:t>Who identifies the debtor population, narrates the debt, and claims authority to collect it?</w:t>
      </w:r>
    </w:p>
    <w:p>
      <w:pPr>
        <w:pStyle w:val="ListBullet"/>
        <w:spacing w:after="60"/>
        <w:widowControl w:val="1"/>
      </w:pPr>
      <w:r>
        <w:rPr>
          <w:rFonts w:ascii="Noto Serif" w:hAnsi="Noto Serif"/>
          <w:sz w:val="21"/>
        </w:rPr>
        <w:t>Why does sacrificial resentment produce stigma or social coercion in some cases, political exclusion or punitive extraction in others, and exterminatory violence only in some?</w:t>
      </w:r>
    </w:p>
    <w:p>
      <w:pPr>
        <w:pStyle w:val="ListBullet"/>
        <w:spacing w:after="60"/>
        <w:widowControl w:val="1"/>
      </w:pPr>
      <w:r>
        <w:rPr>
          <w:rFonts w:ascii="Noto Serif" w:hAnsi="Noto Serif"/>
          <w:sz w:val="21"/>
        </w:rPr>
        <w:t>Does failed sacrifice—especially catastrophic sacrifice followed by defeat—produce stronger demands to identify traitors, shirkers, profiteers, or groups alleged to have survived at others’ expense?</w:t>
      </w:r>
    </w:p>
    <w:p>
      <w:pPr>
        <w:pStyle w:val="ListBullet"/>
        <w:spacing w:after="60"/>
        <w:widowControl w:val="1"/>
      </w:pPr>
      <w:r>
        <w:rPr>
          <w:rFonts w:ascii="Noto Serif" w:hAnsi="Noto Serif"/>
          <w:sz w:val="21"/>
        </w:rPr>
        <w:t>What evidence would distinguish sacrificial debt from ordinary prejudice, racial ideology, scapegoating, revenge, wartime brutalization, or material competition?</w:t>
      </w:r>
    </w:p>
    <w:p>
      <w:pPr>
        <w:pStyle w:val="Heading1"/>
        <w:widowControl w:val="1"/>
      </w:pPr>
      <w:r>
        <w:rPr>
          <w:rFonts w:ascii="Noto Serif" w:hAnsi="Noto Serif"/>
          <w:sz w:val="21"/>
        </w:rPr>
        <w:t>3. Novelty and Relationship to Existing Scholarship</w:t>
      </w:r>
    </w:p>
    <w:p>
      <w:pPr>
        <w:widowControl w:val="1"/>
      </w:pPr>
      <w:r>
        <w:rPr>
          <w:rFonts w:ascii="Noto Serif" w:hAnsi="Noto Serif"/>
          <w:sz w:val="21"/>
        </w:rPr>
        <w:t>The project’s novelty must be stated cautiously. Existing scholarship already covers many neighboring concepts: wartime “communities of sacrifice,” equal distribution of hardship, the moral economy of military deservingness, the cult of the fallen soldier, brutalization, redemptive antisemitism, the persistence of interethnic violence after 1918, and the relationship between total war and genocide. The project should therefore not claim that historians have ignored sacrifice, inequality, or resentment.</w:t>
      </w:r>
    </w:p>
    <w:p>
      <w:pPr>
        <w:widowControl w:val="1"/>
      </w:pPr>
      <w:r>
        <w:rPr>
          <w:rFonts w:ascii="Noto Serif" w:hAnsi="Noto Serif"/>
          <w:sz w:val="21"/>
        </w:rPr>
        <w:t>The provisional contribution is instead integrative and mechanistic: to explain how perceived unequal sacrifice can be converted into an attributed debt; how that debt can be essentialized at the group level; how evidence of actual sacrifice may fail to discharge it; and how political actors can transform the debt into a justification for coercion. Phase 1 must include a formal novelty audit designed to discover whether an equivalent theory already exists under other terminology. If it does, the project should revise its contribution rather than defend an artificial claim to originality.</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2232"/>
            <w:shd w:fill="E6E9ED"/>
            <w:tcMar>
              <w:top w:w="90" w:type="dxa"/>
              <w:start w:w="100" w:type="dxa"/>
              <w:bottom w:w="90" w:type="dxa"/>
              <w:end w:w="100" w:type="dxa"/>
            </w:tcMar>
          </w:tcPr>
          <w:p>
            <w:pPr>
              <w:jc w:val="left"/>
            </w:pPr>
            <w:r>
              <w:rPr>
                <w:rFonts w:ascii="Lato" w:hAnsi="Lato"/>
                <w:b/>
                <w:sz w:val="17"/>
              </w:rPr>
              <w:t>Scholar / literature</w:t>
            </w:r>
          </w:p>
        </w:tc>
        <w:tc>
          <w:tcPr>
            <w:tcW w:type="dxa" w:w="3816"/>
            <w:shd w:fill="E6E9ED"/>
            <w:tcMar>
              <w:top w:w="90" w:type="dxa"/>
              <w:start w:w="100" w:type="dxa"/>
              <w:bottom w:w="90" w:type="dxa"/>
              <w:end w:w="100" w:type="dxa"/>
            </w:tcMar>
          </w:tcPr>
          <w:p>
            <w:pPr>
              <w:jc w:val="left"/>
            </w:pPr>
            <w:r>
              <w:rPr>
                <w:rFonts w:ascii="Lato" w:hAnsi="Lato"/>
                <w:b/>
                <w:sz w:val="17"/>
              </w:rPr>
              <w:t>Established contribution</w:t>
            </w:r>
          </w:p>
        </w:tc>
        <w:tc>
          <w:tcPr>
            <w:tcW w:type="dxa" w:w="3744"/>
            <w:shd w:fill="E6E9ED"/>
            <w:tcMar>
              <w:top w:w="90" w:type="dxa"/>
              <w:start w:w="100" w:type="dxa"/>
              <w:bottom w:w="90" w:type="dxa"/>
              <w:end w:w="100" w:type="dxa"/>
            </w:tcMar>
          </w:tcPr>
          <w:p>
            <w:pPr>
              <w:jc w:val="left"/>
            </w:pPr>
            <w:r>
              <w:rPr>
                <w:rFonts w:ascii="Lato" w:hAnsi="Lato"/>
                <w:b/>
                <w:sz w:val="17"/>
              </w:rPr>
              <w:t>Role in this project</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Richard A. Koenigsberg</w:t>
            </w:r>
          </w:p>
        </w:tc>
        <w:tc>
          <w:tcPr>
            <w:tcW w:type="dxa" w:w="3816"/>
            <w:tcMar>
              <w:top w:w="90" w:type="dxa"/>
              <w:start w:w="100" w:type="dxa"/>
              <w:bottom w:w="90" w:type="dxa"/>
              <w:end w:w="100" w:type="dxa"/>
            </w:tcMar>
            <w:vAlign w:val="top"/>
          </w:tcPr>
          <w:p>
            <w:pPr>
              <w:spacing w:after="0"/>
            </w:pPr>
            <w:r>
              <w:rPr>
                <w:rFonts w:ascii="Noto Serif" w:hAnsi="Noto Serif"/>
                <w:sz w:val="17"/>
              </w:rPr>
              <w:t>Sacrificial meaning of war and Holocaust; Hitler’s juxtaposition of German military death and Jewish death.</w:t>
            </w:r>
          </w:p>
        </w:tc>
        <w:tc>
          <w:tcPr>
            <w:tcW w:type="dxa" w:w="3744"/>
            <w:tcMar>
              <w:top w:w="90" w:type="dxa"/>
              <w:start w:w="100" w:type="dxa"/>
              <w:bottom w:w="90" w:type="dxa"/>
              <w:end w:w="100" w:type="dxa"/>
            </w:tcMar>
            <w:vAlign w:val="top"/>
          </w:tcPr>
          <w:p>
            <w:pPr>
              <w:spacing w:after="0"/>
            </w:pPr>
            <w:r>
              <w:rPr>
                <w:rFonts w:ascii="Noto Serif" w:hAnsi="Noto Serif"/>
                <w:sz w:val="17"/>
              </w:rPr>
              <w:t>Generative observation and extreme case. Project asks for the general mechanism and comparative limits.</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George L. Mosse</w:t>
            </w:r>
          </w:p>
        </w:tc>
        <w:tc>
          <w:tcPr>
            <w:tcW w:type="dxa" w:w="3816"/>
            <w:tcMar>
              <w:top w:w="90" w:type="dxa"/>
              <w:start w:w="100" w:type="dxa"/>
              <w:bottom w:w="90" w:type="dxa"/>
              <w:end w:w="100" w:type="dxa"/>
            </w:tcMar>
            <w:vAlign w:val="top"/>
          </w:tcPr>
          <w:p>
            <w:pPr>
              <w:spacing w:after="0"/>
            </w:pPr>
            <w:r>
              <w:rPr>
                <w:rFonts w:ascii="Noto Serif" w:hAnsi="Noto Serif"/>
                <w:sz w:val="17"/>
              </w:rPr>
              <w:t>Myth of the war experience; cult of fallen soldiers; sacrifice, regeneration, brutalization, and postwar nationalism.</w:t>
            </w:r>
          </w:p>
        </w:tc>
        <w:tc>
          <w:tcPr>
            <w:tcW w:type="dxa" w:w="3744"/>
            <w:tcMar>
              <w:top w:w="90" w:type="dxa"/>
              <w:start w:w="100" w:type="dxa"/>
              <w:bottom w:w="90" w:type="dxa"/>
              <w:end w:w="100" w:type="dxa"/>
            </w:tcMar>
            <w:vAlign w:val="top"/>
          </w:tcPr>
          <w:p>
            <w:pPr>
              <w:spacing w:after="0"/>
            </w:pPr>
            <w:r>
              <w:rPr>
                <w:rFonts w:ascii="Noto Serif" w:hAnsi="Noto Serif"/>
                <w:sz w:val="17"/>
              </w:rPr>
              <w:t>Explains sanctification of military death and German postwar political culture.</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Saul Friedländer</w:t>
            </w:r>
          </w:p>
        </w:tc>
        <w:tc>
          <w:tcPr>
            <w:tcW w:type="dxa" w:w="3816"/>
            <w:tcMar>
              <w:top w:w="90" w:type="dxa"/>
              <w:start w:w="100" w:type="dxa"/>
              <w:bottom w:w="90" w:type="dxa"/>
              <w:end w:w="100" w:type="dxa"/>
            </w:tcMar>
            <w:vAlign w:val="top"/>
          </w:tcPr>
          <w:p>
            <w:pPr>
              <w:spacing w:after="0"/>
            </w:pPr>
            <w:r>
              <w:rPr>
                <w:rFonts w:ascii="Noto Serif" w:hAnsi="Noto Serif"/>
                <w:sz w:val="17"/>
              </w:rPr>
              <w:t>“Redemptive antisemitism”: removal or annihilation of Jews as imagined cure/redemption.</w:t>
            </w:r>
          </w:p>
        </w:tc>
        <w:tc>
          <w:tcPr>
            <w:tcW w:type="dxa" w:w="3744"/>
            <w:tcMar>
              <w:top w:w="90" w:type="dxa"/>
              <w:start w:w="100" w:type="dxa"/>
              <w:bottom w:w="90" w:type="dxa"/>
              <w:end w:w="100" w:type="dxa"/>
            </w:tcMar>
            <w:vAlign w:val="top"/>
          </w:tcPr>
          <w:p>
            <w:pPr>
              <w:spacing w:after="0"/>
            </w:pPr>
            <w:r>
              <w:rPr>
                <w:rFonts w:ascii="Noto Serif" w:hAnsi="Noto Serif"/>
                <w:sz w:val="17"/>
              </w:rPr>
              <w:t>Explains why anti-Jewish action could acquire salvific meaning; project asks why suffering/death becomes morally reparative.</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Omer Bartov</w:t>
            </w:r>
          </w:p>
        </w:tc>
        <w:tc>
          <w:tcPr>
            <w:tcW w:type="dxa" w:w="3816"/>
            <w:tcMar>
              <w:top w:w="90" w:type="dxa"/>
              <w:start w:w="100" w:type="dxa"/>
              <w:bottom w:w="90" w:type="dxa"/>
              <w:end w:w="100" w:type="dxa"/>
            </w:tcMar>
            <w:vAlign w:val="top"/>
          </w:tcPr>
          <w:p>
            <w:pPr>
              <w:spacing w:after="0"/>
            </w:pPr>
            <w:r>
              <w:rPr>
                <w:rFonts w:ascii="Noto Serif" w:hAnsi="Noto Serif"/>
                <w:sz w:val="17"/>
              </w:rPr>
              <w:t>Eastern Front brutalization, ideological warfare, militarized genocide, industrial killing.</w:t>
            </w:r>
          </w:p>
        </w:tc>
        <w:tc>
          <w:tcPr>
            <w:tcW w:type="dxa" w:w="3744"/>
            <w:tcMar>
              <w:top w:w="90" w:type="dxa"/>
              <w:start w:w="100" w:type="dxa"/>
              <w:bottom w:w="90" w:type="dxa"/>
              <w:end w:w="100" w:type="dxa"/>
            </w:tcMar>
            <w:vAlign w:val="top"/>
          </w:tcPr>
          <w:p>
            <w:pPr>
              <w:spacing w:after="0"/>
            </w:pPr>
            <w:r>
              <w:rPr>
                <w:rFonts w:ascii="Noto Serif" w:hAnsi="Noto Serif"/>
                <w:sz w:val="17"/>
              </w:rPr>
              <w:t>Provides war-to-atrocity mechanisms and soldier-level ideological context.</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Ian Kershaw</w:t>
            </w:r>
          </w:p>
        </w:tc>
        <w:tc>
          <w:tcPr>
            <w:tcW w:type="dxa" w:w="3816"/>
            <w:tcMar>
              <w:top w:w="90" w:type="dxa"/>
              <w:start w:w="100" w:type="dxa"/>
              <w:bottom w:w="90" w:type="dxa"/>
              <w:end w:w="100" w:type="dxa"/>
            </w:tcMar>
            <w:vAlign w:val="top"/>
          </w:tcPr>
          <w:p>
            <w:pPr>
              <w:spacing w:after="0"/>
            </w:pPr>
            <w:r>
              <w:rPr>
                <w:rFonts w:ascii="Noto Serif" w:hAnsi="Noto Serif"/>
                <w:sz w:val="17"/>
              </w:rPr>
              <w:t>Hitler, defeat, radicalization, “working towards the Führer,” and the centrality of WWI to Hitler’s worldview.</w:t>
            </w:r>
          </w:p>
        </w:tc>
        <w:tc>
          <w:tcPr>
            <w:tcW w:type="dxa" w:w="3744"/>
            <w:tcMar>
              <w:top w:w="90" w:type="dxa"/>
              <w:start w:w="100" w:type="dxa"/>
              <w:bottom w:w="90" w:type="dxa"/>
              <w:end w:w="100" w:type="dxa"/>
            </w:tcMar>
            <w:vAlign w:val="top"/>
          </w:tcPr>
          <w:p>
            <w:pPr>
              <w:spacing w:after="0"/>
            </w:pPr>
            <w:r>
              <w:rPr>
                <w:rFonts w:ascii="Noto Serif" w:hAnsi="Noto Serif"/>
                <w:sz w:val="17"/>
              </w:rPr>
              <w:t>Provides contextual and process-tracing evidence around Hitler’s radicalization.</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Michael Geheran</w:t>
            </w:r>
          </w:p>
        </w:tc>
        <w:tc>
          <w:tcPr>
            <w:tcW w:type="dxa" w:w="3816"/>
            <w:tcMar>
              <w:top w:w="90" w:type="dxa"/>
              <w:start w:w="100" w:type="dxa"/>
              <w:bottom w:w="90" w:type="dxa"/>
              <w:end w:w="100" w:type="dxa"/>
            </w:tcMar>
            <w:vAlign w:val="top"/>
          </w:tcPr>
          <w:p>
            <w:pPr>
              <w:spacing w:after="0"/>
            </w:pPr>
            <w:r>
              <w:rPr>
                <w:rFonts w:ascii="Noto Serif" w:hAnsi="Noto Serif"/>
                <w:sz w:val="17"/>
              </w:rPr>
              <w:t>German Jewish WWI veterans, military service, belonging, and persecution under Nazism.</w:t>
            </w:r>
          </w:p>
        </w:tc>
        <w:tc>
          <w:tcPr>
            <w:tcW w:type="dxa" w:w="3744"/>
            <w:tcMar>
              <w:top w:w="90" w:type="dxa"/>
              <w:start w:w="100" w:type="dxa"/>
              <w:bottom w:w="90" w:type="dxa"/>
              <w:end w:w="100" w:type="dxa"/>
            </w:tcMar>
            <w:vAlign w:val="top"/>
          </w:tcPr>
          <w:p>
            <w:pPr>
              <w:spacing w:after="0"/>
            </w:pPr>
            <w:r>
              <w:rPr>
                <w:rFonts w:ascii="Noto Serif" w:hAnsi="Noto Serif"/>
                <w:sz w:val="17"/>
              </w:rPr>
              <w:t>Critical test of the behavioral-to-ontological transition: actual Jewish sacrifice did not reliably discharge racialized suspicion.</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WWI “social relations of sacrifice” scholarship</w:t>
            </w:r>
          </w:p>
        </w:tc>
        <w:tc>
          <w:tcPr>
            <w:tcW w:type="dxa" w:w="3816"/>
            <w:tcMar>
              <w:top w:w="90" w:type="dxa"/>
              <w:start w:w="100" w:type="dxa"/>
              <w:bottom w:w="90" w:type="dxa"/>
              <w:end w:w="100" w:type="dxa"/>
            </w:tcMar>
            <w:vAlign w:val="top"/>
          </w:tcPr>
          <w:p>
            <w:pPr>
              <w:spacing w:after="0"/>
            </w:pPr>
            <w:r>
              <w:rPr>
                <w:rFonts w:ascii="Noto Serif" w:hAnsi="Noto Serif"/>
                <w:sz w:val="17"/>
              </w:rPr>
              <w:t>Shared hardship, shirkers, profiteers, demands for equal sacrifice across belligerent societies.</w:t>
            </w:r>
          </w:p>
        </w:tc>
        <w:tc>
          <w:tcPr>
            <w:tcW w:type="dxa" w:w="3744"/>
            <w:tcMar>
              <w:top w:w="90" w:type="dxa"/>
              <w:start w:w="100" w:type="dxa"/>
              <w:bottom w:w="90" w:type="dxa"/>
              <w:end w:w="100" w:type="dxa"/>
            </w:tcMar>
            <w:vAlign w:val="top"/>
          </w:tcPr>
          <w:p>
            <w:pPr>
              <w:spacing w:after="0"/>
            </w:pPr>
            <w:r>
              <w:rPr>
                <w:rFonts w:ascii="Noto Serif" w:hAnsi="Noto Serif"/>
                <w:sz w:val="17"/>
              </w:rPr>
              <w:t>Provides comparative baseline showing that sacrificial resentment is not uniquely Nazi.</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Military welfare / moral economy scholarship</w:t>
            </w:r>
          </w:p>
        </w:tc>
        <w:tc>
          <w:tcPr>
            <w:tcW w:type="dxa" w:w="3816"/>
            <w:tcMar>
              <w:top w:w="90" w:type="dxa"/>
              <w:start w:w="100" w:type="dxa"/>
              <w:bottom w:w="90" w:type="dxa"/>
              <w:end w:w="100" w:type="dxa"/>
            </w:tcMar>
            <w:vAlign w:val="top"/>
          </w:tcPr>
          <w:p>
            <w:pPr>
              <w:spacing w:after="0"/>
            </w:pPr>
            <w:r>
              <w:rPr>
                <w:rFonts w:ascii="Noto Serif" w:hAnsi="Noto Serif"/>
                <w:sz w:val="17"/>
              </w:rPr>
              <w:t>Sacrifice as a basis of deservingness and differentiated claims on the state.</w:t>
            </w:r>
          </w:p>
        </w:tc>
        <w:tc>
          <w:tcPr>
            <w:tcW w:type="dxa" w:w="3744"/>
            <w:tcMar>
              <w:top w:w="90" w:type="dxa"/>
              <w:start w:w="100" w:type="dxa"/>
              <w:bottom w:w="90" w:type="dxa"/>
              <w:end w:w="100" w:type="dxa"/>
            </w:tcMar>
            <w:vAlign w:val="top"/>
          </w:tcPr>
          <w:p>
            <w:pPr>
              <w:spacing w:after="0"/>
            </w:pPr>
            <w:r>
              <w:rPr>
                <w:rFonts w:ascii="Noto Serif" w:hAnsi="Noto Serif"/>
                <w:sz w:val="17"/>
              </w:rPr>
              <w:t>Shows that sacrifice generates creditor/debtor relationships even outside genocidal contexts.</w:t>
            </w:r>
          </w:p>
        </w:tc>
      </w:tr>
    </w:tbl>
    <w:p>
      <w:pPr>
        <w:spacing w:after="0"/>
        <w:widowControl w:val="1"/>
      </w:pPr>
    </w:p>
    <w:p>
      <w:pPr>
        <w:pStyle w:val="Heading1"/>
        <w:widowControl w:val="1"/>
      </w:pPr>
      <w:r>
        <w:rPr>
          <w:rFonts w:ascii="Noto Serif" w:hAnsi="Noto Serif"/>
          <w:sz w:val="21"/>
        </w:rPr>
        <w:t>4. Conceptual Framework</w:t>
      </w:r>
    </w:p>
    <w:p>
      <w:pPr>
        <w:widowControl w:val="1"/>
      </w:pPr>
      <w:r>
        <w:rPr>
          <w:rFonts w:ascii="Noto Serif" w:hAnsi="Noto Serif"/>
          <w:sz w:val="21"/>
        </w:rPr>
        <w:t>The proposal uses a small set of concepts that must remain analytically distinct. Their purpose is to prevent “sacrifice” from becoming a catch-all label for any suffering or death.</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2736"/>
            <w:shd w:fill="E6E9ED"/>
            <w:tcMar>
              <w:top w:w="90" w:type="dxa"/>
              <w:start w:w="100" w:type="dxa"/>
              <w:bottom w:w="90" w:type="dxa"/>
              <w:end w:w="100" w:type="dxa"/>
            </w:tcMar>
          </w:tcPr>
          <w:p>
            <w:pPr>
              <w:jc w:val="left"/>
            </w:pPr>
            <w:r>
              <w:rPr>
                <w:rFonts w:ascii="Lato" w:hAnsi="Lato"/>
                <w:b/>
                <w:sz w:val="17"/>
              </w:rPr>
              <w:t>Concept</w:t>
            </w:r>
          </w:p>
        </w:tc>
        <w:tc>
          <w:tcPr>
            <w:tcW w:type="dxa" w:w="7200"/>
            <w:shd w:fill="E6E9ED"/>
            <w:tcMar>
              <w:top w:w="90" w:type="dxa"/>
              <w:start w:w="100" w:type="dxa"/>
              <w:bottom w:w="90" w:type="dxa"/>
              <w:end w:w="100" w:type="dxa"/>
            </w:tcMar>
          </w:tcPr>
          <w:p>
            <w:pPr>
              <w:jc w:val="left"/>
            </w:pPr>
            <w:r>
              <w:rPr>
                <w:rFonts w:ascii="Lato" w:hAnsi="Lato"/>
                <w:b/>
                <w:sz w:val="17"/>
              </w:rPr>
              <w:t>Working definition</w:t>
            </w:r>
          </w:p>
        </w:tc>
      </w:tr>
      <w:tr>
        <w:trPr>
          <w:cantSplit/>
        </w:trPr>
        <w:tc>
          <w:tcPr>
            <w:tcW w:type="dxa" w:w="2736"/>
            <w:tcMar>
              <w:top w:w="90" w:type="dxa"/>
              <w:start w:w="100" w:type="dxa"/>
              <w:bottom w:w="90" w:type="dxa"/>
              <w:end w:w="100" w:type="dxa"/>
            </w:tcMar>
            <w:vAlign w:val="top"/>
          </w:tcPr>
          <w:p>
            <w:pPr>
              <w:spacing w:after="0"/>
            </w:pPr>
            <w:r>
              <w:rPr>
                <w:rFonts w:ascii="Noto Serif" w:hAnsi="Noto Serif"/>
                <w:sz w:val="17"/>
              </w:rPr>
              <w:t>Collective sacred object</w:t>
            </w:r>
          </w:p>
        </w:tc>
        <w:tc>
          <w:tcPr>
            <w:tcW w:type="dxa" w:w="7200"/>
            <w:tcMar>
              <w:top w:w="90" w:type="dxa"/>
              <w:start w:w="100" w:type="dxa"/>
              <w:bottom w:w="90" w:type="dxa"/>
              <w:end w:w="100" w:type="dxa"/>
            </w:tcMar>
            <w:vAlign w:val="top"/>
          </w:tcPr>
          <w:p>
            <w:pPr>
              <w:spacing w:after="0"/>
            </w:pPr>
            <w:r>
              <w:rPr>
                <w:rFonts w:ascii="Noto Serif" w:hAnsi="Noto Serif"/>
                <w:sz w:val="17"/>
              </w:rPr>
              <w:t>The entity represented as possessing a claim superior to ordinary individual preservation: nation, people, revolution, race, state, faith, or other collective.</w:t>
            </w:r>
          </w:p>
        </w:tc>
      </w:tr>
      <w:tr>
        <w:trPr>
          <w:cantSplit/>
        </w:trPr>
        <w:tc>
          <w:tcPr>
            <w:tcW w:type="dxa" w:w="2736"/>
            <w:tcMar>
              <w:top w:w="90" w:type="dxa"/>
              <w:start w:w="100" w:type="dxa"/>
              <w:bottom w:w="90" w:type="dxa"/>
              <w:end w:w="100" w:type="dxa"/>
            </w:tcMar>
            <w:vAlign w:val="top"/>
          </w:tcPr>
          <w:p>
            <w:pPr>
              <w:spacing w:after="0"/>
            </w:pPr>
            <w:r>
              <w:rPr>
                <w:rFonts w:ascii="Noto Serif" w:hAnsi="Noto Serif"/>
                <w:sz w:val="17"/>
              </w:rPr>
              <w:t>Sacrificial demand</w:t>
            </w:r>
          </w:p>
        </w:tc>
        <w:tc>
          <w:tcPr>
            <w:tcW w:type="dxa" w:w="7200"/>
            <w:tcMar>
              <w:top w:w="90" w:type="dxa"/>
              <w:start w:w="100" w:type="dxa"/>
              <w:bottom w:w="90" w:type="dxa"/>
              <w:end w:w="100" w:type="dxa"/>
            </w:tcMar>
            <w:vAlign w:val="top"/>
          </w:tcPr>
          <w:p>
            <w:pPr>
              <w:spacing w:after="0"/>
            </w:pPr>
            <w:r>
              <w:rPr>
                <w:rFonts w:ascii="Noto Serif" w:hAnsi="Noto Serif"/>
                <w:sz w:val="17"/>
              </w:rPr>
              <w:t>A claim that persons must surrender valued goods—time, property, bodily safety, family relations, freedom, or life—for the collective.</w:t>
            </w:r>
          </w:p>
        </w:tc>
      </w:tr>
      <w:tr>
        <w:trPr>
          <w:cantSplit/>
        </w:trPr>
        <w:tc>
          <w:tcPr>
            <w:tcW w:type="dxa" w:w="2736"/>
            <w:tcMar>
              <w:top w:w="90" w:type="dxa"/>
              <w:start w:w="100" w:type="dxa"/>
              <w:bottom w:w="90" w:type="dxa"/>
              <w:end w:w="100" w:type="dxa"/>
            </w:tcMar>
            <w:vAlign w:val="top"/>
          </w:tcPr>
          <w:p>
            <w:pPr>
              <w:spacing w:after="0"/>
            </w:pPr>
            <w:r>
              <w:rPr>
                <w:rFonts w:ascii="Noto Serif" w:hAnsi="Noto Serif"/>
                <w:sz w:val="17"/>
              </w:rPr>
              <w:t>Offering</w:t>
            </w:r>
          </w:p>
        </w:tc>
        <w:tc>
          <w:tcPr>
            <w:tcW w:type="dxa" w:w="7200"/>
            <w:tcMar>
              <w:top w:w="90" w:type="dxa"/>
              <w:start w:w="100" w:type="dxa"/>
              <w:bottom w:w="90" w:type="dxa"/>
              <w:end w:w="100" w:type="dxa"/>
            </w:tcMar>
            <w:vAlign w:val="top"/>
          </w:tcPr>
          <w:p>
            <w:pPr>
              <w:spacing w:after="0"/>
            </w:pPr>
            <w:r>
              <w:rPr>
                <w:rFonts w:ascii="Noto Serif" w:hAnsi="Noto Serif"/>
                <w:sz w:val="17"/>
              </w:rPr>
              <w:t>The act by which a person or group yields something of value. It may be voluntary, socially compelled, legally compelled, or coerced.</w:t>
            </w:r>
          </w:p>
        </w:tc>
      </w:tr>
      <w:tr>
        <w:trPr>
          <w:cantSplit/>
        </w:trPr>
        <w:tc>
          <w:tcPr>
            <w:tcW w:type="dxa" w:w="2736"/>
            <w:tcMar>
              <w:top w:w="90" w:type="dxa"/>
              <w:start w:w="100" w:type="dxa"/>
              <w:bottom w:w="90" w:type="dxa"/>
              <w:end w:w="100" w:type="dxa"/>
            </w:tcMar>
            <w:vAlign w:val="top"/>
          </w:tcPr>
          <w:p>
            <w:pPr>
              <w:spacing w:after="0"/>
            </w:pPr>
            <w:r>
              <w:rPr>
                <w:rFonts w:ascii="Noto Serif" w:hAnsi="Noto Serif"/>
                <w:sz w:val="17"/>
              </w:rPr>
              <w:t>Sacrifice</w:t>
            </w:r>
          </w:p>
        </w:tc>
        <w:tc>
          <w:tcPr>
            <w:tcW w:type="dxa" w:w="7200"/>
            <w:tcMar>
              <w:top w:w="90" w:type="dxa"/>
              <w:start w:w="100" w:type="dxa"/>
              <w:bottom w:w="90" w:type="dxa"/>
              <w:end w:w="100" w:type="dxa"/>
            </w:tcMar>
            <w:vAlign w:val="top"/>
          </w:tcPr>
          <w:p>
            <w:pPr>
              <w:spacing w:after="0"/>
            </w:pPr>
            <w:r>
              <w:rPr>
                <w:rFonts w:ascii="Noto Serif" w:hAnsi="Noto Serif"/>
                <w:sz w:val="17"/>
              </w:rPr>
              <w:t>The socially or politically interpreted surrender or destruction of something valuable for the sake of a higher object or claimed communal good.</w:t>
            </w:r>
          </w:p>
        </w:tc>
      </w:tr>
      <w:tr>
        <w:trPr>
          <w:cantSplit/>
        </w:trPr>
        <w:tc>
          <w:tcPr>
            <w:tcW w:type="dxa" w:w="2736"/>
            <w:tcMar>
              <w:top w:w="90" w:type="dxa"/>
              <w:start w:w="100" w:type="dxa"/>
              <w:bottom w:w="90" w:type="dxa"/>
              <w:end w:w="100" w:type="dxa"/>
            </w:tcMar>
            <w:vAlign w:val="top"/>
          </w:tcPr>
          <w:p>
            <w:pPr>
              <w:spacing w:after="0"/>
            </w:pPr>
            <w:r>
              <w:rPr>
                <w:rFonts w:ascii="Noto Serif" w:hAnsi="Noto Serif"/>
                <w:sz w:val="17"/>
              </w:rPr>
              <w:t>Sacrificial asymmetry</w:t>
            </w:r>
          </w:p>
        </w:tc>
        <w:tc>
          <w:tcPr>
            <w:tcW w:type="dxa" w:w="7200"/>
            <w:tcMar>
              <w:top w:w="90" w:type="dxa"/>
              <w:start w:w="100" w:type="dxa"/>
              <w:bottom w:w="90" w:type="dxa"/>
              <w:end w:w="100" w:type="dxa"/>
            </w:tcMar>
            <w:vAlign w:val="top"/>
          </w:tcPr>
          <w:p>
            <w:pPr>
              <w:spacing w:after="0"/>
            </w:pPr>
            <w:r>
              <w:rPr>
                <w:rFonts w:ascii="Noto Serif" w:hAnsi="Noto Serif"/>
                <w:sz w:val="17"/>
              </w:rPr>
              <w:t>A perceived inequality in the distribution of risk, deprivation, suffering, or death undertaken for the collective.</w:t>
            </w:r>
          </w:p>
        </w:tc>
      </w:tr>
      <w:tr>
        <w:trPr>
          <w:cantSplit/>
        </w:trPr>
        <w:tc>
          <w:tcPr>
            <w:tcW w:type="dxa" w:w="2736"/>
            <w:tcMar>
              <w:top w:w="90" w:type="dxa"/>
              <w:start w:w="100" w:type="dxa"/>
              <w:bottom w:w="90" w:type="dxa"/>
              <w:end w:w="100" w:type="dxa"/>
            </w:tcMar>
            <w:vAlign w:val="top"/>
          </w:tcPr>
          <w:p>
            <w:pPr>
              <w:spacing w:after="0"/>
            </w:pPr>
            <w:r>
              <w:rPr>
                <w:rFonts w:ascii="Noto Serif" w:hAnsi="Noto Serif"/>
                <w:sz w:val="17"/>
              </w:rPr>
              <w:t>Sacrificial creditor</w:t>
            </w:r>
          </w:p>
        </w:tc>
        <w:tc>
          <w:tcPr>
            <w:tcW w:type="dxa" w:w="7200"/>
            <w:tcMar>
              <w:top w:w="90" w:type="dxa"/>
              <w:start w:w="100" w:type="dxa"/>
              <w:bottom w:w="90" w:type="dxa"/>
              <w:end w:w="100" w:type="dxa"/>
            </w:tcMar>
            <w:vAlign w:val="top"/>
          </w:tcPr>
          <w:p>
            <w:pPr>
              <w:spacing w:after="0"/>
            </w:pPr>
            <w:r>
              <w:rPr>
                <w:rFonts w:ascii="Noto Serif" w:hAnsi="Noto Serif"/>
                <w:sz w:val="17"/>
              </w:rPr>
              <w:t>An actor or symbolic constituency—soldiers, veterans, bereaved families, “the fallen,” or the nation itself—whose sacrifice is represented as creating a claim.</w:t>
            </w:r>
          </w:p>
        </w:tc>
      </w:tr>
      <w:tr>
        <w:trPr>
          <w:cantSplit/>
        </w:trPr>
        <w:tc>
          <w:tcPr>
            <w:tcW w:type="dxa" w:w="2736"/>
            <w:tcMar>
              <w:top w:w="90" w:type="dxa"/>
              <w:start w:w="100" w:type="dxa"/>
              <w:bottom w:w="90" w:type="dxa"/>
              <w:end w:w="100" w:type="dxa"/>
            </w:tcMar>
            <w:vAlign w:val="top"/>
          </w:tcPr>
          <w:p>
            <w:pPr>
              <w:spacing w:after="0"/>
            </w:pPr>
            <w:r>
              <w:rPr>
                <w:rFonts w:ascii="Noto Serif" w:hAnsi="Noto Serif"/>
                <w:sz w:val="17"/>
              </w:rPr>
              <w:t>Sacrificial debtor</w:t>
            </w:r>
          </w:p>
        </w:tc>
        <w:tc>
          <w:tcPr>
            <w:tcW w:type="dxa" w:w="7200"/>
            <w:tcMar>
              <w:top w:w="90" w:type="dxa"/>
              <w:start w:w="100" w:type="dxa"/>
              <w:bottom w:w="90" w:type="dxa"/>
              <w:end w:w="100" w:type="dxa"/>
            </w:tcMar>
            <w:vAlign w:val="top"/>
          </w:tcPr>
          <w:p>
            <w:pPr>
              <w:spacing w:after="0"/>
            </w:pPr>
            <w:r>
              <w:rPr>
                <w:rFonts w:ascii="Noto Serif" w:hAnsi="Noto Serif"/>
                <w:sz w:val="17"/>
              </w:rPr>
              <w:t>A person or group represented as owing contribution, suffering, or repayment because others have sacrificed more.</w:t>
            </w:r>
          </w:p>
        </w:tc>
      </w:tr>
      <w:tr>
        <w:trPr>
          <w:cantSplit/>
        </w:trPr>
        <w:tc>
          <w:tcPr>
            <w:tcW w:type="dxa" w:w="2736"/>
            <w:tcMar>
              <w:top w:w="90" w:type="dxa"/>
              <w:start w:w="100" w:type="dxa"/>
              <w:bottom w:w="90" w:type="dxa"/>
              <w:end w:w="100" w:type="dxa"/>
            </w:tcMar>
            <w:vAlign w:val="top"/>
          </w:tcPr>
          <w:p>
            <w:pPr>
              <w:spacing w:after="0"/>
            </w:pPr>
            <w:r>
              <w:rPr>
                <w:rFonts w:ascii="Noto Serif" w:hAnsi="Noto Serif"/>
                <w:sz w:val="17"/>
              </w:rPr>
              <w:t>Sacrificial debt</w:t>
            </w:r>
          </w:p>
        </w:tc>
        <w:tc>
          <w:tcPr>
            <w:tcW w:type="dxa" w:w="7200"/>
            <w:tcMar>
              <w:top w:w="90" w:type="dxa"/>
              <w:start w:w="100" w:type="dxa"/>
              <w:bottom w:w="90" w:type="dxa"/>
              <w:end w:w="100" w:type="dxa"/>
            </w:tcMar>
            <w:vAlign w:val="top"/>
          </w:tcPr>
          <w:p>
            <w:pPr>
              <w:spacing w:after="0"/>
            </w:pPr>
            <w:r>
              <w:rPr>
                <w:rFonts w:ascii="Noto Serif" w:hAnsi="Noto Serif"/>
                <w:sz w:val="17"/>
              </w:rPr>
              <w:t>The attributed moral obligation arising from perceived unequal sacrifice.</w:t>
            </w:r>
          </w:p>
        </w:tc>
      </w:tr>
      <w:tr>
        <w:trPr>
          <w:cantSplit/>
        </w:trPr>
        <w:tc>
          <w:tcPr>
            <w:tcW w:type="dxa" w:w="2736"/>
            <w:tcMar>
              <w:top w:w="90" w:type="dxa"/>
              <w:start w:w="100" w:type="dxa"/>
              <w:bottom w:w="90" w:type="dxa"/>
              <w:end w:w="100" w:type="dxa"/>
            </w:tcMar>
            <w:vAlign w:val="top"/>
          </w:tcPr>
          <w:p>
            <w:pPr>
              <w:spacing w:after="0"/>
            </w:pPr>
            <w:r>
              <w:rPr>
                <w:rFonts w:ascii="Noto Serif" w:hAnsi="Noto Serif"/>
                <w:sz w:val="17"/>
              </w:rPr>
              <w:t>Sacrificial essentialization</w:t>
            </w:r>
          </w:p>
        </w:tc>
        <w:tc>
          <w:tcPr>
            <w:tcW w:type="dxa" w:w="7200"/>
            <w:tcMar>
              <w:top w:w="90" w:type="dxa"/>
              <w:start w:w="100" w:type="dxa"/>
              <w:bottom w:w="90" w:type="dxa"/>
              <w:end w:w="100" w:type="dxa"/>
            </w:tcMar>
            <w:vAlign w:val="top"/>
          </w:tcPr>
          <w:p>
            <w:pPr>
              <w:spacing w:after="0"/>
            </w:pPr>
            <w:r>
              <w:rPr>
                <w:rFonts w:ascii="Noto Serif" w:hAnsi="Noto Serif"/>
                <w:sz w:val="17"/>
              </w:rPr>
              <w:t>The shift from an allegation about conduct (“you did not sacrifice”) to an allegation about group nature (“your kind does not or cannot sacrifice”).</w:t>
            </w:r>
          </w:p>
        </w:tc>
      </w:tr>
      <w:tr>
        <w:trPr>
          <w:cantSplit/>
        </w:trPr>
        <w:tc>
          <w:tcPr>
            <w:tcW w:type="dxa" w:w="2736"/>
            <w:tcMar>
              <w:top w:w="90" w:type="dxa"/>
              <w:start w:w="100" w:type="dxa"/>
              <w:bottom w:w="90" w:type="dxa"/>
              <w:end w:w="100" w:type="dxa"/>
            </w:tcMar>
            <w:vAlign w:val="top"/>
          </w:tcPr>
          <w:p>
            <w:pPr>
              <w:spacing w:after="0"/>
            </w:pPr>
            <w:r>
              <w:rPr>
                <w:rFonts w:ascii="Noto Serif" w:hAnsi="Noto Serif"/>
                <w:sz w:val="17"/>
              </w:rPr>
              <w:t>Unpayable debt</w:t>
            </w:r>
          </w:p>
        </w:tc>
        <w:tc>
          <w:tcPr>
            <w:tcW w:type="dxa" w:w="7200"/>
            <w:tcMar>
              <w:top w:w="90" w:type="dxa"/>
              <w:start w:w="100" w:type="dxa"/>
              <w:bottom w:w="90" w:type="dxa"/>
              <w:end w:w="100" w:type="dxa"/>
            </w:tcMar>
            <w:vAlign w:val="top"/>
          </w:tcPr>
          <w:p>
            <w:pPr>
              <w:spacing w:after="0"/>
            </w:pPr>
            <w:r>
              <w:rPr>
                <w:rFonts w:ascii="Noto Serif" w:hAnsi="Noto Serif"/>
                <w:sz w:val="17"/>
              </w:rPr>
              <w:t>A debt whose alleged basis is ontological or racialized such that ordinary evidence of service, loyalty, or sacrifice cannot discharge it.</w:t>
            </w:r>
          </w:p>
        </w:tc>
      </w:tr>
      <w:tr>
        <w:trPr>
          <w:cantSplit/>
        </w:trPr>
        <w:tc>
          <w:tcPr>
            <w:tcW w:type="dxa" w:w="2736"/>
            <w:tcMar>
              <w:top w:w="90" w:type="dxa"/>
              <w:start w:w="100" w:type="dxa"/>
              <w:bottom w:w="90" w:type="dxa"/>
              <w:end w:w="100" w:type="dxa"/>
            </w:tcMar>
            <w:vAlign w:val="top"/>
          </w:tcPr>
          <w:p>
            <w:pPr>
              <w:spacing w:after="0"/>
            </w:pPr>
            <w:r>
              <w:rPr>
                <w:rFonts w:ascii="Noto Serif" w:hAnsi="Noto Serif"/>
                <w:sz w:val="17"/>
              </w:rPr>
              <w:t>Coercive sacrificial equalization</w:t>
            </w:r>
          </w:p>
        </w:tc>
        <w:tc>
          <w:tcPr>
            <w:tcW w:type="dxa" w:w="7200"/>
            <w:tcMar>
              <w:top w:w="90" w:type="dxa"/>
              <w:start w:w="100" w:type="dxa"/>
              <w:bottom w:w="90" w:type="dxa"/>
              <w:end w:w="100" w:type="dxa"/>
            </w:tcMar>
            <w:vAlign w:val="top"/>
          </w:tcPr>
          <w:p>
            <w:pPr>
              <w:spacing w:after="0"/>
            </w:pPr>
            <w:r>
              <w:rPr>
                <w:rFonts w:ascii="Noto Serif" w:hAnsi="Noto Serif"/>
                <w:sz w:val="17"/>
              </w:rPr>
              <w:t>The imposition of deprivation, suffering, bodily risk, or death on an alleged debtor population in the name of correcting an unequal distribution of sacrifice.</w:t>
            </w:r>
          </w:p>
        </w:tc>
      </w:tr>
      <w:tr>
        <w:trPr>
          <w:cantSplit/>
        </w:trPr>
        <w:tc>
          <w:tcPr>
            <w:tcW w:type="dxa" w:w="2736"/>
            <w:tcMar>
              <w:top w:w="90" w:type="dxa"/>
              <w:start w:w="100" w:type="dxa"/>
              <w:bottom w:w="90" w:type="dxa"/>
              <w:end w:w="100" w:type="dxa"/>
            </w:tcMar>
            <w:vAlign w:val="top"/>
          </w:tcPr>
          <w:p>
            <w:pPr>
              <w:spacing w:after="0"/>
            </w:pPr>
            <w:r>
              <w:rPr>
                <w:rFonts w:ascii="Noto Serif" w:hAnsi="Noto Serif"/>
                <w:sz w:val="17"/>
              </w:rPr>
              <w:t>Exterminatory closure</w:t>
            </w:r>
          </w:p>
        </w:tc>
        <w:tc>
          <w:tcPr>
            <w:tcW w:type="dxa" w:w="7200"/>
            <w:tcMar>
              <w:top w:w="90" w:type="dxa"/>
              <w:start w:w="100" w:type="dxa"/>
              <w:bottom w:w="90" w:type="dxa"/>
              <w:end w:w="100" w:type="dxa"/>
            </w:tcMar>
            <w:vAlign w:val="top"/>
          </w:tcPr>
          <w:p>
            <w:pPr>
              <w:spacing w:after="0"/>
            </w:pPr>
            <w:r>
              <w:rPr>
                <w:rFonts w:ascii="Noto Serif" w:hAnsi="Noto Serif"/>
                <w:sz w:val="17"/>
              </w:rPr>
              <w:t>The terminal claim that the debtor group’s continued existence itself prevents restoration, making removal or destruction appear necessary.</w:t>
            </w:r>
          </w:p>
        </w:tc>
      </w:tr>
    </w:tbl>
    <w:p>
      <w:pPr>
        <w:spacing w:after="0"/>
        <w:widowControl w:val="1"/>
      </w:pPr>
    </w:p>
    <w:p>
      <w:pPr>
        <w:pStyle w:val="Heading1"/>
        <w:widowControl w:val="1"/>
      </w:pPr>
      <w:r>
        <w:rPr>
          <w:rFonts w:ascii="Noto Serif" w:hAnsi="Noto Serif"/>
          <w:sz w:val="21"/>
        </w:rPr>
        <w:t>5. Proposed Causal Mechanism</w:t>
      </w:r>
    </w:p>
    <w:p>
      <w:pPr>
        <w:widowControl w:val="1"/>
      </w:pPr>
      <w:r>
        <w:rPr>
          <w:rFonts w:ascii="Noto Serif" w:hAnsi="Noto Serif"/>
          <w:sz w:val="21"/>
        </w:rPr>
        <w:t>The working mechanism is a sequence to be tested, not a presumed universal law. For comparative analysis, the twelve steps are grouped into four modules so that cases can be compared by where the pathway emerges, stalls, or changes form:</w:t>
      </w:r>
    </w:p>
    <w:p>
      <w:pPr>
        <w:pStyle w:val="Heading2"/>
      </w:pPr>
      <w:r>
        <w:t>5.1 Mechanism modules</w:t>
      </w:r>
    </w:p>
    <w:p>
      <w:pPr>
        <w:pStyle w:val="ListBullet"/>
      </w:pPr>
      <w:r>
        <w:t>Module A – Sacrificial mobilization (steps 1–3): collective threat, visible surrender, and the conversion of sacrifice into a measure of virtue or membership.</w:t>
      </w:r>
    </w:p>
    <w:p>
      <w:pPr>
        <w:pStyle w:val="ListBullet"/>
      </w:pPr>
      <w:r>
        <w:t>Module B – Asymmetry and moral comparison (steps 4–7): identification of a lesser-sacrificing population, moralization of the difference, and attribution of a claim or debt.</w:t>
      </w:r>
    </w:p>
    <w:p>
      <w:pPr>
        <w:pStyle w:val="ListBullet"/>
      </w:pPr>
      <w:r>
        <w:t>Module C – Essentialization and political activation (steps 8–10): public construction of a debtor category, declining dischargeability of counterevidence, and institutional claims to collect the debt.</w:t>
      </w:r>
    </w:p>
    <w:p>
      <w:pPr>
        <w:pStyle w:val="ListBullet"/>
      </w:pPr>
      <w:r>
        <w:t>Module D – Coercive equalization and closure (steps 11–12): imposed suffering framed as restorative or equalizing and, at the extreme, destruction represented as necessary to collective restoration.</w:t>
      </w:r>
    </w:p>
    <w:p>
      <w:pPr>
        <w:pStyle w:val="ListNumber"/>
        <w:spacing w:after="60"/>
        <w:widowControl w:val="1"/>
      </w:pPr>
      <w:r>
        <w:rPr>
          <w:rFonts w:ascii="Noto Serif" w:hAnsi="Noto Serif"/>
          <w:sz w:val="21"/>
        </w:rPr>
        <w:t>Collective threat or mobilization creates a demand for sacrifice.</w:t>
      </w:r>
    </w:p>
    <w:p>
      <w:pPr>
        <w:pStyle w:val="ListNumber"/>
        <w:spacing w:after="60"/>
        <w:widowControl w:val="1"/>
      </w:pPr>
      <w:r>
        <w:rPr>
          <w:rFonts w:ascii="Noto Serif" w:hAnsi="Noto Serif"/>
          <w:sz w:val="21"/>
        </w:rPr>
        <w:t>Some persons visibly surrender life, bodily integrity, property, or ordinary life chances.</w:t>
      </w:r>
    </w:p>
    <w:p>
      <w:pPr>
        <w:pStyle w:val="ListNumber"/>
        <w:spacing w:after="60"/>
        <w:widowControl w:val="1"/>
      </w:pPr>
      <w:r>
        <w:rPr>
          <w:rFonts w:ascii="Noto Serif" w:hAnsi="Noto Serif"/>
          <w:sz w:val="21"/>
        </w:rPr>
        <w:t>Sacrifice becomes a measure of virtue, loyalty, deservingness, or membership.</w:t>
      </w:r>
    </w:p>
    <w:p>
      <w:pPr>
        <w:pStyle w:val="ListNumber"/>
        <w:spacing w:after="60"/>
        <w:widowControl w:val="1"/>
      </w:pPr>
      <w:r>
        <w:rPr>
          <w:rFonts w:ascii="Noto Serif" w:hAnsi="Noto Serif"/>
          <w:sz w:val="21"/>
        </w:rPr>
        <w:t>A second population is perceived as contributing less, profiting, avoiding risk, or surviving disproportionately.</w:t>
      </w:r>
    </w:p>
    <w:p>
      <w:pPr>
        <w:pStyle w:val="ListNumber"/>
        <w:spacing w:after="60"/>
        <w:widowControl w:val="1"/>
      </w:pPr>
      <w:r>
        <w:rPr>
          <w:rFonts w:ascii="Noto Serif" w:hAnsi="Noto Serif"/>
          <w:sz w:val="21"/>
        </w:rPr>
        <w:t>The difference is narrated as sacrificial asymmetry rather than as an accidental or administratively necessary inequality.</w:t>
      </w:r>
    </w:p>
    <w:p>
      <w:pPr>
        <w:pStyle w:val="ListNumber"/>
        <w:spacing w:after="60"/>
        <w:widowControl w:val="1"/>
      </w:pPr>
      <w:r>
        <w:rPr>
          <w:rFonts w:ascii="Noto Serif" w:hAnsi="Noto Serif"/>
          <w:sz w:val="21"/>
        </w:rPr>
        <w:t>Survival or lesser suffering is moralized: the alleged nonsacrificer becomes selfish, cowardly, parasitic, disloyal, or suspect.</w:t>
      </w:r>
    </w:p>
    <w:p>
      <w:pPr>
        <w:pStyle w:val="ListNumber"/>
        <w:spacing w:after="60"/>
        <w:widowControl w:val="1"/>
      </w:pPr>
      <w:r>
        <w:rPr>
          <w:rFonts w:ascii="Noto Serif" w:hAnsi="Noto Serif"/>
          <w:sz w:val="21"/>
        </w:rPr>
        <w:t>The sacrificers’ losses are interpreted as creating a claim upon the nonsacrificer: sacrificial debt.</w:t>
      </w:r>
    </w:p>
    <w:p>
      <w:pPr>
        <w:pStyle w:val="ListNumber"/>
        <w:spacing w:after="60"/>
        <w:widowControl w:val="1"/>
      </w:pPr>
      <w:r>
        <w:rPr>
          <w:rFonts w:ascii="Noto Serif" w:hAnsi="Noto Serif"/>
          <w:sz w:val="21"/>
        </w:rPr>
        <w:t>Political actors identify, generalize, and publicize the debtor category.</w:t>
      </w:r>
    </w:p>
    <w:p>
      <w:pPr>
        <w:pStyle w:val="ListNumber"/>
        <w:spacing w:after="60"/>
        <w:widowControl w:val="1"/>
      </w:pPr>
      <w:r>
        <w:rPr>
          <w:rFonts w:ascii="Noto Serif" w:hAnsi="Noto Serif"/>
          <w:sz w:val="21"/>
        </w:rPr>
        <w:t>The accusation shifts from behavior to identity; counterevidence becomes less capable of discharging the debt.</w:t>
      </w:r>
    </w:p>
    <w:p>
      <w:pPr>
        <w:pStyle w:val="ListNumber"/>
        <w:spacing w:after="60"/>
        <w:widowControl w:val="1"/>
      </w:pPr>
      <w:r>
        <w:rPr>
          <w:rFonts w:ascii="Noto Serif" w:hAnsi="Noto Serif"/>
          <w:sz w:val="21"/>
        </w:rPr>
        <w:t>The state or movement asserts authority to collect the debt through exclusion, extraction, forced labor, dispossession, imprisonment, or violence.</w:t>
      </w:r>
    </w:p>
    <w:p>
      <w:pPr>
        <w:pStyle w:val="ListNumber"/>
        <w:spacing w:after="60"/>
        <w:widowControl w:val="1"/>
      </w:pPr>
      <w:r>
        <w:rPr>
          <w:rFonts w:ascii="Noto Serif" w:hAnsi="Noto Serif"/>
          <w:sz w:val="21"/>
        </w:rPr>
        <w:t>Under additional ideological and institutional conditions, imposed suffering is interpreted as restorative or equalizing.</w:t>
      </w:r>
    </w:p>
    <w:p>
      <w:pPr>
        <w:pStyle w:val="ListNumber"/>
        <w:spacing w:after="60"/>
        <w:widowControl w:val="1"/>
      </w:pPr>
      <w:r>
        <w:rPr>
          <w:rFonts w:ascii="Noto Serif" w:hAnsi="Noto Serif"/>
          <w:sz w:val="21"/>
        </w:rPr>
        <w:t>At the extreme, the continued existence of the debtor population is represented as incompatible with collective redemption or survival.</w:t>
      </w:r>
    </w:p>
    <w:p>
      <w:pPr>
        <w:pStyle w:val="Heading2"/>
        <w:widowControl w:val="1"/>
      </w:pPr>
      <w:r>
        <w:rPr>
          <w:rFonts w:ascii="Noto Serif" w:hAnsi="Noto Serif"/>
          <w:sz w:val="21"/>
        </w:rPr>
        <w:t>5.2 The key transition: behavioral accusation to ontological accusation</w:t>
      </w:r>
    </w:p>
    <w:p>
      <w:pPr>
        <w:widowControl w:val="1"/>
      </w:pPr>
      <w:r>
        <w:rPr>
          <w:rFonts w:ascii="Noto Serif" w:hAnsi="Noto Serif"/>
          <w:sz w:val="21"/>
        </w:rPr>
        <w:t>The most promising theoretical threshold is the shift from behavior to identity. A behavioral accusation can in principle be remedied: enlist, serve, contribute, endure deprivation, or demonstrate loyalty. An ontological accusation cannot be remedied because the defect is assigned to the group’s essence. The German-Jewish veteran case is therefore crucial. Large numbers of Jews served in the German armed forces during the First World War, and many were wounded, decorated, or killed. Yet antisemitic accusations of Jewish shirking persisted and were institutionalized through the Judenzählung. Under Nazism, even demonstrable wartime sacrifice did not ultimately protect Jewish veterans as a category. This provides a concrete setting in which to test whether sacrificial debt becomes “unpayable” when the alleged deficit is racialized or essentialized.</w:t>
      </w:r>
    </w:p>
    <w:p>
      <w:pPr>
        <w:pStyle w:val="Heading2"/>
        <w:widowControl w:val="1"/>
      </w:pPr>
      <w:r>
        <w:rPr>
          <w:rFonts w:ascii="Noto Serif" w:hAnsi="Noto Serif"/>
          <w:sz w:val="21"/>
        </w:rPr>
        <w:t>5.3 Failed sacrifice as a possible accelerator</w:t>
      </w:r>
    </w:p>
    <w:p>
      <w:pPr>
        <w:widowControl w:val="1"/>
      </w:pPr>
      <w:r>
        <w:rPr>
          <w:rFonts w:ascii="Noto Serif" w:hAnsi="Noto Serif"/>
          <w:sz w:val="21"/>
        </w:rPr>
        <w:t>A second theoretical innovation concerns failed sacrifice. Successful sacrifice can be narrated as meaningful because the collective survives or wins. Catastrophic sacrifice followed by defeat produces a more difficult problem: either the sacrifice was unnecessary, the collective sacred object was false, leadership was incompetent, or some actor prevented the sacrifice from achieving its promised purpose. The last explanation preserves the moral value of the dead by relocating guilt. The project will therefore test whether failed collective sacrifice increases demand for traitors, shirkers, profiteers, internal enemies, or alleged beneficiaries of others’ suffering.</w:t>
      </w:r>
    </w:p>
    <w:p>
      <w:pPr>
        <w:pStyle w:val="Heading1"/>
        <w:widowControl w:val="1"/>
      </w:pPr>
      <w:r>
        <w:rPr>
          <w:rFonts w:ascii="Noto Serif" w:hAnsi="Noto Serif"/>
          <w:sz w:val="21"/>
        </w:rPr>
        <w:t>6. Hypotheses and Rival Explanations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2088"/>
            <w:shd w:fill="E6E9ED"/>
            <w:tcMar>
              <w:top w:w="90" w:type="dxa"/>
              <w:start w:w="100" w:type="dxa"/>
              <w:bottom w:w="90" w:type="dxa"/>
              <w:end w:w="100" w:type="dxa"/>
            </w:tcMar>
          </w:tcPr>
          <w:p>
            <w:pPr>
              <w:jc w:val="left"/>
            </w:pPr>
            <w:r>
              <w:rPr>
                <w:rFonts w:ascii="Lato" w:hAnsi="Lato"/>
                <w:b/>
                <w:sz w:val="16"/>
              </w:rPr>
              <w:t>Hypothesis</w:t>
            </w:r>
          </w:p>
        </w:tc>
        <w:tc>
          <w:tcPr>
            <w:tcW w:type="dxa" w:w="3816"/>
            <w:shd w:fill="E6E9ED"/>
            <w:tcMar>
              <w:top w:w="90" w:type="dxa"/>
              <w:start w:w="100" w:type="dxa"/>
              <w:bottom w:w="90" w:type="dxa"/>
              <w:end w:w="100" w:type="dxa"/>
            </w:tcMar>
          </w:tcPr>
          <w:p>
            <w:pPr>
              <w:jc w:val="left"/>
            </w:pPr>
            <w:r>
              <w:rPr>
                <w:rFonts w:ascii="Lato" w:hAnsi="Lato"/>
                <w:b/>
                <w:sz w:val="16"/>
              </w:rPr>
              <w:t>Claim</w:t>
            </w:r>
          </w:p>
        </w:tc>
        <w:tc>
          <w:tcPr>
            <w:tcW w:type="dxa" w:w="3960"/>
            <w:shd w:fill="E6E9ED"/>
            <w:tcMar>
              <w:top w:w="90" w:type="dxa"/>
              <w:start w:w="100" w:type="dxa"/>
              <w:bottom w:w="90" w:type="dxa"/>
              <w:end w:w="100" w:type="dxa"/>
            </w:tcMar>
          </w:tcPr>
          <w:p>
            <w:pPr>
              <w:jc w:val="left"/>
            </w:pPr>
            <w:r>
              <w:rPr>
                <w:rFonts w:ascii="Lato" w:hAnsi="Lato"/>
                <w:b/>
                <w:sz w:val="16"/>
              </w:rPr>
              <w:t>Observable implication</w:t>
            </w:r>
          </w:p>
        </w:tc>
      </w:tr>
      <w:tr>
        <w:trPr>
          <w:cantSplit/>
        </w:trPr>
        <w:tc>
          <w:tcPr>
            <w:tcW w:type="dxa" w:w="2088"/>
            <w:tcMar>
              <w:top w:w="90" w:type="dxa"/>
              <w:start w:w="100" w:type="dxa"/>
              <w:bottom w:w="90" w:type="dxa"/>
              <w:end w:w="100" w:type="dxa"/>
            </w:tcMar>
            <w:vAlign w:val="top"/>
          </w:tcPr>
          <w:p>
            <w:pPr>
              <w:spacing w:after="0"/>
            </w:pPr>
            <w:r>
              <w:rPr>
                <w:rFonts w:ascii="Noto Serif" w:hAnsi="Noto Serif"/>
                <w:sz w:val="16"/>
              </w:rPr>
              <w:t>H1 – Sacrificial essentialization</w:t>
            </w:r>
          </w:p>
        </w:tc>
        <w:tc>
          <w:tcPr>
            <w:tcW w:type="dxa" w:w="3816"/>
            <w:tcMar>
              <w:top w:w="90" w:type="dxa"/>
              <w:start w:w="100" w:type="dxa"/>
              <w:bottom w:w="90" w:type="dxa"/>
              <w:end w:w="100" w:type="dxa"/>
            </w:tcMar>
            <w:vAlign w:val="top"/>
          </w:tcPr>
          <w:p>
            <w:pPr>
              <w:spacing w:after="0"/>
            </w:pPr>
            <w:r>
              <w:rPr>
                <w:rFonts w:ascii="Noto Serif" w:hAnsi="Noto Serif"/>
                <w:sz w:val="16"/>
              </w:rPr>
              <w:t>Resentment becomes more politically dangerous when nonsacrifice is attributed to group essence rather than remediable conduct.</w:t>
            </w:r>
          </w:p>
        </w:tc>
        <w:tc>
          <w:tcPr>
            <w:tcW w:type="dxa" w:w="3960"/>
            <w:tcMar>
              <w:top w:w="90" w:type="dxa"/>
              <w:start w:w="100" w:type="dxa"/>
              <w:bottom w:w="90" w:type="dxa"/>
              <w:end w:w="100" w:type="dxa"/>
            </w:tcMar>
            <w:vAlign w:val="top"/>
          </w:tcPr>
          <w:p>
            <w:pPr>
              <w:spacing w:after="0"/>
            </w:pPr>
            <w:r>
              <w:rPr>
                <w:rFonts w:ascii="Noto Serif" w:hAnsi="Noto Serif"/>
                <w:sz w:val="16"/>
              </w:rPr>
              <w:t>Repeated claims that members cannot truly sacrifice or belong, even when counterexamples exist.</w:t>
            </w:r>
          </w:p>
        </w:tc>
      </w:tr>
      <w:tr>
        <w:trPr>
          <w:cantSplit/>
        </w:trPr>
        <w:tc>
          <w:tcPr>
            <w:tcW w:type="dxa" w:w="2088"/>
            <w:tcMar>
              <w:top w:w="90" w:type="dxa"/>
              <w:start w:w="100" w:type="dxa"/>
              <w:bottom w:w="90" w:type="dxa"/>
              <w:end w:w="100" w:type="dxa"/>
            </w:tcMar>
            <w:vAlign w:val="top"/>
          </w:tcPr>
          <w:p>
            <w:pPr>
              <w:spacing w:after="0"/>
            </w:pPr>
            <w:r>
              <w:rPr>
                <w:rFonts w:ascii="Noto Serif" w:hAnsi="Noto Serif"/>
                <w:sz w:val="16"/>
              </w:rPr>
              <w:t>H2 – Sacred-value intensity</w:t>
            </w:r>
          </w:p>
        </w:tc>
        <w:tc>
          <w:tcPr>
            <w:tcW w:type="dxa" w:w="3816"/>
            <w:tcMar>
              <w:top w:w="90" w:type="dxa"/>
              <w:start w:w="100" w:type="dxa"/>
              <w:bottom w:w="90" w:type="dxa"/>
              <w:end w:w="100" w:type="dxa"/>
            </w:tcMar>
            <w:vAlign w:val="top"/>
          </w:tcPr>
          <w:p>
            <w:pPr>
              <w:spacing w:after="0"/>
            </w:pPr>
            <w:r>
              <w:rPr>
                <w:rFonts w:ascii="Noto Serif" w:hAnsi="Noto Serif"/>
                <w:sz w:val="16"/>
              </w:rPr>
              <w:t>The more sacred the collective object is represented to be, the more morally serious exemption from sacrifice becomes.</w:t>
            </w:r>
          </w:p>
        </w:tc>
        <w:tc>
          <w:tcPr>
            <w:tcW w:type="dxa" w:w="3960"/>
            <w:tcMar>
              <w:top w:w="90" w:type="dxa"/>
              <w:start w:w="100" w:type="dxa"/>
              <w:bottom w:w="90" w:type="dxa"/>
              <w:end w:w="100" w:type="dxa"/>
            </w:tcMar>
            <w:vAlign w:val="top"/>
          </w:tcPr>
          <w:p>
            <w:pPr>
              <w:spacing w:after="0"/>
            </w:pPr>
            <w:r>
              <w:rPr>
                <w:rFonts w:ascii="Noto Serif" w:hAnsi="Noto Serif"/>
                <w:sz w:val="16"/>
              </w:rPr>
              <w:t>Rhetoric treating sacrifice as ultimate proof of belonging and survival as subordinate to collective preservation.</w:t>
            </w:r>
          </w:p>
        </w:tc>
      </w:tr>
      <w:tr>
        <w:trPr>
          <w:cantSplit/>
        </w:trPr>
        <w:tc>
          <w:tcPr>
            <w:tcW w:type="dxa" w:w="2088"/>
            <w:tcMar>
              <w:top w:w="90" w:type="dxa"/>
              <w:start w:w="100" w:type="dxa"/>
              <w:bottom w:w="90" w:type="dxa"/>
              <w:end w:w="100" w:type="dxa"/>
            </w:tcMar>
            <w:vAlign w:val="top"/>
          </w:tcPr>
          <w:p>
            <w:pPr>
              <w:spacing w:after="0"/>
            </w:pPr>
            <w:r>
              <w:rPr>
                <w:rFonts w:ascii="Noto Serif" w:hAnsi="Noto Serif"/>
                <w:sz w:val="16"/>
              </w:rPr>
              <w:t>H3 – Magnitude / visibility</w:t>
            </w:r>
          </w:p>
        </w:tc>
        <w:tc>
          <w:tcPr>
            <w:tcW w:type="dxa" w:w="3816"/>
            <w:tcMar>
              <w:top w:w="90" w:type="dxa"/>
              <w:start w:w="100" w:type="dxa"/>
              <w:bottom w:w="90" w:type="dxa"/>
              <w:end w:w="100" w:type="dxa"/>
            </w:tcMar>
            <w:vAlign w:val="top"/>
          </w:tcPr>
          <w:p>
            <w:pPr>
              <w:spacing w:after="0"/>
            </w:pPr>
            <w:r>
              <w:rPr>
                <w:rFonts w:ascii="Noto Serif" w:hAnsi="Noto Serif"/>
                <w:sz w:val="16"/>
              </w:rPr>
              <w:t>Higher or more visible collective losses increase pressure to compare burdens and identify nonsacrificers.</w:t>
            </w:r>
          </w:p>
        </w:tc>
        <w:tc>
          <w:tcPr>
            <w:tcW w:type="dxa" w:w="3960"/>
            <w:tcMar>
              <w:top w:w="90" w:type="dxa"/>
              <w:start w:w="100" w:type="dxa"/>
              <w:bottom w:w="90" w:type="dxa"/>
              <w:end w:w="100" w:type="dxa"/>
            </w:tcMar>
            <w:vAlign w:val="top"/>
          </w:tcPr>
          <w:p>
            <w:pPr>
              <w:spacing w:after="0"/>
            </w:pPr>
            <w:r>
              <w:rPr>
                <w:rFonts w:ascii="Noto Serif" w:hAnsi="Noto Serif"/>
                <w:sz w:val="16"/>
              </w:rPr>
              <w:t>Temporal rise in debt/equality rhetoric with casualty waves, deprivation, or bereavement.</w:t>
            </w:r>
          </w:p>
        </w:tc>
      </w:tr>
      <w:tr>
        <w:trPr>
          <w:cantSplit/>
        </w:trPr>
        <w:tc>
          <w:tcPr>
            <w:tcW w:type="dxa" w:w="2088"/>
            <w:tcMar>
              <w:top w:w="90" w:type="dxa"/>
              <w:start w:w="100" w:type="dxa"/>
              <w:bottom w:w="90" w:type="dxa"/>
              <w:end w:w="100" w:type="dxa"/>
            </w:tcMar>
            <w:vAlign w:val="top"/>
          </w:tcPr>
          <w:p>
            <w:pPr>
              <w:spacing w:after="0"/>
            </w:pPr>
            <w:r>
              <w:rPr>
                <w:rFonts w:ascii="Noto Serif" w:hAnsi="Noto Serif"/>
                <w:sz w:val="16"/>
              </w:rPr>
              <w:t>H4 – Failed sacrifice</w:t>
            </w:r>
          </w:p>
        </w:tc>
        <w:tc>
          <w:tcPr>
            <w:tcW w:type="dxa" w:w="3816"/>
            <w:tcMar>
              <w:top w:w="90" w:type="dxa"/>
              <w:start w:w="100" w:type="dxa"/>
              <w:bottom w:w="90" w:type="dxa"/>
              <w:end w:w="100" w:type="dxa"/>
            </w:tcMar>
            <w:vAlign w:val="top"/>
          </w:tcPr>
          <w:p>
            <w:pPr>
              <w:spacing w:after="0"/>
            </w:pPr>
            <w:r>
              <w:rPr>
                <w:rFonts w:ascii="Noto Serif" w:hAnsi="Noto Serif"/>
                <w:sz w:val="16"/>
              </w:rPr>
              <w:t>Defeat or perceived futility intensifies demands to explain why sacrifice failed and who invalidated it.</w:t>
            </w:r>
          </w:p>
        </w:tc>
        <w:tc>
          <w:tcPr>
            <w:tcW w:type="dxa" w:w="3960"/>
            <w:tcMar>
              <w:top w:w="90" w:type="dxa"/>
              <w:start w:w="100" w:type="dxa"/>
              <w:bottom w:w="90" w:type="dxa"/>
              <w:end w:w="100" w:type="dxa"/>
            </w:tcMar>
            <w:vAlign w:val="top"/>
          </w:tcPr>
          <w:p>
            <w:pPr>
              <w:spacing w:after="0"/>
            </w:pPr>
            <w:r>
              <w:rPr>
                <w:rFonts w:ascii="Noto Serif" w:hAnsi="Noto Serif"/>
                <w:sz w:val="16"/>
              </w:rPr>
              <w:t>Post-defeat rhetoric preserving the sanctity of the dead by attributing failure to internal enemies.</w:t>
            </w:r>
          </w:p>
        </w:tc>
      </w:tr>
      <w:tr>
        <w:trPr>
          <w:cantSplit/>
        </w:trPr>
        <w:tc>
          <w:tcPr>
            <w:tcW w:type="dxa" w:w="2088"/>
            <w:tcMar>
              <w:top w:w="90" w:type="dxa"/>
              <w:start w:w="100" w:type="dxa"/>
              <w:bottom w:w="90" w:type="dxa"/>
              <w:end w:w="100" w:type="dxa"/>
            </w:tcMar>
            <w:vAlign w:val="top"/>
          </w:tcPr>
          <w:p>
            <w:pPr>
              <w:spacing w:after="0"/>
            </w:pPr>
            <w:r>
              <w:rPr>
                <w:rFonts w:ascii="Noto Serif" w:hAnsi="Noto Serif"/>
                <w:sz w:val="16"/>
              </w:rPr>
              <w:t>H5 – Political entrepreneurship</w:t>
            </w:r>
          </w:p>
        </w:tc>
        <w:tc>
          <w:tcPr>
            <w:tcW w:type="dxa" w:w="3816"/>
            <w:tcMar>
              <w:top w:w="90" w:type="dxa"/>
              <w:start w:w="100" w:type="dxa"/>
              <w:bottom w:w="90" w:type="dxa"/>
              <w:end w:w="100" w:type="dxa"/>
            </w:tcMar>
            <w:vAlign w:val="top"/>
          </w:tcPr>
          <w:p>
            <w:pPr>
              <w:spacing w:after="0"/>
            </w:pPr>
            <w:r>
              <w:rPr>
                <w:rFonts w:ascii="Noto Serif" w:hAnsi="Noto Serif"/>
                <w:sz w:val="16"/>
              </w:rPr>
              <w:t>Sacrificial resentment requires actors who name the debtor, connect survival to guilt, and propose sanctions.</w:t>
            </w:r>
          </w:p>
        </w:tc>
        <w:tc>
          <w:tcPr>
            <w:tcW w:type="dxa" w:w="3960"/>
            <w:tcMar>
              <w:top w:w="90" w:type="dxa"/>
              <w:start w:w="100" w:type="dxa"/>
              <w:bottom w:w="90" w:type="dxa"/>
              <w:end w:w="100" w:type="dxa"/>
            </w:tcMar>
            <w:vAlign w:val="top"/>
          </w:tcPr>
          <w:p>
            <w:pPr>
              <w:spacing w:after="0"/>
            </w:pPr>
            <w:r>
              <w:rPr>
                <w:rFonts w:ascii="Noto Serif" w:hAnsi="Noto Serif"/>
                <w:sz w:val="16"/>
              </w:rPr>
              <w:t>Speeches, press, organizations, or policy entrepreneurs repeatedly constructing the debtor category.</w:t>
            </w:r>
          </w:p>
        </w:tc>
      </w:tr>
      <w:tr>
        <w:trPr>
          <w:cantSplit/>
        </w:trPr>
        <w:tc>
          <w:tcPr>
            <w:tcW w:type="dxa" w:w="2088"/>
            <w:tcMar>
              <w:top w:w="90" w:type="dxa"/>
              <w:start w:w="100" w:type="dxa"/>
              <w:bottom w:w="90" w:type="dxa"/>
              <w:end w:w="100" w:type="dxa"/>
            </w:tcMar>
            <w:vAlign w:val="top"/>
          </w:tcPr>
          <w:p>
            <w:pPr>
              <w:spacing w:after="0"/>
            </w:pPr>
            <w:r>
              <w:rPr>
                <w:rFonts w:ascii="Noto Serif" w:hAnsi="Noto Serif"/>
                <w:sz w:val="16"/>
              </w:rPr>
              <w:t>H6 – Institutional capacity</w:t>
            </w:r>
          </w:p>
        </w:tc>
        <w:tc>
          <w:tcPr>
            <w:tcW w:type="dxa" w:w="3816"/>
            <w:tcMar>
              <w:top w:w="90" w:type="dxa"/>
              <w:start w:w="100" w:type="dxa"/>
              <w:bottom w:w="90" w:type="dxa"/>
              <w:end w:w="100" w:type="dxa"/>
            </w:tcMar>
            <w:vAlign w:val="top"/>
          </w:tcPr>
          <w:p>
            <w:pPr>
              <w:spacing w:after="0"/>
            </w:pPr>
            <w:r>
              <w:rPr>
                <w:rFonts w:ascii="Noto Serif" w:hAnsi="Noto Serif"/>
                <w:sz w:val="16"/>
              </w:rPr>
              <w:t>Escalation to coercive equalization requires institutions capable of identifying, isolating, dispossessing, transporting, imprisoning, or killing debtor populations.</w:t>
            </w:r>
          </w:p>
        </w:tc>
        <w:tc>
          <w:tcPr>
            <w:tcW w:type="dxa" w:w="3960"/>
            <w:tcMar>
              <w:top w:w="90" w:type="dxa"/>
              <w:start w:w="100" w:type="dxa"/>
              <w:bottom w:w="90" w:type="dxa"/>
              <w:end w:w="100" w:type="dxa"/>
            </w:tcMar>
            <w:vAlign w:val="top"/>
          </w:tcPr>
          <w:p>
            <w:pPr>
              <w:spacing w:after="0"/>
            </w:pPr>
            <w:r>
              <w:rPr>
                <w:rFonts w:ascii="Noto Serif" w:hAnsi="Noto Serif"/>
                <w:sz w:val="16"/>
              </w:rPr>
              <w:t>Expansion of state capacity and policy instruments temporally preceding higher-order coercion.</w:t>
            </w:r>
          </w:p>
        </w:tc>
      </w:tr>
      <w:tr>
        <w:trPr>
          <w:cantSplit/>
        </w:trPr>
        <w:tc>
          <w:tcPr>
            <w:tcW w:type="dxa" w:w="2088"/>
            <w:tcMar>
              <w:top w:w="90" w:type="dxa"/>
              <w:start w:w="100" w:type="dxa"/>
              <w:bottom w:w="90" w:type="dxa"/>
              <w:end w:w="100" w:type="dxa"/>
            </w:tcMar>
            <w:vAlign w:val="top"/>
          </w:tcPr>
          <w:p>
            <w:pPr>
              <w:spacing w:after="0"/>
            </w:pPr>
            <w:r>
              <w:rPr>
                <w:rFonts w:ascii="Noto Serif" w:hAnsi="Noto Serif"/>
                <w:sz w:val="16"/>
              </w:rPr>
              <w:t>H7 – Debt non-dischargeability</w:t>
            </w:r>
          </w:p>
        </w:tc>
        <w:tc>
          <w:tcPr>
            <w:tcW w:type="dxa" w:w="3816"/>
            <w:tcMar>
              <w:top w:w="90" w:type="dxa"/>
              <w:start w:w="100" w:type="dxa"/>
              <w:bottom w:w="90" w:type="dxa"/>
              <w:end w:w="100" w:type="dxa"/>
            </w:tcMar>
            <w:vAlign w:val="top"/>
          </w:tcPr>
          <w:p>
            <w:pPr>
              <w:spacing w:after="0"/>
            </w:pPr>
            <w:r>
              <w:rPr>
                <w:rFonts w:ascii="Noto Serif" w:hAnsi="Noto Serif"/>
                <w:sz w:val="16"/>
              </w:rPr>
              <w:t>Violence is more likely when actual contribution or sacrifice cannot erase the alleged debt.</w:t>
            </w:r>
          </w:p>
        </w:tc>
        <w:tc>
          <w:tcPr>
            <w:tcW w:type="dxa" w:w="3960"/>
            <w:tcMar>
              <w:top w:w="90" w:type="dxa"/>
              <w:start w:w="100" w:type="dxa"/>
              <w:bottom w:w="90" w:type="dxa"/>
              <w:end w:w="100" w:type="dxa"/>
            </w:tcMar>
            <w:vAlign w:val="top"/>
          </w:tcPr>
          <w:p>
            <w:pPr>
              <w:spacing w:after="0"/>
            </w:pPr>
            <w:r>
              <w:rPr>
                <w:rFonts w:ascii="Noto Serif" w:hAnsi="Noto Serif"/>
                <w:sz w:val="16"/>
              </w:rPr>
              <w:t>Decorated veterans or demonstrably contributing members remain categorized as inherently suspect.</w:t>
            </w:r>
          </w:p>
        </w:tc>
      </w:tr>
      <w:tr>
        <w:trPr>
          <w:cantSplit/>
        </w:trPr>
        <w:tc>
          <w:tcPr>
            <w:tcW w:type="dxa" w:w="2088"/>
            <w:tcMar>
              <w:top w:w="90" w:type="dxa"/>
              <w:start w:w="100" w:type="dxa"/>
              <w:bottom w:w="90" w:type="dxa"/>
              <w:end w:w="100" w:type="dxa"/>
            </w:tcMar>
            <w:vAlign w:val="top"/>
          </w:tcPr>
          <w:p>
            <w:pPr>
              <w:spacing w:after="0"/>
            </w:pPr>
            <w:r>
              <w:rPr>
                <w:rFonts w:ascii="Noto Serif" w:hAnsi="Noto Serif"/>
                <w:sz w:val="16"/>
              </w:rPr>
              <w:t>H8 – Reciprocal moral accounting</w:t>
            </w:r>
          </w:p>
        </w:tc>
        <w:tc>
          <w:tcPr>
            <w:tcW w:type="dxa" w:w="3816"/>
            <w:tcMar>
              <w:top w:w="90" w:type="dxa"/>
              <w:start w:w="100" w:type="dxa"/>
              <w:bottom w:w="90" w:type="dxa"/>
              <w:end w:w="100" w:type="dxa"/>
            </w:tcMar>
            <w:vAlign w:val="top"/>
          </w:tcPr>
          <w:p>
            <w:pPr>
              <w:spacing w:after="0"/>
            </w:pPr>
            <w:r>
              <w:rPr>
                <w:rFonts w:ascii="Noto Serif" w:hAnsi="Noto Serif"/>
                <w:sz w:val="16"/>
              </w:rPr>
              <w:t>Explicit comparisons between “our” suffering and “their” survival predict stronger punitive demands than generic hostility alone.</w:t>
            </w:r>
          </w:p>
        </w:tc>
        <w:tc>
          <w:tcPr>
            <w:tcW w:type="dxa" w:w="3960"/>
            <w:tcMar>
              <w:top w:w="90" w:type="dxa"/>
              <w:start w:w="100" w:type="dxa"/>
              <w:bottom w:w="90" w:type="dxa"/>
              <w:end w:w="100" w:type="dxa"/>
            </w:tcMar>
            <w:vAlign w:val="top"/>
          </w:tcPr>
          <w:p>
            <w:pPr>
              <w:spacing w:after="0"/>
            </w:pPr>
            <w:r>
              <w:rPr>
                <w:rFonts w:ascii="Noto Serif" w:hAnsi="Noto Serif"/>
                <w:sz w:val="16"/>
              </w:rPr>
              <w:t>Statements structured as why should A suffer/die while B lives/profits/escapes?</w:t>
            </w:r>
          </w:p>
        </w:tc>
      </w:tr>
    </w:tbl>
    <w:p>
      <w:pPr>
        <w:spacing w:after="0"/>
        <w:widowControl w:val="1"/>
      </w:pPr>
    </w:p>
    <w:p>
      <w:pPr>
        <w:pStyle w:val="Heading2"/>
        <w:widowControl w:val="1"/>
      </w:pPr>
      <w:r>
        <w:rPr>
          <w:rFonts w:ascii="Noto Serif" w:hAnsi="Noto Serif"/>
          <w:sz w:val="21"/>
        </w:rPr>
        <w:t>6.1 Rival explanations that must remain live</w:t>
      </w:r>
    </w:p>
    <w:p>
      <w:pPr>
        <w:pStyle w:val="ListBullet"/>
        <w:spacing w:after="60"/>
        <w:widowControl w:val="1"/>
      </w:pPr>
      <w:r>
        <w:rPr>
          <w:rFonts w:ascii="Noto Serif" w:hAnsi="Noto Serif"/>
          <w:sz w:val="21"/>
        </w:rPr>
        <w:t>Racial antisemitism or ethnic hatred alone, without sacrificial accounting.</w:t>
      </w:r>
    </w:p>
    <w:p>
      <w:pPr>
        <w:pStyle w:val="ListBullet"/>
        <w:spacing w:after="60"/>
        <w:widowControl w:val="1"/>
      </w:pPr>
      <w:r>
        <w:rPr>
          <w:rFonts w:ascii="Noto Serif" w:hAnsi="Noto Serif"/>
          <w:sz w:val="21"/>
        </w:rPr>
        <w:t>Scapegoating produced by defeat, economic crisis, or political instability.</w:t>
      </w:r>
    </w:p>
    <w:p>
      <w:pPr>
        <w:pStyle w:val="ListBullet"/>
        <w:spacing w:after="60"/>
        <w:widowControl w:val="1"/>
      </w:pPr>
      <w:r>
        <w:rPr>
          <w:rFonts w:ascii="Noto Serif" w:hAnsi="Noto Serif"/>
          <w:sz w:val="21"/>
        </w:rPr>
        <w:t>Revenge for alleged betrayal in 1918.</w:t>
      </w:r>
    </w:p>
    <w:p>
      <w:pPr>
        <w:pStyle w:val="ListBullet"/>
        <w:spacing w:after="60"/>
        <w:widowControl w:val="1"/>
      </w:pPr>
      <w:r>
        <w:rPr>
          <w:rFonts w:ascii="Noto Serif" w:hAnsi="Noto Serif"/>
          <w:sz w:val="21"/>
        </w:rPr>
        <w:t>Redemptive antisemitism in Friedländer’s sense, without a distinct debt mechanism.</w:t>
      </w:r>
    </w:p>
    <w:p>
      <w:pPr>
        <w:pStyle w:val="ListBullet"/>
        <w:spacing w:after="60"/>
        <w:widowControl w:val="1"/>
      </w:pPr>
      <w:r>
        <w:rPr>
          <w:rFonts w:ascii="Noto Serif" w:hAnsi="Noto Serif"/>
          <w:sz w:val="21"/>
        </w:rPr>
        <w:t>Wartime brutalization and desensitization to killing.</w:t>
      </w:r>
    </w:p>
    <w:p>
      <w:pPr>
        <w:pStyle w:val="ListBullet"/>
        <w:spacing w:after="60"/>
        <w:widowControl w:val="1"/>
      </w:pPr>
      <w:r>
        <w:rPr>
          <w:rFonts w:ascii="Noto Serif" w:hAnsi="Noto Serif"/>
          <w:sz w:val="21"/>
        </w:rPr>
        <w:t>Imperial conquest, Lebensraum, and anti-Bolshevik ideological warfare.</w:t>
      </w:r>
    </w:p>
    <w:p>
      <w:pPr>
        <w:pStyle w:val="ListBullet"/>
        <w:spacing w:after="60"/>
        <w:widowControl w:val="1"/>
      </w:pPr>
      <w:r>
        <w:rPr>
          <w:rFonts w:ascii="Noto Serif" w:hAnsi="Noto Serif"/>
          <w:sz w:val="21"/>
        </w:rPr>
        <w:t>Bureaucratic radicalization, cumulative radicalization, and institutional competition.</w:t>
      </w:r>
    </w:p>
    <w:p>
      <w:pPr>
        <w:pStyle w:val="ListBullet"/>
        <w:spacing w:after="60"/>
        <w:widowControl w:val="1"/>
      </w:pPr>
      <w:r>
        <w:rPr>
          <w:rFonts w:ascii="Noto Serif" w:hAnsi="Noto Serif"/>
          <w:sz w:val="21"/>
        </w:rPr>
        <w:t>Material expropriation and opportunistic incentives.</w:t>
      </w:r>
    </w:p>
    <w:p>
      <w:pPr>
        <w:pStyle w:val="ListBullet"/>
        <w:spacing w:after="60"/>
        <w:widowControl w:val="1"/>
      </w:pPr>
      <w:r>
        <w:rPr>
          <w:rFonts w:ascii="Noto Serif" w:hAnsi="Noto Serif"/>
          <w:sz w:val="21"/>
        </w:rPr>
        <w:t>Security logic and counterinsurgency claims.</w:t>
      </w:r>
    </w:p>
    <w:p>
      <w:pPr>
        <w:widowControl w:val="1"/>
      </w:pPr>
      <w:r>
        <w:rPr>
          <w:rFonts w:ascii="Noto Serif" w:hAnsi="Noto Serif"/>
          <w:sz w:val="21"/>
        </w:rPr>
        <w:t>The project succeeds only if sacrificial debt explains something that these approaches do not, or if it specifies a mechanism through which several of them interact. It should not be presented as a total explanation of the Holocaust or of political violence generally.</w:t>
      </w:r>
    </w:p>
    <w:p>
      <w:pPr>
        <w:pStyle w:val="Heading1"/>
        <w:widowControl w:val="1"/>
      </w:pPr>
      <w:r>
        <w:rPr>
          <w:rFonts w:ascii="Noto Serif" w:hAnsi="Noto Serif"/>
          <w:sz w:val="21"/>
        </w:rPr>
        <w:t>7. Outcome Model: Coercive Escalation and Sacrificial-Debt Framing</w:t>
      </w:r>
    </w:p>
    <w:p>
      <w:pPr>
        <w:widowControl w:val="1"/>
      </w:pPr>
      <w:r>
        <w:rPr>
          <w:rFonts w:ascii="Noto Serif" w:hAnsi="Noto Serif"/>
          <w:sz w:val="21"/>
        </w:rPr>
        <w:t>The program should not collapse the severity of coercion into the political meaning assigned to it. Accordingly, the outcome model uses two related but analytically distinct dimensions: (1) coercive escalation and (2) sacrificial-debt framing. Genocide remains an extreme possible outcome, not the definition of sacrificial debt.</w:t>
      </w:r>
    </w:p>
    <w:p>
      <w:pPr>
        <w:pStyle w:val="Heading2"/>
      </w:pPr>
      <w:r>
        <w:t>7.1 Coercive escalation</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864"/>
            <w:shd w:fill="E6E9ED"/>
            <w:tcMar>
              <w:top w:w="90" w:type="dxa"/>
              <w:start w:w="100" w:type="dxa"/>
              <w:bottom w:w="90" w:type="dxa"/>
              <w:end w:w="100" w:type="dxa"/>
            </w:tcMar>
          </w:tcPr>
          <w:p>
            <w:r>
              <w:t>Level</w:t>
            </w:r>
          </w:p>
        </w:tc>
        <w:tc>
          <w:tcPr>
            <w:tcW w:type="dxa" w:w="2376"/>
            <w:shd w:fill="E6E9ED"/>
            <w:tcMar>
              <w:top w:w="90" w:type="dxa"/>
              <w:start w:w="100" w:type="dxa"/>
              <w:bottom w:w="90" w:type="dxa"/>
              <w:end w:w="100" w:type="dxa"/>
            </w:tcMar>
          </w:tcPr>
          <w:p>
            <w:r>
              <w:t>Coercive outcome</w:t>
            </w:r>
          </w:p>
        </w:tc>
        <w:tc>
          <w:tcPr>
            <w:tcW w:type="dxa" w:w="6696"/>
            <w:shd w:fill="E6E9ED"/>
            <w:tcMar>
              <w:top w:w="90" w:type="dxa"/>
              <w:start w:w="100" w:type="dxa"/>
              <w:bottom w:w="90" w:type="dxa"/>
              <w:end w:w="100" w:type="dxa"/>
            </w:tcMar>
          </w:tcPr>
          <w:p>
            <w:r>
              <w:t>Operational description</w:t>
            </w:r>
          </w:p>
        </w:tc>
      </w:tr>
      <w:tr>
        <w:trPr>
          <w:cantSplit/>
        </w:trPr>
        <w:tc>
          <w:tcPr>
            <w:tcW w:type="dxa" w:w="864"/>
            <w:tcMar>
              <w:top w:w="90" w:type="dxa"/>
              <w:start w:w="100" w:type="dxa"/>
              <w:bottom w:w="90" w:type="dxa"/>
              <w:end w:w="100" w:type="dxa"/>
            </w:tcMar>
            <w:vAlign w:val="top"/>
          </w:tcPr>
          <w:p>
            <w:r>
              <w:t>0</w:t>
            </w:r>
          </w:p>
        </w:tc>
        <w:tc>
          <w:tcPr>
            <w:tcW w:type="dxa" w:w="2376"/>
            <w:tcMar>
              <w:top w:w="90" w:type="dxa"/>
              <w:start w:w="100" w:type="dxa"/>
              <w:bottom w:w="90" w:type="dxa"/>
              <w:end w:w="100" w:type="dxa"/>
            </w:tcMar>
            <w:vAlign w:val="top"/>
          </w:tcPr>
          <w:p>
            <w:r>
              <w:t>Recognition</w:t>
            </w:r>
          </w:p>
        </w:tc>
        <w:tc>
          <w:tcPr>
            <w:tcW w:type="dxa" w:w="6696"/>
            <w:tcMar>
              <w:top w:w="90" w:type="dxa"/>
              <w:start w:w="100" w:type="dxa"/>
              <w:bottom w:w="90" w:type="dxa"/>
              <w:end w:w="100" w:type="dxa"/>
            </w:tcMar>
            <w:vAlign w:val="top"/>
          </w:tcPr>
          <w:p>
            <w:r>
              <w:t>Unequal burdens are recognized without moral condemnation or sanction.</w:t>
            </w:r>
          </w:p>
        </w:tc>
      </w:tr>
      <w:tr>
        <w:trPr>
          <w:cantSplit/>
        </w:trPr>
        <w:tc>
          <w:tcPr>
            <w:tcW w:type="dxa" w:w="864"/>
            <w:tcMar>
              <w:top w:w="90" w:type="dxa"/>
              <w:start w:w="100" w:type="dxa"/>
              <w:bottom w:w="90" w:type="dxa"/>
              <w:end w:w="100" w:type="dxa"/>
            </w:tcMar>
            <w:vAlign w:val="top"/>
          </w:tcPr>
          <w:p>
            <w:r>
              <w:t>1</w:t>
            </w:r>
          </w:p>
        </w:tc>
        <w:tc>
          <w:tcPr>
            <w:tcW w:type="dxa" w:w="2376"/>
            <w:tcMar>
              <w:top w:w="90" w:type="dxa"/>
              <w:start w:w="100" w:type="dxa"/>
              <w:bottom w:w="90" w:type="dxa"/>
              <w:end w:w="100" w:type="dxa"/>
            </w:tcMar>
            <w:vAlign w:val="top"/>
          </w:tcPr>
          <w:p>
            <w:r>
              <w:t>Informal stigma</w:t>
            </w:r>
          </w:p>
        </w:tc>
        <w:tc>
          <w:tcPr>
            <w:tcW w:type="dxa" w:w="6696"/>
            <w:tcMar>
              <w:top w:w="90" w:type="dxa"/>
              <w:start w:w="100" w:type="dxa"/>
              <w:bottom w:w="90" w:type="dxa"/>
              <w:end w:w="100" w:type="dxa"/>
            </w:tcMar>
            <w:vAlign w:val="top"/>
          </w:tcPr>
          <w:p>
            <w:r>
              <w:t>Coward, shirker, profiteer, selfish, unpatriotic, disloyal; shaming or social pressure.</w:t>
            </w:r>
          </w:p>
        </w:tc>
      </w:tr>
      <w:tr>
        <w:trPr>
          <w:cantSplit/>
        </w:trPr>
        <w:tc>
          <w:tcPr>
            <w:tcW w:type="dxa" w:w="864"/>
            <w:tcMar>
              <w:top w:w="90" w:type="dxa"/>
              <w:start w:w="100" w:type="dxa"/>
              <w:bottom w:w="90" w:type="dxa"/>
              <w:end w:w="100" w:type="dxa"/>
            </w:tcMar>
            <w:vAlign w:val="top"/>
          </w:tcPr>
          <w:p>
            <w:r>
              <w:t>2</w:t>
            </w:r>
          </w:p>
        </w:tc>
        <w:tc>
          <w:tcPr>
            <w:tcW w:type="dxa" w:w="2376"/>
            <w:tcMar>
              <w:top w:w="90" w:type="dxa"/>
              <w:start w:w="100" w:type="dxa"/>
              <w:bottom w:w="90" w:type="dxa"/>
              <w:end w:w="100" w:type="dxa"/>
            </w:tcMar>
            <w:vAlign w:val="top"/>
          </w:tcPr>
          <w:p>
            <w:r>
              <w:t>Formal exclusion</w:t>
            </w:r>
          </w:p>
        </w:tc>
        <w:tc>
          <w:tcPr>
            <w:tcW w:type="dxa" w:w="6696"/>
            <w:tcMar>
              <w:top w:w="90" w:type="dxa"/>
              <w:start w:w="100" w:type="dxa"/>
              <w:bottom w:w="90" w:type="dxa"/>
              <w:end w:w="100" w:type="dxa"/>
            </w:tcMar>
            <w:vAlign w:val="top"/>
          </w:tcPr>
          <w:p>
            <w:r>
              <w:t>Reduced standing, citizenship claims, access, employment, office, or membership.</w:t>
            </w:r>
          </w:p>
        </w:tc>
      </w:tr>
      <w:tr>
        <w:trPr>
          <w:cantSplit/>
        </w:trPr>
        <w:tc>
          <w:tcPr>
            <w:tcW w:type="dxa" w:w="864"/>
            <w:tcMar>
              <w:top w:w="90" w:type="dxa"/>
              <w:start w:w="100" w:type="dxa"/>
              <w:bottom w:w="90" w:type="dxa"/>
              <w:end w:w="100" w:type="dxa"/>
            </w:tcMar>
            <w:vAlign w:val="top"/>
          </w:tcPr>
          <w:p>
            <w:r>
              <w:t>3</w:t>
            </w:r>
          </w:p>
        </w:tc>
        <w:tc>
          <w:tcPr>
            <w:tcW w:type="dxa" w:w="2376"/>
            <w:tcMar>
              <w:top w:w="90" w:type="dxa"/>
              <w:start w:w="100" w:type="dxa"/>
              <w:bottom w:w="90" w:type="dxa"/>
              <w:end w:w="100" w:type="dxa"/>
            </w:tcMar>
            <w:vAlign w:val="top"/>
          </w:tcPr>
          <w:p>
            <w:r>
              <w:t>Extraction / dispossession</w:t>
            </w:r>
          </w:p>
        </w:tc>
        <w:tc>
          <w:tcPr>
            <w:tcW w:type="dxa" w:w="6696"/>
            <w:tcMar>
              <w:top w:w="90" w:type="dxa"/>
              <w:start w:w="100" w:type="dxa"/>
              <w:bottom w:w="90" w:type="dxa"/>
              <w:end w:w="100" w:type="dxa"/>
            </w:tcMar>
            <w:vAlign w:val="top"/>
          </w:tcPr>
          <w:p>
            <w:r>
              <w:t>Special taxation, confiscation, forced contribution, labor demands, or deliberately unequal burdens.</w:t>
            </w:r>
          </w:p>
        </w:tc>
      </w:tr>
      <w:tr>
        <w:trPr>
          <w:cantSplit/>
        </w:trPr>
        <w:tc>
          <w:tcPr>
            <w:tcW w:type="dxa" w:w="864"/>
            <w:tcMar>
              <w:top w:w="90" w:type="dxa"/>
              <w:start w:w="100" w:type="dxa"/>
              <w:bottom w:w="90" w:type="dxa"/>
              <w:end w:w="100" w:type="dxa"/>
            </w:tcMar>
            <w:vAlign w:val="top"/>
          </w:tcPr>
          <w:p>
            <w:r>
              <w:t>4</w:t>
            </w:r>
          </w:p>
        </w:tc>
        <w:tc>
          <w:tcPr>
            <w:tcW w:type="dxa" w:w="2376"/>
            <w:tcMar>
              <w:top w:w="90" w:type="dxa"/>
              <w:start w:w="100" w:type="dxa"/>
              <w:bottom w:w="90" w:type="dxa"/>
              <w:end w:w="100" w:type="dxa"/>
            </w:tcMar>
            <w:vAlign w:val="top"/>
          </w:tcPr>
          <w:p>
            <w:r>
              <w:t>Detention / deportation / forced labor</w:t>
            </w:r>
          </w:p>
        </w:tc>
        <w:tc>
          <w:tcPr>
            <w:tcW w:type="dxa" w:w="6696"/>
            <w:tcMar>
              <w:top w:w="90" w:type="dxa"/>
              <w:start w:w="100" w:type="dxa"/>
              <w:bottom w:w="90" w:type="dxa"/>
              <w:end w:w="100" w:type="dxa"/>
            </w:tcMar>
            <w:vAlign w:val="top"/>
          </w:tcPr>
          <w:p>
            <w:r>
              <w:t>Confinement, deportation, forced labor, deprivation, or systematic bodily coercion.</w:t>
            </w:r>
          </w:p>
        </w:tc>
      </w:tr>
      <w:tr>
        <w:trPr>
          <w:cantSplit/>
        </w:trPr>
        <w:tc>
          <w:tcPr>
            <w:tcW w:type="dxa" w:w="864"/>
            <w:tcMar>
              <w:top w:w="90" w:type="dxa"/>
              <w:start w:w="100" w:type="dxa"/>
              <w:bottom w:w="90" w:type="dxa"/>
              <w:end w:w="100" w:type="dxa"/>
            </w:tcMar>
            <w:vAlign w:val="top"/>
          </w:tcPr>
          <w:p>
            <w:r>
              <w:t>5</w:t>
            </w:r>
          </w:p>
        </w:tc>
        <w:tc>
          <w:tcPr>
            <w:tcW w:type="dxa" w:w="2376"/>
            <w:tcMar>
              <w:top w:w="90" w:type="dxa"/>
              <w:start w:w="100" w:type="dxa"/>
              <w:bottom w:w="90" w:type="dxa"/>
              <w:end w:w="100" w:type="dxa"/>
            </w:tcMar>
            <w:vAlign w:val="top"/>
          </w:tcPr>
          <w:p>
            <w:r>
              <w:t>Lethal persecution</w:t>
            </w:r>
          </w:p>
        </w:tc>
        <w:tc>
          <w:tcPr>
            <w:tcW w:type="dxa" w:w="6696"/>
            <w:tcMar>
              <w:top w:w="90" w:type="dxa"/>
              <w:start w:w="100" w:type="dxa"/>
              <w:bottom w:w="90" w:type="dxa"/>
              <w:end w:w="100" w:type="dxa"/>
            </w:tcMar>
            <w:vAlign w:val="top"/>
          </w:tcPr>
          <w:p>
            <w:r>
              <w:t>Organized or tolerated killing directed at the alleged debtor population.</w:t>
            </w:r>
          </w:p>
        </w:tc>
      </w:tr>
      <w:tr>
        <w:trPr>
          <w:cantSplit/>
        </w:trPr>
        <w:tc>
          <w:tcPr>
            <w:tcW w:type="dxa" w:w="864"/>
            <w:tcMar>
              <w:top w:w="90" w:type="dxa"/>
              <w:start w:w="100" w:type="dxa"/>
              <w:bottom w:w="90" w:type="dxa"/>
              <w:end w:w="100" w:type="dxa"/>
            </w:tcMar>
            <w:vAlign w:val="top"/>
          </w:tcPr>
          <w:p>
            <w:r>
              <w:t>6</w:t>
            </w:r>
          </w:p>
        </w:tc>
        <w:tc>
          <w:tcPr>
            <w:tcW w:type="dxa" w:w="2376"/>
            <w:tcMar>
              <w:top w:w="90" w:type="dxa"/>
              <w:start w:w="100" w:type="dxa"/>
              <w:bottom w:w="90" w:type="dxa"/>
              <w:end w:w="100" w:type="dxa"/>
            </w:tcMar>
            <w:vAlign w:val="top"/>
          </w:tcPr>
          <w:p>
            <w:r>
              <w:t>Systematic extermination</w:t>
            </w:r>
          </w:p>
        </w:tc>
        <w:tc>
          <w:tcPr>
            <w:tcW w:type="dxa" w:w="6696"/>
            <w:tcMar>
              <w:top w:w="90" w:type="dxa"/>
              <w:start w:w="100" w:type="dxa"/>
              <w:bottom w:w="90" w:type="dxa"/>
              <w:end w:w="100" w:type="dxa"/>
            </w:tcMar>
            <w:vAlign w:val="top"/>
          </w:tcPr>
          <w:p>
            <w:r>
              <w:t>Destruction of the group becomes a sustained policy or organized campaign.</w:t>
            </w:r>
          </w:p>
        </w:tc>
      </w:tr>
    </w:tbl>
    <w:p>
      <w:pPr>
        <w:pStyle w:val="Heading2"/>
      </w:pPr>
      <w:r>
        <w:t>7.2 Sacrificial-debt framing</w:t>
      </w:r>
    </w:p>
    <w:tbl>
      <w:tblPr>
        <w:tblStyle w:val="TableGrid"/>
        <w:tblW w:type="auto" w:w="0"/>
        <w:tblLook w:firstColumn="1" w:firstRow="1" w:lastColumn="0" w:lastRow="0" w:noHBand="0" w:noVBand="1" w:val="04A0"/>
      </w:tblPr>
      <w:tblGrid>
        <w:gridCol w:w="3264"/>
        <w:gridCol w:w="3264"/>
        <w:gridCol w:w="3264"/>
      </w:tblGrid>
      <w:tr>
        <w:tc>
          <w:tcPr>
            <w:tcW w:type="dxa" w:w="3264"/>
          </w:tcPr>
          <w:p>
            <w:r>
              <w:t>Level</w:t>
            </w:r>
          </w:p>
        </w:tc>
        <w:tc>
          <w:tcPr>
            <w:tcW w:type="dxa" w:w="3264"/>
          </w:tcPr>
          <w:p>
            <w:r>
              <w:t>Sacrificial-debt framing</w:t>
            </w:r>
          </w:p>
        </w:tc>
        <w:tc>
          <w:tcPr>
            <w:tcW w:type="dxa" w:w="3264"/>
          </w:tcPr>
          <w:p>
            <w:r>
              <w:t>Operational description</w:t>
            </w:r>
          </w:p>
        </w:tc>
      </w:tr>
      <w:tr>
        <w:tc>
          <w:tcPr>
            <w:tcW w:type="dxa" w:w="3264"/>
          </w:tcPr>
          <w:p>
            <w:r>
              <w:t>0</w:t>
            </w:r>
          </w:p>
        </w:tc>
        <w:tc>
          <w:tcPr>
            <w:tcW w:type="dxa" w:w="3264"/>
          </w:tcPr>
          <w:p>
            <w:r>
              <w:t>Absent</w:t>
            </w:r>
          </w:p>
        </w:tc>
        <w:tc>
          <w:tcPr>
            <w:tcW w:type="dxa" w:w="3264"/>
          </w:tcPr>
          <w:p>
            <w:r>
              <w:t>No meaningful sacrificial comparison or debt logic.</w:t>
            </w:r>
          </w:p>
        </w:tc>
      </w:tr>
      <w:tr>
        <w:tc>
          <w:tcPr>
            <w:tcW w:type="dxa" w:w="3264"/>
          </w:tcPr>
          <w:p>
            <w:r>
              <w:t>1</w:t>
            </w:r>
          </w:p>
        </w:tc>
        <w:tc>
          <w:tcPr>
            <w:tcW w:type="dxa" w:w="3264"/>
          </w:tcPr>
          <w:p>
            <w:r>
              <w:t>Sacrifice valorized</w:t>
            </w:r>
          </w:p>
        </w:tc>
        <w:tc>
          <w:tcPr>
            <w:tcW w:type="dxa" w:w="3264"/>
          </w:tcPr>
          <w:p>
            <w:r>
              <w:t>Sacrifice is praised or treated as evidence of duty, worth, or belonging.</w:t>
            </w:r>
          </w:p>
        </w:tc>
      </w:tr>
      <w:tr>
        <w:tc>
          <w:tcPr>
            <w:tcW w:type="dxa" w:w="3264"/>
          </w:tcPr>
          <w:p>
            <w:r>
              <w:t>2</w:t>
            </w:r>
          </w:p>
        </w:tc>
        <w:tc>
          <w:tcPr>
            <w:tcW w:type="dxa" w:w="3264"/>
          </w:tcPr>
          <w:p>
            <w:r>
              <w:t>Asymmetry moralized</w:t>
            </w:r>
          </w:p>
        </w:tc>
        <w:tc>
          <w:tcPr>
            <w:tcW w:type="dxa" w:w="3264"/>
          </w:tcPr>
          <w:p>
            <w:r>
              <w:t>Unequal sacrifice is explicitly criticized and lesser suffering becomes morally suspect.</w:t>
            </w:r>
          </w:p>
        </w:tc>
      </w:tr>
      <w:tr>
        <w:tc>
          <w:tcPr>
            <w:tcW w:type="dxa" w:w="3264"/>
          </w:tcPr>
          <w:p>
            <w:r>
              <w:t>3</w:t>
            </w:r>
          </w:p>
        </w:tc>
        <w:tc>
          <w:tcPr>
            <w:tcW w:type="dxa" w:w="3264"/>
          </w:tcPr>
          <w:p>
            <w:r>
              <w:t>Reciprocal obligation asserted</w:t>
            </w:r>
          </w:p>
        </w:tc>
        <w:tc>
          <w:tcPr>
            <w:tcW w:type="dxa" w:w="3264"/>
          </w:tcPr>
          <w:p>
            <w:r>
              <w:t>Because one constituency sacrificed, another is said to owe, pay, contribute, or lose protection.</w:t>
            </w:r>
          </w:p>
        </w:tc>
      </w:tr>
      <w:tr>
        <w:tc>
          <w:tcPr>
            <w:tcW w:type="dxa" w:w="3264"/>
          </w:tcPr>
          <w:p>
            <w:r>
              <w:t>4</w:t>
            </w:r>
          </w:p>
        </w:tc>
        <w:tc>
          <w:tcPr>
            <w:tcW w:type="dxa" w:w="3264"/>
          </w:tcPr>
          <w:p>
            <w:r>
              <w:t>Debtor identity generalized</w:t>
            </w:r>
          </w:p>
        </w:tc>
        <w:tc>
          <w:tcPr>
            <w:tcW w:type="dxa" w:w="3264"/>
          </w:tcPr>
          <w:p>
            <w:r>
              <w:t>The obligation is attached to a category rather than only to particular conduct.</w:t>
            </w:r>
          </w:p>
        </w:tc>
      </w:tr>
      <w:tr>
        <w:tc>
          <w:tcPr>
            <w:tcW w:type="dxa" w:w="3264"/>
          </w:tcPr>
          <w:p>
            <w:r>
              <w:t>5</w:t>
            </w:r>
          </w:p>
        </w:tc>
        <w:tc>
          <w:tcPr>
            <w:tcW w:type="dxa" w:w="3264"/>
          </w:tcPr>
          <w:p>
            <w:r>
              <w:t>Debt non-dischargeable</w:t>
            </w:r>
          </w:p>
        </w:tc>
        <w:tc>
          <w:tcPr>
            <w:tcW w:type="dxa" w:w="3264"/>
          </w:tcPr>
          <w:p>
            <w:r>
              <w:t>Actual service, loyalty, or sacrifice no longer reliably clears the accusation; imposed suffering may be represented as repayment, balance, justice, or equalization.</w:t>
            </w:r>
          </w:p>
        </w:tc>
      </w:tr>
    </w:tbl>
    <w:p>
      <w:pPr>
        <w:spacing w:after="0"/>
        <w:widowControl w:val="1"/>
      </w:pPr>
    </w:p>
    <w:p>
      <w:pPr>
        <w:pStyle w:val="Heading1"/>
        <w:widowControl w:val="1"/>
      </w:pPr>
      <w:r>
        <w:rPr>
          <w:rFonts w:ascii="Noto Serif" w:hAnsi="Noto Serif"/>
          <w:sz w:val="21"/>
        </w:rPr>
        <w:t>8. Research Design</w:t>
      </w:r>
    </w:p>
    <w:p>
      <w:pPr>
        <w:pStyle w:val="Heading2"/>
        <w:widowControl w:val="1"/>
      </w:pPr>
      <w:r>
        <w:rPr>
          <w:rFonts w:ascii="Noto Serif" w:hAnsi="Noto Serif"/>
          <w:sz w:val="21"/>
        </w:rPr>
        <w:t>8.1 Overall design</w:t>
      </w:r>
    </w:p>
    <w:p>
      <w:pPr>
        <w:widowControl w:val="1"/>
      </w:pPr>
      <w:r>
        <w:rPr>
          <w:rFonts w:ascii="Noto Serif" w:hAnsi="Noto Serif"/>
          <w:sz w:val="21"/>
        </w:rPr>
        <w:t>The project uses a nested comparative design: (1) mechanism discovery and process tracing in Germany; (2) structured, focused comparison with cases that exhibit mass sacrifice and resentment but different outcomes; and (3) later extension to additional cases only after the mechanism and codebook prove stable. This sequencing avoids the common error of building a universal theory from one extreme case or expanding the corpus before the variables are interpretable.</w:t>
      </w:r>
    </w:p>
    <w:p>
      <w:pPr>
        <w:pStyle w:val="Heading2"/>
        <w:widowControl w:val="1"/>
      </w:pPr>
      <w:r>
        <w:rPr>
          <w:rFonts w:ascii="Noto Serif" w:hAnsi="Noto Serif"/>
          <w:sz w:val="21"/>
        </w:rPr>
        <w:t>8.2 Initial case selection</w:t>
      </w:r>
    </w:p>
    <w:p>
      <w:pPr/>
      <w:r>
        <w:t>The initial cases are not symmetrical controls. They perform different methodological functions within a structured, focused comparison. Germany is a revealing mechanism-discovery case; Britain, Australia, and France are contrast cases selected to probe different components of the proposed mechanism and to identify where escalation stops or changes form.</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1368"/>
            <w:shd w:fill="E6E9ED"/>
            <w:tcMar>
              <w:top w:w="90" w:type="dxa"/>
              <w:start w:w="100" w:type="dxa"/>
              <w:bottom w:w="90" w:type="dxa"/>
              <w:end w:w="100" w:type="dxa"/>
            </w:tcMar>
          </w:tcPr>
          <w:p>
            <w:pPr>
              <w:jc w:val="left"/>
            </w:pPr>
            <w:r>
              <w:rPr>
                <w:rFonts w:ascii="Lato" w:hAnsi="Lato"/>
                <w:b/>
                <w:sz w:val="16"/>
              </w:rPr>
              <w:t>Case</w:t>
            </w:r>
          </w:p>
        </w:tc>
        <w:tc>
          <w:tcPr>
            <w:tcW w:type="dxa" w:w="1944"/>
            <w:shd w:fill="E6E9ED"/>
            <w:tcMar>
              <w:top w:w="90" w:type="dxa"/>
              <w:start w:w="100" w:type="dxa"/>
              <w:bottom w:w="90" w:type="dxa"/>
              <w:end w:w="100" w:type="dxa"/>
            </w:tcMar>
          </w:tcPr>
          <w:p>
            <w:pPr>
              <w:jc w:val="left"/>
            </w:pPr>
            <w:r>
              <w:rPr>
                <w:rFonts w:ascii="Lato" w:hAnsi="Lato"/>
                <w:b/>
                <w:sz w:val="16"/>
              </w:rPr>
              <w:t>Function</w:t>
            </w:r>
          </w:p>
        </w:tc>
        <w:tc>
          <w:tcPr>
            <w:tcW w:type="dxa" w:w="3672"/>
            <w:shd w:fill="E6E9ED"/>
            <w:tcMar>
              <w:top w:w="90" w:type="dxa"/>
              <w:start w:w="100" w:type="dxa"/>
              <w:bottom w:w="90" w:type="dxa"/>
              <w:end w:w="100" w:type="dxa"/>
            </w:tcMar>
          </w:tcPr>
          <w:p>
            <w:pPr>
              <w:jc w:val="left"/>
            </w:pPr>
            <w:r>
              <w:rPr>
                <w:rFonts w:ascii="Lato" w:hAnsi="Lato"/>
                <w:b/>
                <w:sz w:val="16"/>
              </w:rPr>
              <w:t>Relevant features</w:t>
            </w:r>
          </w:p>
        </w:tc>
        <w:tc>
          <w:tcPr>
            <w:tcW w:type="dxa" w:w="3528"/>
            <w:shd w:fill="E6E9ED"/>
            <w:tcMar>
              <w:top w:w="90" w:type="dxa"/>
              <w:start w:w="100" w:type="dxa"/>
              <w:bottom w:w="90" w:type="dxa"/>
              <w:end w:w="100" w:type="dxa"/>
            </w:tcMar>
          </w:tcPr>
          <w:p>
            <w:pPr>
              <w:jc w:val="left"/>
            </w:pPr>
            <w:r>
              <w:rPr>
                <w:rFonts w:ascii="Lato" w:hAnsi="Lato"/>
                <w:b/>
                <w:sz w:val="16"/>
              </w:rPr>
              <w:t>Analytical use</w:t>
            </w:r>
          </w:p>
        </w:tc>
      </w:tr>
      <w:tr>
        <w:trPr>
          <w:cantSplit/>
        </w:trPr>
        <w:tc>
          <w:tcPr>
            <w:tcW w:type="dxa" w:w="1368"/>
            <w:tcMar>
              <w:top w:w="90" w:type="dxa"/>
              <w:start w:w="100" w:type="dxa"/>
              <w:bottom w:w="90" w:type="dxa"/>
              <w:end w:w="100" w:type="dxa"/>
            </w:tcMar>
            <w:vAlign w:val="top"/>
          </w:tcPr>
          <w:p>
            <w:pPr>
              <w:spacing w:after="0"/>
            </w:pPr>
            <w:r>
              <w:rPr>
                <w:rFonts w:ascii="Noto Serif" w:hAnsi="Noto Serif"/>
                <w:sz w:val="16"/>
              </w:rPr>
              <w:t>Germany</w:t>
            </w:r>
          </w:p>
        </w:tc>
        <w:tc>
          <w:tcPr>
            <w:tcW w:type="dxa" w:w="1944"/>
            <w:tcMar>
              <w:top w:w="90" w:type="dxa"/>
              <w:start w:w="100" w:type="dxa"/>
              <w:bottom w:w="90" w:type="dxa"/>
              <w:end w:w="100" w:type="dxa"/>
            </w:tcMar>
            <w:vAlign w:val="top"/>
          </w:tcPr>
          <w:p>
            <w:r>
              <w:t>Mechanism discovery / revealing case</w:t>
            </w:r>
          </w:p>
        </w:tc>
        <w:tc>
          <w:tcPr>
            <w:tcW w:type="dxa" w:w="3672"/>
            <w:tcMar>
              <w:top w:w="90" w:type="dxa"/>
              <w:start w:w="100" w:type="dxa"/>
              <w:bottom w:w="90" w:type="dxa"/>
              <w:end w:w="100" w:type="dxa"/>
            </w:tcMar>
            <w:vAlign w:val="top"/>
          </w:tcPr>
          <w:p>
            <w:r>
              <w:t>Mass casualties; defeat; cult of the fallen; Judenzählung; racial antisemitism; Nazi seizure of state; Holocaust.</w:t>
            </w:r>
          </w:p>
        </w:tc>
        <w:tc>
          <w:tcPr>
            <w:tcW w:type="dxa" w:w="3528"/>
            <w:tcMar>
              <w:top w:w="90" w:type="dxa"/>
              <w:start w:w="100" w:type="dxa"/>
              <w:bottom w:w="90" w:type="dxa"/>
              <w:end w:w="100" w:type="dxa"/>
            </w:tcMar>
            <w:vAlign w:val="top"/>
          </w:tcPr>
          <w:p>
            <w:r>
              <w:t>Discover the mechanism and trace how sacrificial comparison may become essentialized, racialized, non-dischargeable, and coercive.</w:t>
            </w:r>
          </w:p>
        </w:tc>
      </w:tr>
      <w:tr>
        <w:trPr>
          <w:cantSplit/>
        </w:trPr>
        <w:tc>
          <w:tcPr>
            <w:tcW w:type="dxa" w:w="1368"/>
            <w:tcMar>
              <w:top w:w="90" w:type="dxa"/>
              <w:start w:w="100" w:type="dxa"/>
              <w:bottom w:w="90" w:type="dxa"/>
              <w:end w:w="100" w:type="dxa"/>
            </w:tcMar>
            <w:vAlign w:val="top"/>
          </w:tcPr>
          <w:p>
            <w:pPr>
              <w:spacing w:after="0"/>
            </w:pPr>
            <w:r>
              <w:rPr>
                <w:rFonts w:ascii="Noto Serif" w:hAnsi="Noto Serif"/>
                <w:sz w:val="16"/>
              </w:rPr>
              <w:t>Britain</w:t>
            </w:r>
          </w:p>
        </w:tc>
        <w:tc>
          <w:tcPr>
            <w:tcW w:type="dxa" w:w="1944"/>
            <w:tcMar>
              <w:top w:w="90" w:type="dxa"/>
              <w:start w:w="100" w:type="dxa"/>
              <w:bottom w:w="90" w:type="dxa"/>
              <w:end w:w="100" w:type="dxa"/>
            </w:tcMar>
            <w:vAlign w:val="top"/>
          </w:tcPr>
          <w:p>
            <w:r>
              <w:t>Contrast: individualized stigma and social coercion</w:t>
            </w:r>
          </w:p>
        </w:tc>
        <w:tc>
          <w:tcPr>
            <w:tcW w:type="dxa" w:w="3672"/>
            <w:tcMar>
              <w:top w:w="90" w:type="dxa"/>
              <w:start w:w="100" w:type="dxa"/>
              <w:bottom w:w="90" w:type="dxa"/>
              <w:end w:w="100" w:type="dxa"/>
            </w:tcMar>
            <w:vAlign w:val="top"/>
          </w:tcPr>
          <w:p>
            <w:r>
              <w:t>Mass mobilization; white-feather campaigns; “shirkers”; conscientious objectors; strong stigma and coercion.</w:t>
            </w:r>
          </w:p>
        </w:tc>
        <w:tc>
          <w:tcPr>
            <w:tcW w:type="dxa" w:w="3528"/>
            <w:tcMar>
              <w:top w:w="90" w:type="dxa"/>
              <w:start w:w="100" w:type="dxa"/>
              <w:bottom w:w="90" w:type="dxa"/>
              <w:end w:w="100" w:type="dxa"/>
            </w:tcMar>
            <w:vAlign w:val="top"/>
          </w:tcPr>
          <w:p>
            <w:r>
              <w:t>Test how far sacrificial policing can intensify when accusations remain primarily individualized rather than becoming a fixed group debt.</w:t>
            </w:r>
          </w:p>
        </w:tc>
      </w:tr>
      <w:tr>
        <w:trPr>
          <w:cantSplit/>
        </w:trPr>
        <w:tc>
          <w:tcPr>
            <w:tcW w:type="dxa" w:w="1368"/>
            <w:tcMar>
              <w:top w:w="90" w:type="dxa"/>
              <w:start w:w="100" w:type="dxa"/>
              <w:bottom w:w="90" w:type="dxa"/>
              <w:end w:w="100" w:type="dxa"/>
            </w:tcMar>
            <w:vAlign w:val="top"/>
          </w:tcPr>
          <w:p>
            <w:pPr>
              <w:spacing w:after="0"/>
            </w:pPr>
            <w:r>
              <w:rPr>
                <w:rFonts w:ascii="Noto Serif" w:hAnsi="Noto Serif"/>
                <w:sz w:val="16"/>
              </w:rPr>
              <w:t>Australia</w:t>
            </w:r>
          </w:p>
        </w:tc>
        <w:tc>
          <w:tcPr>
            <w:tcW w:type="dxa" w:w="1944"/>
            <w:tcMar>
              <w:top w:w="90" w:type="dxa"/>
              <w:start w:w="100" w:type="dxa"/>
              <w:bottom w:w="90" w:type="dxa"/>
              <w:end w:w="100" w:type="dxa"/>
            </w:tcMar>
            <w:vAlign w:val="top"/>
          </w:tcPr>
          <w:p>
            <w:r>
              <w:t>Contrast: explicit equality-of-sacrifice rhetoric</w:t>
            </w:r>
          </w:p>
        </w:tc>
        <w:tc>
          <w:tcPr>
            <w:tcW w:type="dxa" w:w="3672"/>
            <w:tcMar>
              <w:top w:w="90" w:type="dxa"/>
              <w:start w:w="100" w:type="dxa"/>
              <w:bottom w:w="90" w:type="dxa"/>
              <w:end w:w="100" w:type="dxa"/>
            </w:tcMar>
            <w:vAlign w:val="top"/>
          </w:tcPr>
          <w:p>
            <w:r>
              <w:t>Voluntary enlistment crisis; conscription referenda; public naming/shaming; explicit equality-of-sacrifice arguments.</w:t>
            </w:r>
          </w:p>
        </w:tc>
        <w:tc>
          <w:tcPr>
            <w:tcW w:type="dxa" w:w="3528"/>
            <w:tcMar>
              <w:top w:w="90" w:type="dxa"/>
              <w:start w:w="100" w:type="dxa"/>
              <w:bottom w:w="90" w:type="dxa"/>
              <w:end w:w="100" w:type="dxa"/>
            </w:tcMar>
            <w:vAlign w:val="top"/>
          </w:tcPr>
          <w:p>
            <w:r>
              <w:t>Provide the cleanest test of explicit reciprocal burden-sharing language without an equivalent trajectory toward essentialized debtor identity.</w:t>
            </w:r>
          </w:p>
        </w:tc>
      </w:tr>
      <w:tr>
        <w:trPr>
          <w:cantSplit/>
        </w:trPr>
        <w:tc>
          <w:tcPr>
            <w:tcW w:type="dxa" w:w="1368"/>
            <w:tcMar>
              <w:top w:w="90" w:type="dxa"/>
              <w:start w:w="100" w:type="dxa"/>
              <w:bottom w:w="90" w:type="dxa"/>
              <w:end w:w="100" w:type="dxa"/>
            </w:tcMar>
            <w:vAlign w:val="top"/>
          </w:tcPr>
          <w:p>
            <w:pPr>
              <w:spacing w:after="0"/>
            </w:pPr>
            <w:r>
              <w:rPr>
                <w:rFonts w:ascii="Noto Serif" w:hAnsi="Noto Serif"/>
                <w:sz w:val="16"/>
              </w:rPr>
              <w:t>France</w:t>
            </w:r>
          </w:p>
        </w:tc>
        <w:tc>
          <w:tcPr>
            <w:tcW w:type="dxa" w:w="1944"/>
            <w:tcMar>
              <w:top w:w="90" w:type="dxa"/>
              <w:start w:w="100" w:type="dxa"/>
              <w:bottom w:w="90" w:type="dxa"/>
              <w:end w:w="100" w:type="dxa"/>
            </w:tcMar>
            <w:vAlign w:val="top"/>
          </w:tcPr>
          <w:p>
            <w:r>
              <w:t>Contrast: republican burden-sharing / blood tax</w:t>
            </w:r>
          </w:p>
        </w:tc>
        <w:tc>
          <w:tcPr>
            <w:tcW w:type="dxa" w:w="3672"/>
            <w:tcMar>
              <w:top w:w="90" w:type="dxa"/>
              <w:start w:w="100" w:type="dxa"/>
              <w:bottom w:w="90" w:type="dxa"/>
              <w:end w:w="100" w:type="dxa"/>
            </w:tcMar>
            <w:vAlign w:val="top"/>
          </w:tcPr>
          <w:p>
            <w:r>
              <w:t>Very high casualties; republican “blood tax”; embusqués; industrial exemptions; profiteer resentment.</w:t>
            </w:r>
          </w:p>
        </w:tc>
        <w:tc>
          <w:tcPr>
            <w:tcW w:type="dxa" w:w="3528"/>
            <w:tcMar>
              <w:top w:w="90" w:type="dxa"/>
              <w:start w:w="100" w:type="dxa"/>
              <w:bottom w:w="90" w:type="dxa"/>
              <w:end w:w="100" w:type="dxa"/>
            </w:tcMar>
            <w:vAlign w:val="top"/>
          </w:tcPr>
          <w:p>
            <w:r>
              <w:t>Test how a civic order manages strong burden-sharing claims and resentment toward exemption without constructing the same form of racialized, non-dischargeable debt.</w:t>
            </w:r>
          </w:p>
        </w:tc>
      </w:tr>
    </w:tbl>
    <w:p>
      <w:pPr>
        <w:spacing w:after="0"/>
        <w:widowControl w:val="1"/>
      </w:pPr>
    </w:p>
    <w:p>
      <w:pPr>
        <w:pStyle w:val="Heading2"/>
        <w:widowControl w:val="1"/>
      </w:pPr>
      <w:r>
        <w:rPr>
          <w:rFonts w:ascii="Noto Serif" w:hAnsi="Noto Serif"/>
          <w:sz w:val="21"/>
        </w:rPr>
        <w:t>8.3 Deferred comparative cases</w:t>
      </w:r>
    </w:p>
    <w:p>
      <w:pPr>
        <w:widowControl w:val="1"/>
      </w:pPr>
      <w:r>
        <w:rPr>
          <w:rFonts w:ascii="Noto Serif" w:hAnsi="Noto Serif"/>
          <w:sz w:val="21"/>
        </w:rPr>
        <w:t>Possible second-wave cases include the Ottoman Empire, Italy, Imperial Japan, revolutionary or civil-war Russia, postwar paramilitary movements, and selected ethnic-cleansing cases. The Ottoman case is especially promising because scholarship already uses “social relations of sacrifice,” but its inclusion would immediately introduce the Armenian genocide and therefore should occur only after the framework is robust enough to avoid circular case selection. The project should resist adding cases simply because they are dramatic.</w:t>
      </w:r>
    </w:p>
    <w:p>
      <w:pPr>
        <w:pStyle w:val="Heading1"/>
        <w:widowControl w:val="1"/>
      </w:pPr>
      <w:r>
        <w:rPr>
          <w:rFonts w:ascii="Noto Serif" w:hAnsi="Noto Serif"/>
          <w:sz w:val="21"/>
        </w:rPr>
        <w:t>9. Germany as the Mechanism-Discovery Case</w:t>
      </w:r>
    </w:p>
    <w:p>
      <w:pPr>
        <w:pStyle w:val="Heading2"/>
        <w:widowControl w:val="1"/>
      </w:pPr>
      <w:r>
        <w:rPr>
          <w:rFonts w:ascii="Noto Serif" w:hAnsi="Noto Serif"/>
          <w:sz w:val="21"/>
        </w:rPr>
        <w:t>9.1 Chronological process tracing</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1584"/>
            <w:shd w:fill="E6E9ED"/>
            <w:tcMar>
              <w:top w:w="90" w:type="dxa"/>
              <w:start w:w="100" w:type="dxa"/>
              <w:bottom w:w="90" w:type="dxa"/>
              <w:end w:w="100" w:type="dxa"/>
            </w:tcMar>
          </w:tcPr>
          <w:p>
            <w:pPr>
              <w:jc w:val="left"/>
            </w:pPr>
            <w:r>
              <w:rPr>
                <w:rFonts w:ascii="Lato" w:hAnsi="Lato"/>
                <w:b/>
                <w:sz w:val="16"/>
              </w:rPr>
              <w:t>Period</w:t>
            </w:r>
          </w:p>
        </w:tc>
        <w:tc>
          <w:tcPr>
            <w:tcW w:type="dxa" w:w="2880"/>
            <w:shd w:fill="E6E9ED"/>
            <w:tcMar>
              <w:top w:w="90" w:type="dxa"/>
              <w:start w:w="100" w:type="dxa"/>
              <w:bottom w:w="90" w:type="dxa"/>
              <w:end w:w="100" w:type="dxa"/>
            </w:tcMar>
          </w:tcPr>
          <w:p>
            <w:pPr>
              <w:jc w:val="left"/>
            </w:pPr>
            <w:r>
              <w:rPr>
                <w:rFonts w:ascii="Lato" w:hAnsi="Lato"/>
                <w:b/>
                <w:sz w:val="16"/>
              </w:rPr>
              <w:t>Analytical stage</w:t>
            </w:r>
          </w:p>
        </w:tc>
        <w:tc>
          <w:tcPr>
            <w:tcW w:type="dxa" w:w="6048"/>
            <w:shd w:fill="E6E9ED"/>
            <w:tcMar>
              <w:top w:w="90" w:type="dxa"/>
              <w:start w:w="100" w:type="dxa"/>
              <w:bottom w:w="90" w:type="dxa"/>
              <w:end w:w="100" w:type="dxa"/>
            </w:tcMar>
          </w:tcPr>
          <w:p>
            <w:pPr>
              <w:jc w:val="left"/>
            </w:pPr>
            <w:r>
              <w:rPr>
                <w:rFonts w:ascii="Lato" w:hAnsi="Lato"/>
                <w:b/>
                <w:sz w:val="16"/>
              </w:rPr>
              <w:t>Primary questions</w:t>
            </w:r>
          </w:p>
        </w:tc>
      </w:tr>
      <w:tr>
        <w:trPr>
          <w:cantSplit/>
        </w:trPr>
        <w:tc>
          <w:tcPr>
            <w:tcW w:type="dxa" w:w="1584"/>
            <w:tcMar>
              <w:top w:w="90" w:type="dxa"/>
              <w:start w:w="100" w:type="dxa"/>
              <w:bottom w:w="90" w:type="dxa"/>
              <w:end w:w="100" w:type="dxa"/>
            </w:tcMar>
            <w:vAlign w:val="top"/>
          </w:tcPr>
          <w:p>
            <w:pPr>
              <w:spacing w:after="0"/>
            </w:pPr>
            <w:r>
              <w:rPr>
                <w:rFonts w:ascii="Noto Serif" w:hAnsi="Noto Serif"/>
                <w:sz w:val="16"/>
              </w:rPr>
              <w:t>1914–1916</w:t>
            </w:r>
          </w:p>
        </w:tc>
        <w:tc>
          <w:tcPr>
            <w:tcW w:type="dxa" w:w="2880"/>
            <w:tcMar>
              <w:top w:w="90" w:type="dxa"/>
              <w:start w:w="100" w:type="dxa"/>
              <w:bottom w:w="90" w:type="dxa"/>
              <w:end w:w="100" w:type="dxa"/>
            </w:tcMar>
            <w:vAlign w:val="top"/>
          </w:tcPr>
          <w:p>
            <w:pPr>
              <w:spacing w:after="0"/>
            </w:pPr>
            <w:r>
              <w:rPr>
                <w:rFonts w:ascii="Noto Serif" w:hAnsi="Noto Serif"/>
                <w:sz w:val="16"/>
              </w:rPr>
              <w:t>Mobilization and initial sacrificial community</w:t>
            </w:r>
          </w:p>
        </w:tc>
        <w:tc>
          <w:tcPr>
            <w:tcW w:type="dxa" w:w="6048"/>
            <w:tcMar>
              <w:top w:w="90" w:type="dxa"/>
              <w:start w:w="100" w:type="dxa"/>
              <w:bottom w:w="90" w:type="dxa"/>
              <w:end w:w="100" w:type="dxa"/>
            </w:tcMar>
            <w:vAlign w:val="top"/>
          </w:tcPr>
          <w:p>
            <w:pPr>
              <w:spacing w:after="0"/>
            </w:pPr>
            <w:r>
              <w:rPr>
                <w:rFonts w:ascii="Noto Serif" w:hAnsi="Noto Serif"/>
                <w:sz w:val="16"/>
              </w:rPr>
              <w:t>Enlistment, casualties, Burgfrieden, public language of duty, equality, and national sacrifice.</w:t>
            </w:r>
          </w:p>
        </w:tc>
      </w:tr>
      <w:tr>
        <w:trPr>
          <w:cantSplit/>
        </w:trPr>
        <w:tc>
          <w:tcPr>
            <w:tcW w:type="dxa" w:w="1584"/>
            <w:tcMar>
              <w:top w:w="90" w:type="dxa"/>
              <w:start w:w="100" w:type="dxa"/>
              <w:bottom w:w="90" w:type="dxa"/>
              <w:end w:w="100" w:type="dxa"/>
            </w:tcMar>
            <w:vAlign w:val="top"/>
          </w:tcPr>
          <w:p>
            <w:pPr>
              <w:spacing w:after="0"/>
            </w:pPr>
            <w:r>
              <w:rPr>
                <w:rFonts w:ascii="Noto Serif" w:hAnsi="Noto Serif"/>
                <w:sz w:val="16"/>
              </w:rPr>
              <w:t>1916</w:t>
            </w:r>
          </w:p>
        </w:tc>
        <w:tc>
          <w:tcPr>
            <w:tcW w:type="dxa" w:w="2880"/>
            <w:tcMar>
              <w:top w:w="90" w:type="dxa"/>
              <w:start w:w="100" w:type="dxa"/>
              <w:bottom w:w="90" w:type="dxa"/>
              <w:end w:w="100" w:type="dxa"/>
            </w:tcMar>
            <w:vAlign w:val="top"/>
          </w:tcPr>
          <w:p>
            <w:pPr>
              <w:spacing w:after="0"/>
            </w:pPr>
            <w:r>
              <w:rPr>
                <w:rFonts w:ascii="Noto Serif" w:hAnsi="Noto Serif"/>
                <w:sz w:val="16"/>
              </w:rPr>
              <w:t>Judenzählung</w:t>
            </w:r>
          </w:p>
        </w:tc>
        <w:tc>
          <w:tcPr>
            <w:tcW w:type="dxa" w:w="6048"/>
            <w:tcMar>
              <w:top w:w="90" w:type="dxa"/>
              <w:start w:w="100" w:type="dxa"/>
              <w:bottom w:w="90" w:type="dxa"/>
              <w:end w:w="100" w:type="dxa"/>
            </w:tcMar>
            <w:vAlign w:val="top"/>
          </w:tcPr>
          <w:p>
            <w:pPr>
              <w:spacing w:after="0"/>
            </w:pPr>
            <w:r>
              <w:rPr>
                <w:rFonts w:ascii="Noto Serif" w:hAnsi="Noto Serif"/>
                <w:sz w:val="16"/>
              </w:rPr>
              <w:t>Official inquiry into alleged Jewish shirking; test of whether sacrificial suspicion becomes group-specific despite evidence.</w:t>
            </w:r>
          </w:p>
        </w:tc>
      </w:tr>
      <w:tr>
        <w:trPr>
          <w:cantSplit/>
        </w:trPr>
        <w:tc>
          <w:tcPr>
            <w:tcW w:type="dxa" w:w="1584"/>
            <w:tcMar>
              <w:top w:w="90" w:type="dxa"/>
              <w:start w:w="100" w:type="dxa"/>
              <w:bottom w:w="90" w:type="dxa"/>
              <w:end w:w="100" w:type="dxa"/>
            </w:tcMar>
            <w:vAlign w:val="top"/>
          </w:tcPr>
          <w:p>
            <w:pPr>
              <w:spacing w:after="0"/>
            </w:pPr>
            <w:r>
              <w:rPr>
                <w:rFonts w:ascii="Noto Serif" w:hAnsi="Noto Serif"/>
                <w:sz w:val="16"/>
              </w:rPr>
              <w:t>1917–1918</w:t>
            </w:r>
          </w:p>
        </w:tc>
        <w:tc>
          <w:tcPr>
            <w:tcW w:type="dxa" w:w="2880"/>
            <w:tcMar>
              <w:top w:w="90" w:type="dxa"/>
              <w:start w:w="100" w:type="dxa"/>
              <w:bottom w:w="90" w:type="dxa"/>
              <w:end w:w="100" w:type="dxa"/>
            </w:tcMar>
            <w:vAlign w:val="top"/>
          </w:tcPr>
          <w:p>
            <w:pPr>
              <w:spacing w:after="0"/>
            </w:pPr>
            <w:r>
              <w:rPr>
                <w:rFonts w:ascii="Noto Serif" w:hAnsi="Noto Serif"/>
                <w:sz w:val="16"/>
              </w:rPr>
              <w:t>Mass death and defeat</w:t>
            </w:r>
          </w:p>
        </w:tc>
        <w:tc>
          <w:tcPr>
            <w:tcW w:type="dxa" w:w="6048"/>
            <w:tcMar>
              <w:top w:w="90" w:type="dxa"/>
              <w:start w:w="100" w:type="dxa"/>
              <w:bottom w:w="90" w:type="dxa"/>
              <w:end w:w="100" w:type="dxa"/>
            </w:tcMar>
            <w:vAlign w:val="top"/>
          </w:tcPr>
          <w:p>
            <w:pPr>
              <w:spacing w:after="0"/>
            </w:pPr>
            <w:r>
              <w:rPr>
                <w:rFonts w:ascii="Noto Serif" w:hAnsi="Noto Serif"/>
                <w:sz w:val="16"/>
              </w:rPr>
              <w:t>Casualty burden, hunger, war weariness, military collapse, armistice.</w:t>
            </w:r>
          </w:p>
        </w:tc>
      </w:tr>
      <w:tr>
        <w:trPr>
          <w:cantSplit/>
        </w:trPr>
        <w:tc>
          <w:tcPr>
            <w:tcW w:type="dxa" w:w="1584"/>
            <w:tcMar>
              <w:top w:w="90" w:type="dxa"/>
              <w:start w:w="100" w:type="dxa"/>
              <w:bottom w:w="90" w:type="dxa"/>
              <w:end w:w="100" w:type="dxa"/>
            </w:tcMar>
            <w:vAlign w:val="top"/>
          </w:tcPr>
          <w:p>
            <w:pPr>
              <w:spacing w:after="0"/>
            </w:pPr>
            <w:r>
              <w:rPr>
                <w:rFonts w:ascii="Noto Serif" w:hAnsi="Noto Serif"/>
                <w:sz w:val="16"/>
              </w:rPr>
              <w:t>1918–1923</w:t>
            </w:r>
          </w:p>
        </w:tc>
        <w:tc>
          <w:tcPr>
            <w:tcW w:type="dxa" w:w="2880"/>
            <w:tcMar>
              <w:top w:w="90" w:type="dxa"/>
              <w:start w:w="100" w:type="dxa"/>
              <w:bottom w:w="90" w:type="dxa"/>
              <w:end w:w="100" w:type="dxa"/>
            </w:tcMar>
            <w:vAlign w:val="top"/>
          </w:tcPr>
          <w:p>
            <w:pPr>
              <w:spacing w:after="0"/>
            </w:pPr>
            <w:r>
              <w:rPr>
                <w:rFonts w:ascii="Noto Serif" w:hAnsi="Noto Serif"/>
                <w:sz w:val="16"/>
              </w:rPr>
              <w:t>Interpretation of failed sacrifice</w:t>
            </w:r>
          </w:p>
        </w:tc>
        <w:tc>
          <w:tcPr>
            <w:tcW w:type="dxa" w:w="6048"/>
            <w:tcMar>
              <w:top w:w="90" w:type="dxa"/>
              <w:start w:w="100" w:type="dxa"/>
              <w:bottom w:w="90" w:type="dxa"/>
              <w:end w:w="100" w:type="dxa"/>
            </w:tcMar>
            <w:vAlign w:val="top"/>
          </w:tcPr>
          <w:p>
            <w:pPr>
              <w:spacing w:after="0"/>
            </w:pPr>
            <w:r>
              <w:rPr>
                <w:rFonts w:ascii="Noto Serif" w:hAnsi="Noto Serif"/>
                <w:sz w:val="16"/>
              </w:rPr>
              <w:t>Veterans’ politics, stab-in-the-back narratives, revolution, paramilitarism, memorialization of the dead.</w:t>
            </w:r>
          </w:p>
        </w:tc>
      </w:tr>
      <w:tr>
        <w:trPr>
          <w:cantSplit/>
        </w:trPr>
        <w:tc>
          <w:tcPr>
            <w:tcW w:type="dxa" w:w="1584"/>
            <w:tcMar>
              <w:top w:w="90" w:type="dxa"/>
              <w:start w:w="100" w:type="dxa"/>
              <w:bottom w:w="90" w:type="dxa"/>
              <w:end w:w="100" w:type="dxa"/>
            </w:tcMar>
            <w:vAlign w:val="top"/>
          </w:tcPr>
          <w:p>
            <w:pPr>
              <w:spacing w:after="0"/>
            </w:pPr>
            <w:r>
              <w:rPr>
                <w:rFonts w:ascii="Noto Serif" w:hAnsi="Noto Serif"/>
                <w:sz w:val="16"/>
              </w:rPr>
              <w:t>1920s</w:t>
            </w:r>
          </w:p>
        </w:tc>
        <w:tc>
          <w:tcPr>
            <w:tcW w:type="dxa" w:w="2880"/>
            <w:tcMar>
              <w:top w:w="90" w:type="dxa"/>
              <w:start w:w="100" w:type="dxa"/>
              <w:bottom w:w="90" w:type="dxa"/>
              <w:end w:w="100" w:type="dxa"/>
            </w:tcMar>
            <w:vAlign w:val="top"/>
          </w:tcPr>
          <w:p>
            <w:pPr>
              <w:spacing w:after="0"/>
            </w:pPr>
            <w:r>
              <w:rPr>
                <w:rFonts w:ascii="Noto Serif" w:hAnsi="Noto Serif"/>
                <w:sz w:val="16"/>
              </w:rPr>
              <w:t>Hitler’s ideological synthesis</w:t>
            </w:r>
          </w:p>
        </w:tc>
        <w:tc>
          <w:tcPr>
            <w:tcW w:type="dxa" w:w="6048"/>
            <w:tcMar>
              <w:top w:w="90" w:type="dxa"/>
              <w:start w:w="100" w:type="dxa"/>
              <w:bottom w:w="90" w:type="dxa"/>
              <w:end w:w="100" w:type="dxa"/>
            </w:tcMar>
            <w:vAlign w:val="top"/>
          </w:tcPr>
          <w:p>
            <w:pPr>
              <w:spacing w:after="0"/>
            </w:pPr>
            <w:r>
              <w:rPr>
                <w:rFonts w:ascii="Noto Serif" w:hAnsi="Noto Serif"/>
                <w:sz w:val="16"/>
              </w:rPr>
              <w:t>Self-sacrifice as Aryan virtue; Jewish self-preservation/parasitism; WWI death as moral reference point.</w:t>
            </w:r>
          </w:p>
        </w:tc>
      </w:tr>
      <w:tr>
        <w:trPr>
          <w:cantSplit/>
        </w:trPr>
        <w:tc>
          <w:tcPr>
            <w:tcW w:type="dxa" w:w="1584"/>
            <w:tcMar>
              <w:top w:w="90" w:type="dxa"/>
              <w:start w:w="100" w:type="dxa"/>
              <w:bottom w:w="90" w:type="dxa"/>
              <w:end w:w="100" w:type="dxa"/>
            </w:tcMar>
            <w:vAlign w:val="top"/>
          </w:tcPr>
          <w:p>
            <w:pPr>
              <w:spacing w:after="0"/>
            </w:pPr>
            <w:r>
              <w:rPr>
                <w:rFonts w:ascii="Noto Serif" w:hAnsi="Noto Serif"/>
                <w:sz w:val="16"/>
              </w:rPr>
              <w:t>1933–1939</w:t>
            </w:r>
          </w:p>
        </w:tc>
        <w:tc>
          <w:tcPr>
            <w:tcW w:type="dxa" w:w="2880"/>
            <w:tcMar>
              <w:top w:w="90" w:type="dxa"/>
              <w:start w:w="100" w:type="dxa"/>
              <w:bottom w:w="90" w:type="dxa"/>
              <w:end w:w="100" w:type="dxa"/>
            </w:tcMar>
            <w:vAlign w:val="top"/>
          </w:tcPr>
          <w:p>
            <w:pPr>
              <w:spacing w:after="0"/>
            </w:pPr>
            <w:r>
              <w:rPr>
                <w:rFonts w:ascii="Noto Serif" w:hAnsi="Noto Serif"/>
                <w:sz w:val="16"/>
              </w:rPr>
              <w:t>Institutionalized exclusion</w:t>
            </w:r>
          </w:p>
        </w:tc>
        <w:tc>
          <w:tcPr>
            <w:tcW w:type="dxa" w:w="6048"/>
            <w:tcMar>
              <w:top w:w="90" w:type="dxa"/>
              <w:start w:w="100" w:type="dxa"/>
              <w:bottom w:w="90" w:type="dxa"/>
              <w:end w:w="100" w:type="dxa"/>
            </w:tcMar>
            <w:vAlign w:val="top"/>
          </w:tcPr>
          <w:p>
            <w:pPr>
              <w:spacing w:after="0"/>
            </w:pPr>
            <w:r>
              <w:rPr>
                <w:rFonts w:ascii="Noto Serif" w:hAnsi="Noto Serif"/>
                <w:sz w:val="16"/>
              </w:rPr>
              <w:t>Racial citizenship, veterans’ exceptions and their erosion, segregation of Jews from Volksgemeinschaft.</w:t>
            </w:r>
          </w:p>
        </w:tc>
      </w:tr>
      <w:tr>
        <w:trPr>
          <w:cantSplit/>
        </w:trPr>
        <w:tc>
          <w:tcPr>
            <w:tcW w:type="dxa" w:w="1584"/>
            <w:tcMar>
              <w:top w:w="90" w:type="dxa"/>
              <w:start w:w="100" w:type="dxa"/>
              <w:bottom w:w="90" w:type="dxa"/>
              <w:end w:w="100" w:type="dxa"/>
            </w:tcMar>
            <w:vAlign w:val="top"/>
          </w:tcPr>
          <w:p>
            <w:pPr>
              <w:spacing w:after="0"/>
            </w:pPr>
            <w:r>
              <w:rPr>
                <w:rFonts w:ascii="Noto Serif" w:hAnsi="Noto Serif"/>
                <w:sz w:val="16"/>
              </w:rPr>
              <w:t>1939–1941</w:t>
            </w:r>
          </w:p>
        </w:tc>
        <w:tc>
          <w:tcPr>
            <w:tcW w:type="dxa" w:w="2880"/>
            <w:tcMar>
              <w:top w:w="90" w:type="dxa"/>
              <w:start w:w="100" w:type="dxa"/>
              <w:bottom w:w="90" w:type="dxa"/>
              <w:end w:w="100" w:type="dxa"/>
            </w:tcMar>
            <w:vAlign w:val="top"/>
          </w:tcPr>
          <w:p>
            <w:pPr>
              <w:spacing w:after="0"/>
            </w:pPr>
            <w:r>
              <w:rPr>
                <w:rFonts w:ascii="Noto Serif" w:hAnsi="Noto Serif"/>
                <w:sz w:val="16"/>
              </w:rPr>
              <w:t>Renewed mass sacrifice</w:t>
            </w:r>
          </w:p>
        </w:tc>
        <w:tc>
          <w:tcPr>
            <w:tcW w:type="dxa" w:w="6048"/>
            <w:tcMar>
              <w:top w:w="90" w:type="dxa"/>
              <w:start w:w="100" w:type="dxa"/>
              <w:bottom w:w="90" w:type="dxa"/>
              <w:end w:w="100" w:type="dxa"/>
            </w:tcMar>
            <w:vAlign w:val="top"/>
          </w:tcPr>
          <w:p>
            <w:pPr>
              <w:spacing w:after="0"/>
            </w:pPr>
            <w:r>
              <w:rPr>
                <w:rFonts w:ascii="Noto Serif" w:hAnsi="Noto Serif"/>
                <w:sz w:val="16"/>
              </w:rPr>
              <w:t>War mobilization and new German losses; expansion of anti-Jewish measures.</w:t>
            </w:r>
          </w:p>
        </w:tc>
      </w:tr>
      <w:tr>
        <w:trPr>
          <w:cantSplit/>
        </w:trPr>
        <w:tc>
          <w:tcPr>
            <w:tcW w:type="dxa" w:w="1584"/>
            <w:tcMar>
              <w:top w:w="90" w:type="dxa"/>
              <w:start w:w="100" w:type="dxa"/>
              <w:bottom w:w="90" w:type="dxa"/>
              <w:end w:w="100" w:type="dxa"/>
            </w:tcMar>
            <w:vAlign w:val="top"/>
          </w:tcPr>
          <w:p>
            <w:pPr>
              <w:spacing w:after="0"/>
            </w:pPr>
            <w:r>
              <w:rPr>
                <w:rFonts w:ascii="Noto Serif" w:hAnsi="Noto Serif"/>
                <w:sz w:val="16"/>
              </w:rPr>
              <w:t>1941–1943</w:t>
            </w:r>
          </w:p>
        </w:tc>
        <w:tc>
          <w:tcPr>
            <w:tcW w:type="dxa" w:w="2880"/>
            <w:tcMar>
              <w:top w:w="90" w:type="dxa"/>
              <w:start w:w="100" w:type="dxa"/>
              <w:bottom w:w="90" w:type="dxa"/>
              <w:end w:w="100" w:type="dxa"/>
            </w:tcMar>
            <w:vAlign w:val="top"/>
          </w:tcPr>
          <w:p>
            <w:pPr>
              <w:spacing w:after="0"/>
            </w:pPr>
            <w:r>
              <w:rPr>
                <w:rFonts w:ascii="Noto Serif" w:hAnsi="Noto Serif"/>
                <w:sz w:val="16"/>
              </w:rPr>
              <w:t>Radicalization to mass murder</w:t>
            </w:r>
          </w:p>
        </w:tc>
        <w:tc>
          <w:tcPr>
            <w:tcW w:type="dxa" w:w="6048"/>
            <w:tcMar>
              <w:top w:w="90" w:type="dxa"/>
              <w:start w:w="100" w:type="dxa"/>
              <w:bottom w:w="90" w:type="dxa"/>
              <w:end w:w="100" w:type="dxa"/>
            </w:tcMar>
            <w:vAlign w:val="top"/>
          </w:tcPr>
          <w:p>
            <w:pPr>
              <w:spacing w:after="0"/>
            </w:pPr>
            <w:r>
              <w:rPr>
                <w:rFonts w:ascii="Noto Serif" w:hAnsi="Noto Serif"/>
                <w:sz w:val="16"/>
              </w:rPr>
              <w:t>Eastern Front casualties, war of annihilation, shooting operations, deportations, extermination centers.</w:t>
            </w:r>
          </w:p>
        </w:tc>
      </w:tr>
      <w:tr>
        <w:trPr>
          <w:cantSplit/>
        </w:trPr>
        <w:tc>
          <w:tcPr>
            <w:tcW w:type="dxa" w:w="1584"/>
            <w:tcMar>
              <w:top w:w="90" w:type="dxa"/>
              <w:start w:w="100" w:type="dxa"/>
              <w:bottom w:w="90" w:type="dxa"/>
              <w:end w:w="100" w:type="dxa"/>
            </w:tcMar>
            <w:vAlign w:val="top"/>
          </w:tcPr>
          <w:p>
            <w:pPr>
              <w:spacing w:after="0"/>
            </w:pPr>
            <w:r>
              <w:rPr>
                <w:rFonts w:ascii="Noto Serif" w:hAnsi="Noto Serif"/>
                <w:sz w:val="16"/>
              </w:rPr>
              <w:t>1943–1945</w:t>
            </w:r>
          </w:p>
        </w:tc>
        <w:tc>
          <w:tcPr>
            <w:tcW w:type="dxa" w:w="2880"/>
            <w:tcMar>
              <w:top w:w="90" w:type="dxa"/>
              <w:start w:w="100" w:type="dxa"/>
              <w:bottom w:w="90" w:type="dxa"/>
              <w:end w:w="100" w:type="dxa"/>
            </w:tcMar>
            <w:vAlign w:val="top"/>
          </w:tcPr>
          <w:p>
            <w:pPr>
              <w:spacing w:after="0"/>
            </w:pPr>
            <w:r>
              <w:rPr>
                <w:rFonts w:ascii="Noto Serif" w:hAnsi="Noto Serif"/>
                <w:sz w:val="16"/>
              </w:rPr>
              <w:t>Catastrophic sacrifice and apocalyptic closure</w:t>
            </w:r>
          </w:p>
        </w:tc>
        <w:tc>
          <w:tcPr>
            <w:tcW w:type="dxa" w:w="6048"/>
            <w:tcMar>
              <w:top w:w="90" w:type="dxa"/>
              <w:start w:w="100" w:type="dxa"/>
              <w:bottom w:w="90" w:type="dxa"/>
              <w:end w:w="100" w:type="dxa"/>
            </w:tcMar>
            <w:vAlign w:val="top"/>
          </w:tcPr>
          <w:p>
            <w:pPr>
              <w:spacing w:after="0"/>
            </w:pPr>
            <w:r>
              <w:rPr>
                <w:rFonts w:ascii="Noto Serif" w:hAnsi="Noto Serif"/>
                <w:sz w:val="16"/>
              </w:rPr>
              <w:t>Stalingrad and escalating losses; total-war rhetoric; intensification of destruction and national self-sacrificial themes.</w:t>
            </w:r>
          </w:p>
        </w:tc>
      </w:tr>
    </w:tbl>
    <w:p>
      <w:pPr>
        <w:spacing w:after="0"/>
        <w:widowControl w:val="1"/>
      </w:pPr>
    </w:p>
    <w:p>
      <w:pPr>
        <w:pStyle w:val="Heading2"/>
        <w:widowControl w:val="1"/>
      </w:pPr>
      <w:r>
        <w:rPr>
          <w:rFonts w:ascii="Noto Serif" w:hAnsi="Noto Serif"/>
          <w:sz w:val="21"/>
        </w:rPr>
        <w:t>9.2 Core German primary-source families</w:t>
      </w:r>
    </w:p>
    <w:p>
      <w:pPr>
        <w:pStyle w:val="ListBullet"/>
        <w:spacing w:after="60"/>
        <w:widowControl w:val="1"/>
      </w:pPr>
      <w:r>
        <w:rPr>
          <w:rFonts w:ascii="Noto Serif" w:hAnsi="Noto Serif"/>
          <w:sz w:val="21"/>
        </w:rPr>
        <w:t>Hitler: Mein Kampf; speeches; proclamations; wartime statements; political testaments; reliable records of conversations, with source criticism for provenance.</w:t>
      </w:r>
    </w:p>
    <w:p>
      <w:pPr>
        <w:pStyle w:val="ListBullet"/>
        <w:spacing w:after="60"/>
        <w:widowControl w:val="1"/>
      </w:pPr>
      <w:r>
        <w:rPr>
          <w:rFonts w:ascii="Noto Serif" w:hAnsi="Noto Serif"/>
          <w:sz w:val="21"/>
        </w:rPr>
        <w:t>Goebbels: diaries, speeches, newspaper articles, and total-war propaganda.</w:t>
      </w:r>
    </w:p>
    <w:p>
      <w:pPr>
        <w:pStyle w:val="ListBullet"/>
        <w:spacing w:after="60"/>
        <w:widowControl w:val="1"/>
      </w:pPr>
      <w:r>
        <w:rPr>
          <w:rFonts w:ascii="Noto Serif" w:hAnsi="Noto Serif"/>
          <w:sz w:val="21"/>
        </w:rPr>
        <w:t>Himmler and SS leadership: speeches, policy communications, and ideological training materials.</w:t>
      </w:r>
    </w:p>
    <w:p>
      <w:pPr>
        <w:pStyle w:val="ListBullet"/>
        <w:spacing w:after="60"/>
        <w:widowControl w:val="1"/>
      </w:pPr>
      <w:r>
        <w:rPr>
          <w:rFonts w:ascii="Noto Serif" w:hAnsi="Noto Serif"/>
          <w:sz w:val="21"/>
        </w:rPr>
        <w:t>Judenzählung records and debates; Reichstag materials; War Ministry documents; Jewish organizational responses.</w:t>
      </w:r>
    </w:p>
    <w:p>
      <w:pPr>
        <w:pStyle w:val="ListBullet"/>
        <w:spacing w:after="60"/>
        <w:widowControl w:val="1"/>
      </w:pPr>
      <w:r>
        <w:rPr>
          <w:rFonts w:ascii="Noto Serif" w:hAnsi="Noto Serif"/>
          <w:sz w:val="21"/>
        </w:rPr>
        <w:t>Veterans’ associations, paramilitary organizations, memorial speeches, war monuments, and commemorative publications.</w:t>
      </w:r>
    </w:p>
    <w:p>
      <w:pPr>
        <w:pStyle w:val="ListBullet"/>
        <w:spacing w:after="60"/>
        <w:widowControl w:val="1"/>
      </w:pPr>
      <w:r>
        <w:rPr>
          <w:rFonts w:ascii="Noto Serif" w:hAnsi="Noto Serif"/>
          <w:sz w:val="21"/>
        </w:rPr>
        <w:t>Nazi newspapers and propaganda, especially language comparing front-line sacrifice with alleged Jewish safety, profit, exemption, or treachery.</w:t>
      </w:r>
    </w:p>
    <w:p>
      <w:pPr>
        <w:pStyle w:val="ListBullet"/>
        <w:spacing w:after="60"/>
        <w:widowControl w:val="1"/>
      </w:pPr>
      <w:r>
        <w:rPr>
          <w:rFonts w:ascii="Noto Serif" w:hAnsi="Noto Serif"/>
          <w:sz w:val="21"/>
        </w:rPr>
        <w:t>Jewish veterans’ diaries, letters, petitions, memoirs, and organizational records documenting attempts to establish belonging through proven sacrifice.</w:t>
      </w:r>
    </w:p>
    <w:p>
      <w:pPr>
        <w:pStyle w:val="ListBullet"/>
        <w:spacing w:after="60"/>
        <w:widowControl w:val="1"/>
      </w:pPr>
      <w:r>
        <w:rPr>
          <w:rFonts w:ascii="Noto Serif" w:hAnsi="Noto Serif"/>
          <w:sz w:val="21"/>
        </w:rPr>
        <w:t>Soldiers’ letters and diaries where “our suffering” is compared with home-front populations or targeted groups.</w:t>
      </w:r>
    </w:p>
    <w:p>
      <w:pPr>
        <w:pStyle w:val="ListBullet"/>
        <w:spacing w:after="60"/>
        <w:widowControl w:val="1"/>
      </w:pPr>
      <w:r>
        <w:rPr>
          <w:rFonts w:ascii="Noto Serif" w:hAnsi="Noto Serif"/>
          <w:sz w:val="21"/>
        </w:rPr>
        <w:t>Policy records that reveal whether veteran status or prior military sacrifice affected exemptions, deportation decisions, or classifications.</w:t>
      </w:r>
    </w:p>
    <w:p>
      <w:pPr>
        <w:pStyle w:val="Heading1"/>
        <w:widowControl w:val="1"/>
      </w:pPr>
      <w:r>
        <w:rPr>
          <w:rFonts w:ascii="Noto Serif" w:hAnsi="Noto Serif"/>
          <w:sz w:val="21"/>
        </w:rPr>
        <w:t>10. Evidence Model and Codebook</w:t>
      </w:r>
    </w:p>
    <w:p>
      <w:pPr>
        <w:widowControl w:val="1"/>
      </w:pPr>
      <w:r>
        <w:rPr>
          <w:rFonts w:ascii="Noto Serif" w:hAnsi="Noto Serif"/>
          <w:sz w:val="21"/>
        </w:rPr>
        <w:t>The unit of analysis should initially be the proposition, not the document. A single speech may contain several distinct claims and should be coded at the smallest meaningful level capable of preserving who sacrifices, who benefits, who owes, and what sanction is proposed.</w:t>
      </w:r>
    </w:p>
    <w:p>
      <w:pPr>
        <w:pStyle w:val="Heading2"/>
      </w:pPr>
      <w:r>
        <w:t>10.1 Minimum evidence rule and emic/etic distinction</w:t>
      </w:r>
    </w:p>
    <w:p>
      <w:pPr/>
      <w:r>
        <w:t>Sacrificial debt should be coded as more than sacrificial asymmetry only when three elements are jointly present: (A) an identifiable prior or ongoing sacrifice; (B) an explicit comparison with a less-sacrificing, spared, or benefiting actor; and (C) a normative implication that the second actor therefore owes something, deserves less, must contribute, or may legitimately be sanctioned. Without element C, the evidence supports sacrificial asymmetry but not necessarily debt.</w:t>
      </w:r>
    </w:p>
    <w:p>
      <w:pPr/>
      <w:r>
        <w:t>Emic sacrificial debt refers to historical actors’ own language of owing, payment, repayment, balance, equal burden, “must also,” “cannot remain spared,” or close equivalents. Etic sacrificial debt refers to a researcher’s reconstruction of a creditor/debtor relationship when such language is not explicit. Emic and etic evidence must be coded separately and must not be treated as evidentially equivalent.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2232"/>
            <w:shd w:fill="E6E9ED"/>
            <w:tcMar>
              <w:top w:w="90" w:type="dxa"/>
              <w:start w:w="100" w:type="dxa"/>
              <w:bottom w:w="90" w:type="dxa"/>
              <w:end w:w="100" w:type="dxa"/>
            </w:tcMar>
          </w:tcPr>
          <w:p>
            <w:pPr>
              <w:jc w:val="left"/>
            </w:pPr>
            <w:r>
              <w:rPr>
                <w:rFonts w:ascii="Lato" w:hAnsi="Lato"/>
                <w:b/>
                <w:sz w:val="17"/>
              </w:rPr>
              <w:t>Field</w:t>
            </w:r>
          </w:p>
        </w:tc>
        <w:tc>
          <w:tcPr>
            <w:tcW w:type="dxa" w:w="7776"/>
            <w:shd w:fill="E6E9ED"/>
            <w:tcMar>
              <w:top w:w="90" w:type="dxa"/>
              <w:start w:w="100" w:type="dxa"/>
              <w:bottom w:w="90" w:type="dxa"/>
              <w:end w:w="100" w:type="dxa"/>
            </w:tcMar>
          </w:tcPr>
          <w:p>
            <w:pPr>
              <w:jc w:val="left"/>
            </w:pPr>
            <w:r>
              <w:rPr>
                <w:rFonts w:ascii="Lato" w:hAnsi="Lato"/>
                <w:b/>
                <w:sz w:val="17"/>
              </w:rPr>
              <w:t>Coding question / value</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source_id</w:t>
            </w:r>
          </w:p>
        </w:tc>
        <w:tc>
          <w:tcPr>
            <w:tcW w:type="dxa" w:w="7776"/>
            <w:tcMar>
              <w:top w:w="90" w:type="dxa"/>
              <w:start w:w="100" w:type="dxa"/>
              <w:bottom w:w="90" w:type="dxa"/>
              <w:end w:w="100" w:type="dxa"/>
            </w:tcMar>
            <w:vAlign w:val="top"/>
          </w:tcPr>
          <w:p>
            <w:pPr>
              <w:spacing w:after="0"/>
            </w:pPr>
            <w:r>
              <w:rPr>
                <w:rFonts w:ascii="Noto Serif" w:hAnsi="Noto Serif"/>
                <w:sz w:val="17"/>
              </w:rPr>
              <w:t>Stable citation / archival identifier</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date</w:t>
            </w:r>
          </w:p>
        </w:tc>
        <w:tc>
          <w:tcPr>
            <w:tcW w:type="dxa" w:w="7776"/>
            <w:tcMar>
              <w:top w:w="90" w:type="dxa"/>
              <w:start w:w="100" w:type="dxa"/>
              <w:bottom w:w="90" w:type="dxa"/>
              <w:end w:w="100" w:type="dxa"/>
            </w:tcMar>
            <w:vAlign w:val="top"/>
          </w:tcPr>
          <w:p>
            <w:pPr>
              <w:spacing w:after="0"/>
            </w:pPr>
            <w:r>
              <w:rPr>
                <w:rFonts w:ascii="Noto Serif" w:hAnsi="Noto Serif"/>
                <w:sz w:val="17"/>
              </w:rPr>
              <w:t>Date of statement or document</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actor</w:t>
            </w:r>
          </w:p>
        </w:tc>
        <w:tc>
          <w:tcPr>
            <w:tcW w:type="dxa" w:w="7776"/>
            <w:tcMar>
              <w:top w:w="90" w:type="dxa"/>
              <w:start w:w="100" w:type="dxa"/>
              <w:bottom w:w="90" w:type="dxa"/>
              <w:end w:w="100" w:type="dxa"/>
            </w:tcMar>
            <w:vAlign w:val="top"/>
          </w:tcPr>
          <w:p>
            <w:pPr>
              <w:spacing w:after="0"/>
            </w:pPr>
            <w:r>
              <w:rPr>
                <w:rFonts w:ascii="Noto Serif" w:hAnsi="Noto Serif"/>
                <w:sz w:val="17"/>
              </w:rPr>
              <w:t>Speaker, writer, institution, or organization</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audience</w:t>
            </w:r>
          </w:p>
        </w:tc>
        <w:tc>
          <w:tcPr>
            <w:tcW w:type="dxa" w:w="7776"/>
            <w:tcMar>
              <w:top w:w="90" w:type="dxa"/>
              <w:start w:w="100" w:type="dxa"/>
              <w:bottom w:w="90" w:type="dxa"/>
              <w:end w:w="100" w:type="dxa"/>
            </w:tcMar>
            <w:vAlign w:val="top"/>
          </w:tcPr>
          <w:p>
            <w:pPr>
              <w:spacing w:after="0"/>
            </w:pPr>
            <w:r>
              <w:rPr>
                <w:rFonts w:ascii="Noto Serif" w:hAnsi="Noto Serif"/>
                <w:sz w:val="17"/>
              </w:rPr>
              <w:t>Intended audience if known</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collective_object</w:t>
            </w:r>
          </w:p>
        </w:tc>
        <w:tc>
          <w:tcPr>
            <w:tcW w:type="dxa" w:w="7776"/>
            <w:tcMar>
              <w:top w:w="90" w:type="dxa"/>
              <w:start w:w="100" w:type="dxa"/>
              <w:bottom w:w="90" w:type="dxa"/>
              <w:end w:w="100" w:type="dxa"/>
            </w:tcMar>
            <w:vAlign w:val="top"/>
          </w:tcPr>
          <w:p>
            <w:pPr>
              <w:spacing w:after="0"/>
            </w:pPr>
            <w:r>
              <w:rPr>
                <w:rFonts w:ascii="Noto Serif" w:hAnsi="Noto Serif"/>
                <w:sz w:val="17"/>
              </w:rPr>
              <w:t>Nation, Volk, state, revolution, race, etc.</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sacrificer</w:t>
            </w:r>
          </w:p>
        </w:tc>
        <w:tc>
          <w:tcPr>
            <w:tcW w:type="dxa" w:w="7776"/>
            <w:tcMar>
              <w:top w:w="90" w:type="dxa"/>
              <w:start w:w="100" w:type="dxa"/>
              <w:bottom w:w="90" w:type="dxa"/>
              <w:end w:w="100" w:type="dxa"/>
            </w:tcMar>
            <w:vAlign w:val="top"/>
          </w:tcPr>
          <w:p>
            <w:pPr>
              <w:spacing w:after="0"/>
            </w:pPr>
            <w:r>
              <w:rPr>
                <w:rFonts w:ascii="Noto Serif" w:hAnsi="Noto Serif"/>
                <w:sz w:val="17"/>
              </w:rPr>
              <w:t>Who is represented as suffering or giving?</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sacrifice_type</w:t>
            </w:r>
          </w:p>
        </w:tc>
        <w:tc>
          <w:tcPr>
            <w:tcW w:type="dxa" w:w="7776"/>
            <w:tcMar>
              <w:top w:w="90" w:type="dxa"/>
              <w:start w:w="100" w:type="dxa"/>
              <w:bottom w:w="90" w:type="dxa"/>
              <w:end w:w="100" w:type="dxa"/>
            </w:tcMar>
            <w:vAlign w:val="top"/>
          </w:tcPr>
          <w:p>
            <w:pPr>
              <w:spacing w:after="0"/>
            </w:pPr>
            <w:r>
              <w:rPr>
                <w:rFonts w:ascii="Noto Serif" w:hAnsi="Noto Serif"/>
                <w:sz w:val="17"/>
              </w:rPr>
              <w:t>Death, injury, military service, food, property, labor, family, freedom</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alleged_survivor</w:t>
            </w:r>
          </w:p>
        </w:tc>
        <w:tc>
          <w:tcPr>
            <w:tcW w:type="dxa" w:w="7776"/>
            <w:tcMar>
              <w:top w:w="90" w:type="dxa"/>
              <w:start w:w="100" w:type="dxa"/>
              <w:bottom w:w="90" w:type="dxa"/>
              <w:end w:w="100" w:type="dxa"/>
            </w:tcMar>
            <w:vAlign w:val="top"/>
          </w:tcPr>
          <w:p>
            <w:pPr>
              <w:spacing w:after="0"/>
            </w:pPr>
            <w:r>
              <w:rPr>
                <w:rFonts w:ascii="Noto Serif" w:hAnsi="Noto Serif"/>
                <w:sz w:val="17"/>
              </w:rPr>
              <w:t>Who is represented as spared, safe, profiting, or avoiding?</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explicit_comparison</w:t>
            </w:r>
          </w:p>
        </w:tc>
        <w:tc>
          <w:tcPr>
            <w:tcW w:type="dxa" w:w="7776"/>
            <w:tcMar>
              <w:top w:w="90" w:type="dxa"/>
              <w:start w:w="100" w:type="dxa"/>
              <w:bottom w:w="90" w:type="dxa"/>
              <w:end w:w="100" w:type="dxa"/>
            </w:tcMar>
            <w:vAlign w:val="top"/>
          </w:tcPr>
          <w:p>
            <w:pPr>
              <w:spacing w:after="0"/>
            </w:pPr>
            <w:r>
              <w:rPr>
                <w:rFonts w:ascii="Noto Serif" w:hAnsi="Noto Serif"/>
                <w:sz w:val="17"/>
              </w:rPr>
              <w:t>Are sacrificer and survivor directly juxtaposed? yes/no/uncertain</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moral_value_sacrifice</w:t>
            </w:r>
          </w:p>
        </w:tc>
        <w:tc>
          <w:tcPr>
            <w:tcW w:type="dxa" w:w="7776"/>
            <w:tcMar>
              <w:top w:w="90" w:type="dxa"/>
              <w:start w:w="100" w:type="dxa"/>
              <w:bottom w:w="90" w:type="dxa"/>
              <w:end w:w="100" w:type="dxa"/>
            </w:tcMar>
            <w:vAlign w:val="top"/>
          </w:tcPr>
          <w:p>
            <w:pPr>
              <w:spacing w:after="0"/>
            </w:pPr>
            <w:r>
              <w:rPr>
                <w:rFonts w:ascii="Noto Serif" w:hAnsi="Noto Serif"/>
                <w:sz w:val="17"/>
              </w:rPr>
              <w:t>Heroic, necessary, sacred, honorable, duty, proof of worth, etc.</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moral_value_survival</w:t>
            </w:r>
          </w:p>
        </w:tc>
        <w:tc>
          <w:tcPr>
            <w:tcW w:type="dxa" w:w="7776"/>
            <w:tcMar>
              <w:top w:w="90" w:type="dxa"/>
              <w:start w:w="100" w:type="dxa"/>
              <w:bottom w:w="90" w:type="dxa"/>
              <w:end w:w="100" w:type="dxa"/>
            </w:tcMar>
            <w:vAlign w:val="top"/>
          </w:tcPr>
          <w:p>
            <w:pPr>
              <w:spacing w:after="0"/>
            </w:pPr>
            <w:r>
              <w:rPr>
                <w:rFonts w:ascii="Noto Serif" w:hAnsi="Noto Serif"/>
                <w:sz w:val="17"/>
              </w:rPr>
              <w:t>Cowardly, selfish, parasitic, treacherous, undeserved, neutral, etc.</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debt_language</w:t>
            </w:r>
          </w:p>
        </w:tc>
        <w:tc>
          <w:tcPr>
            <w:tcW w:type="dxa" w:w="7776"/>
            <w:tcMar>
              <w:top w:w="90" w:type="dxa"/>
              <w:start w:w="100" w:type="dxa"/>
              <w:bottom w:w="90" w:type="dxa"/>
              <w:end w:w="100" w:type="dxa"/>
            </w:tcMar>
            <w:vAlign w:val="top"/>
          </w:tcPr>
          <w:p>
            <w:pPr>
              <w:spacing w:after="0"/>
            </w:pPr>
            <w:r>
              <w:rPr>
                <w:rFonts w:ascii="Noto Serif" w:hAnsi="Noto Serif"/>
                <w:sz w:val="17"/>
              </w:rPr>
              <w:t>Repayment, equality, balance, owing, must also, cannot be spared, must pay, etc.</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essentialization</w:t>
            </w:r>
          </w:p>
        </w:tc>
        <w:tc>
          <w:tcPr>
            <w:tcW w:type="dxa" w:w="7776"/>
            <w:tcMar>
              <w:top w:w="90" w:type="dxa"/>
              <w:start w:w="100" w:type="dxa"/>
              <w:bottom w:w="90" w:type="dxa"/>
              <w:end w:w="100" w:type="dxa"/>
            </w:tcMar>
            <w:vAlign w:val="top"/>
          </w:tcPr>
          <w:p>
            <w:pPr>
              <w:spacing w:after="0"/>
            </w:pPr>
            <w:r>
              <w:rPr>
                <w:rFonts w:ascii="Noto Serif" w:hAnsi="Noto Serif"/>
                <w:sz w:val="17"/>
              </w:rPr>
              <w:t>Behavioral / group-generalized / racial-ontological / unclear</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proposed_sanction</w:t>
            </w:r>
          </w:p>
        </w:tc>
        <w:tc>
          <w:tcPr>
            <w:tcW w:type="dxa" w:w="7776"/>
            <w:tcMar>
              <w:top w:w="90" w:type="dxa"/>
              <w:start w:w="100" w:type="dxa"/>
              <w:bottom w:w="90" w:type="dxa"/>
              <w:end w:w="100" w:type="dxa"/>
            </w:tcMar>
            <w:vAlign w:val="top"/>
          </w:tcPr>
          <w:p>
            <w:pPr>
              <w:spacing w:after="0"/>
            </w:pPr>
            <w:r>
              <w:rPr>
                <w:rFonts w:ascii="Noto Serif" w:hAnsi="Noto Serif"/>
                <w:sz w:val="17"/>
              </w:rPr>
              <w:t>Stigma, exclusion, extraction, labor, imprisonment, deportation, killing</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equalization_claim</w:t>
            </w:r>
          </w:p>
        </w:tc>
        <w:tc>
          <w:tcPr>
            <w:tcW w:type="dxa" w:w="7776"/>
            <w:tcMar>
              <w:top w:w="90" w:type="dxa"/>
              <w:start w:w="100" w:type="dxa"/>
              <w:bottom w:w="90" w:type="dxa"/>
              <w:end w:w="100" w:type="dxa"/>
            </w:tcMar>
            <w:vAlign w:val="top"/>
          </w:tcPr>
          <w:p>
            <w:pPr>
              <w:spacing w:after="0"/>
            </w:pPr>
            <w:r>
              <w:rPr>
                <w:rFonts w:ascii="Noto Serif" w:hAnsi="Noto Serif"/>
                <w:sz w:val="17"/>
              </w:rPr>
              <w:t>Is suffering represented as correcting an imbalance?</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alternative_explanation</w:t>
            </w:r>
          </w:p>
        </w:tc>
        <w:tc>
          <w:tcPr>
            <w:tcW w:type="dxa" w:w="7776"/>
            <w:tcMar>
              <w:top w:w="90" w:type="dxa"/>
              <w:start w:w="100" w:type="dxa"/>
              <w:bottom w:w="90" w:type="dxa"/>
              <w:end w:w="100" w:type="dxa"/>
            </w:tcMar>
            <w:vAlign w:val="top"/>
          </w:tcPr>
          <w:p>
            <w:pPr>
              <w:spacing w:after="0"/>
            </w:pPr>
            <w:r>
              <w:rPr>
                <w:rFonts w:ascii="Noto Serif" w:hAnsi="Noto Serif"/>
                <w:sz w:val="17"/>
              </w:rPr>
              <w:t>Hatred, security, revenge, material gain, racial purity, other</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evidence_strength</w:t>
            </w:r>
          </w:p>
        </w:tc>
        <w:tc>
          <w:tcPr>
            <w:tcW w:type="dxa" w:w="7776"/>
            <w:tcMar>
              <w:top w:w="90" w:type="dxa"/>
              <w:start w:w="100" w:type="dxa"/>
              <w:bottom w:w="90" w:type="dxa"/>
              <w:end w:w="100" w:type="dxa"/>
            </w:tcMar>
            <w:vAlign w:val="top"/>
          </w:tcPr>
          <w:p>
            <w:pPr>
              <w:spacing w:after="0"/>
            </w:pPr>
            <w:r>
              <w:rPr>
                <w:rFonts w:ascii="Noto Serif" w:hAnsi="Noto Serif"/>
                <w:sz w:val="17"/>
              </w:rPr>
              <w:t>Weak / moderate / strong / decisive</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counterevidence</w:t>
            </w:r>
          </w:p>
        </w:tc>
        <w:tc>
          <w:tcPr>
            <w:tcW w:type="dxa" w:w="7776"/>
            <w:tcMar>
              <w:top w:w="90" w:type="dxa"/>
              <w:start w:w="100" w:type="dxa"/>
              <w:bottom w:w="90" w:type="dxa"/>
              <w:end w:w="100" w:type="dxa"/>
            </w:tcMar>
            <w:vAlign w:val="top"/>
          </w:tcPr>
          <w:p>
            <w:pPr>
              <w:spacing w:after="0"/>
            </w:pPr>
            <w:r>
              <w:rPr>
                <w:rFonts w:ascii="Noto Serif" w:hAnsi="Noto Serif"/>
                <w:sz w:val="17"/>
              </w:rPr>
              <w:t>Contradictory passage, actor inconsistency, or contextual limit</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notes</w:t>
            </w:r>
          </w:p>
        </w:tc>
        <w:tc>
          <w:tcPr>
            <w:tcW w:type="dxa" w:w="7776"/>
            <w:tcMar>
              <w:top w:w="90" w:type="dxa"/>
              <w:start w:w="100" w:type="dxa"/>
              <w:bottom w:w="90" w:type="dxa"/>
              <w:end w:w="100" w:type="dxa"/>
            </w:tcMar>
            <w:vAlign w:val="top"/>
          </w:tcPr>
          <w:p>
            <w:pPr>
              <w:spacing w:after="0"/>
            </w:pPr>
            <w:r>
              <w:rPr>
                <w:rFonts w:ascii="Noto Serif" w:hAnsi="Noto Serif"/>
                <w:sz w:val="17"/>
              </w:rPr>
              <w:t>Interpretive memo and cross-references</w:t>
            </w:r>
          </w:p>
        </w:tc>
      </w:tr>
      <w:tr>
        <w:tc>
          <w:tcPr>
            <w:tcW w:type="dxa" w:w="4896"/>
          </w:tcPr>
          <w:p>
            <w:r>
              <w:t>debt_status</w:t>
            </w:r>
          </w:p>
        </w:tc>
        <w:tc>
          <w:tcPr>
            <w:tcW w:type="dxa" w:w="4896"/>
          </w:tcPr>
          <w:p>
            <w:r>
              <w:t>Emic / etic / mixed / absent. Emic = actors explicitly articulate owing, payment, balance, reciprocal obligation, or equivalent language; etic = researcher reconstructs a creditor/debtor relation without explicit debt language.</w:t>
            </w:r>
          </w:p>
        </w:tc>
      </w:tr>
      <w:tr>
        <w:tc>
          <w:tcPr>
            <w:tcW w:type="dxa" w:w="4896"/>
          </w:tcPr>
          <w:p>
            <w:r>
              <w:t>claim_role</w:t>
            </w:r>
          </w:p>
        </w:tc>
        <w:tc>
          <w:tcPr>
            <w:tcW w:type="dxa" w:w="4896"/>
          </w:tcPr>
          <w:p>
            <w:r>
              <w:t>Constitutive / diagnostic / motivational / legitimating / escalatory / decision-causal / unclear</w:t>
            </w:r>
          </w:p>
        </w:tc>
      </w:tr>
      <w:tr>
        <w:tc>
          <w:tcPr>
            <w:tcW w:type="dxa" w:w="4896"/>
          </w:tcPr>
          <w:p>
            <w:r>
              <w:t>translation_status</w:t>
            </w:r>
          </w:p>
        </w:tc>
        <w:tc>
          <w:tcPr>
            <w:tcW w:type="dxa" w:w="4896"/>
          </w:tcPr>
          <w:p>
            <w:r>
              <w:t>Original-language text / published translation / researcher translation / translation not verified</w:t>
            </w:r>
          </w:p>
        </w:tc>
      </w:tr>
    </w:tbl>
    <w:p>
      <w:pPr>
        <w:spacing w:after="0"/>
        <w:widowControl w:val="1"/>
      </w:pPr>
    </w:p>
    <w:p>
      <w:pPr>
        <w:pStyle w:val="Heading2"/>
        <w:widowControl w:val="1"/>
      </w:pPr>
      <w:r>
        <w:rPr>
          <w:rFonts w:ascii="Noto Serif" w:hAnsi="Noto Serif"/>
          <w:sz w:val="21"/>
        </w:rPr>
        <w:t>10.2 Evidence-strength rules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2160"/>
            <w:shd w:fill="E6E9ED"/>
            <w:tcMar>
              <w:top w:w="90" w:type="dxa"/>
              <w:start w:w="100" w:type="dxa"/>
              <w:bottom w:w="90" w:type="dxa"/>
              <w:end w:w="100" w:type="dxa"/>
            </w:tcMar>
          </w:tcPr>
          <w:p>
            <w:pPr>
              <w:jc w:val="left"/>
            </w:pPr>
            <w:r>
              <w:rPr>
                <w:rFonts w:ascii="Lato" w:hAnsi="Lato"/>
                <w:b/>
                <w:sz w:val="17"/>
              </w:rPr>
              <w:t>Strength</w:t>
            </w:r>
          </w:p>
        </w:tc>
        <w:tc>
          <w:tcPr>
            <w:tcW w:type="dxa" w:w="7848"/>
            <w:shd w:fill="E6E9ED"/>
            <w:tcMar>
              <w:top w:w="90" w:type="dxa"/>
              <w:start w:w="100" w:type="dxa"/>
              <w:bottom w:w="90" w:type="dxa"/>
              <w:end w:w="100" w:type="dxa"/>
            </w:tcMar>
          </w:tcPr>
          <w:p>
            <w:pPr>
              <w:jc w:val="left"/>
            </w:pPr>
            <w:r>
              <w:rPr>
                <w:rFonts w:ascii="Lato" w:hAnsi="Lato"/>
                <w:b/>
                <w:sz w:val="17"/>
              </w:rPr>
              <w:t>Minimum interpretation</w:t>
            </w:r>
          </w:p>
        </w:tc>
      </w:tr>
      <w:tr>
        <w:trPr>
          <w:cantSplit/>
        </w:trPr>
        <w:tc>
          <w:tcPr>
            <w:tcW w:type="dxa" w:w="2160"/>
            <w:tcMar>
              <w:top w:w="90" w:type="dxa"/>
              <w:start w:w="100" w:type="dxa"/>
              <w:bottom w:w="90" w:type="dxa"/>
              <w:end w:w="100" w:type="dxa"/>
            </w:tcMar>
            <w:vAlign w:val="top"/>
          </w:tcPr>
          <w:p>
            <w:pPr>
              <w:spacing w:after="0"/>
            </w:pPr>
            <w:r>
              <w:rPr>
                <w:rFonts w:ascii="Noto Serif" w:hAnsi="Noto Serif"/>
                <w:sz w:val="17"/>
              </w:rPr>
              <w:t>Weak</w:t>
            </w:r>
          </w:p>
        </w:tc>
        <w:tc>
          <w:tcPr>
            <w:tcW w:type="dxa" w:w="7848"/>
            <w:tcMar>
              <w:top w:w="90" w:type="dxa"/>
              <w:start w:w="100" w:type="dxa"/>
              <w:bottom w:w="90" w:type="dxa"/>
              <w:end w:w="100" w:type="dxa"/>
            </w:tcMar>
            <w:vAlign w:val="top"/>
          </w:tcPr>
          <w:p>
            <w:pPr>
              <w:spacing w:after="0"/>
            </w:pPr>
            <w:r>
              <w:rPr>
                <w:rFonts w:ascii="Noto Serif" w:hAnsi="Noto Serif"/>
                <w:sz w:val="17"/>
              </w:rPr>
              <w:t>Generic praise of sacrifice or generic hostility toward an out-group with no comparison or debt logic.</w:t>
            </w:r>
          </w:p>
        </w:tc>
      </w:tr>
      <w:tr>
        <w:trPr>
          <w:cantSplit/>
        </w:trPr>
        <w:tc>
          <w:tcPr>
            <w:tcW w:type="dxa" w:w="2160"/>
            <w:tcMar>
              <w:top w:w="90" w:type="dxa"/>
              <w:start w:w="100" w:type="dxa"/>
              <w:bottom w:w="90" w:type="dxa"/>
              <w:end w:w="100" w:type="dxa"/>
            </w:tcMar>
            <w:vAlign w:val="top"/>
          </w:tcPr>
          <w:p>
            <w:pPr>
              <w:spacing w:after="0"/>
            </w:pPr>
            <w:r>
              <w:rPr>
                <w:rFonts w:ascii="Noto Serif" w:hAnsi="Noto Serif"/>
                <w:sz w:val="17"/>
              </w:rPr>
              <w:t>Moderate</w:t>
            </w:r>
          </w:p>
        </w:tc>
        <w:tc>
          <w:tcPr>
            <w:tcW w:type="dxa" w:w="7848"/>
            <w:tcMar>
              <w:top w:w="90" w:type="dxa"/>
              <w:start w:w="100" w:type="dxa"/>
              <w:bottom w:w="90" w:type="dxa"/>
              <w:end w:w="100" w:type="dxa"/>
            </w:tcMar>
            <w:vAlign w:val="top"/>
          </w:tcPr>
          <w:p>
            <w:pPr>
              <w:spacing w:after="0"/>
            </w:pPr>
            <w:r>
              <w:rPr>
                <w:rFonts w:ascii="Noto Serif" w:hAnsi="Noto Serif"/>
                <w:sz w:val="17"/>
              </w:rPr>
              <w:t>Sacrificers and alleged nonsacrificers are compared; unequal burden is morally criticized.</w:t>
            </w:r>
          </w:p>
        </w:tc>
      </w:tr>
      <w:tr>
        <w:trPr>
          <w:cantSplit/>
        </w:trPr>
        <w:tc>
          <w:tcPr>
            <w:tcW w:type="dxa" w:w="2160"/>
            <w:tcMar>
              <w:top w:w="90" w:type="dxa"/>
              <w:start w:w="100" w:type="dxa"/>
              <w:bottom w:w="90" w:type="dxa"/>
              <w:end w:w="100" w:type="dxa"/>
            </w:tcMar>
            <w:vAlign w:val="top"/>
          </w:tcPr>
          <w:p>
            <w:pPr>
              <w:spacing w:after="0"/>
            </w:pPr>
            <w:r>
              <w:rPr>
                <w:rFonts w:ascii="Noto Serif" w:hAnsi="Noto Serif"/>
                <w:sz w:val="17"/>
              </w:rPr>
              <w:t>Strong</w:t>
            </w:r>
          </w:p>
        </w:tc>
        <w:tc>
          <w:tcPr>
            <w:tcW w:type="dxa" w:w="7848"/>
            <w:tcMar>
              <w:top w:w="90" w:type="dxa"/>
              <w:start w:w="100" w:type="dxa"/>
              <w:bottom w:w="90" w:type="dxa"/>
              <w:end w:w="100" w:type="dxa"/>
            </w:tcMar>
            <w:vAlign w:val="top"/>
          </w:tcPr>
          <w:p>
            <w:pPr>
              <w:spacing w:after="0"/>
            </w:pPr>
            <w:r>
              <w:rPr>
                <w:rFonts w:ascii="Noto Serif" w:hAnsi="Noto Serif"/>
                <w:sz w:val="17"/>
              </w:rPr>
              <w:t>Explicit claim that because one group suffers or dies, another group must contribute, suffer, pay, or lose protection.</w:t>
            </w:r>
          </w:p>
        </w:tc>
      </w:tr>
      <w:tr>
        <w:trPr>
          <w:cantSplit/>
        </w:trPr>
        <w:tc>
          <w:tcPr>
            <w:tcW w:type="dxa" w:w="2160"/>
            <w:tcMar>
              <w:top w:w="90" w:type="dxa"/>
              <w:start w:w="100" w:type="dxa"/>
              <w:bottom w:w="90" w:type="dxa"/>
              <w:end w:w="100" w:type="dxa"/>
            </w:tcMar>
            <w:vAlign w:val="top"/>
          </w:tcPr>
          <w:p>
            <w:pPr>
              <w:spacing w:after="0"/>
            </w:pPr>
            <w:r>
              <w:rPr>
                <w:rFonts w:ascii="Noto Serif" w:hAnsi="Noto Serif"/>
                <w:sz w:val="17"/>
              </w:rPr>
              <w:t>Decisive for mechanism</w:t>
            </w:r>
          </w:p>
        </w:tc>
        <w:tc>
          <w:tcPr>
            <w:tcW w:type="dxa" w:w="7848"/>
            <w:tcMar>
              <w:top w:w="90" w:type="dxa"/>
              <w:start w:w="100" w:type="dxa"/>
              <w:bottom w:w="90" w:type="dxa"/>
              <w:end w:w="100" w:type="dxa"/>
            </w:tcMar>
            <w:vAlign w:val="top"/>
          </w:tcPr>
          <w:p>
            <w:pPr>
              <w:spacing w:after="0"/>
            </w:pPr>
            <w:r>
              <w:rPr>
                <w:rFonts w:ascii="Noto Serif" w:hAnsi="Noto Serif"/>
                <w:sz w:val="17"/>
              </w:rPr>
              <w:t>Repeated, temporally situated evidence linking prior/ongoing sacrifice to coercive action against the alleged debtor, combined with evidence that countervailing sacrifice does not discharge the debt.</w:t>
            </w:r>
          </w:p>
        </w:tc>
      </w:tr>
    </w:tbl>
    <w:p>
      <w:pPr>
        <w:spacing w:after="0"/>
        <w:widowControl w:val="1"/>
      </w:pPr>
    </w:p>
    <w:p>
      <w:pPr>
        <w:pStyle w:val="Heading2"/>
        <w:widowControl w:val="1"/>
      </w:pPr>
      <w:r>
        <w:rPr>
          <w:rFonts w:ascii="Noto Serif" w:hAnsi="Noto Serif"/>
          <w:sz w:val="21"/>
        </w:rPr>
        <w:t>10.3 Inference guardrails</w:t>
      </w:r>
    </w:p>
    <w:p>
      <w:pPr>
        <w:pStyle w:val="ListBullet"/>
        <w:spacing w:after="60"/>
        <w:widowControl w:val="1"/>
      </w:pPr>
      <w:r>
        <w:rPr>
          <w:rFonts w:ascii="Noto Serif" w:hAnsi="Noto Serif"/>
          <w:sz w:val="21"/>
        </w:rPr>
        <w:t>Do not code ordinary antisemitic or racist statements as sacrificial debt unless the statement also invokes unequal contribution, suffering, survival, deservingness, repayment, or equivalent moral accounting.</w:t>
      </w:r>
    </w:p>
    <w:p>
      <w:pPr>
        <w:pStyle w:val="ListBullet"/>
        <w:spacing w:after="60"/>
        <w:widowControl w:val="1"/>
      </w:pPr>
      <w:r>
        <w:rPr>
          <w:rFonts w:ascii="Noto Serif" w:hAnsi="Noto Serif"/>
          <w:sz w:val="21"/>
        </w:rPr>
        <w:t>Do not infer causation from the mere coexistence of high casualties and persecution.</w:t>
      </w:r>
    </w:p>
    <w:p>
      <w:pPr>
        <w:pStyle w:val="ListBullet"/>
        <w:spacing w:after="60"/>
        <w:widowControl w:val="1"/>
      </w:pPr>
      <w:r>
        <w:rPr>
          <w:rFonts w:ascii="Noto Serif" w:hAnsi="Noto Serif"/>
          <w:sz w:val="21"/>
        </w:rPr>
        <w:t>Distinguish rhetorical legitimation from operational causation. A regime may justify violence through sacrifice language even if other factors drive policy formation.</w:t>
      </w:r>
    </w:p>
    <w:p>
      <w:pPr>
        <w:pStyle w:val="ListBullet"/>
        <w:spacing w:after="60"/>
        <w:widowControl w:val="1"/>
      </w:pPr>
      <w:r>
        <w:rPr>
          <w:rFonts w:ascii="Noto Serif" w:hAnsi="Noto Serif"/>
          <w:sz w:val="21"/>
        </w:rPr>
        <w:t>Distinguish voluntary offering, legal conscription, social coercion, forced labor, and exterminatory victimization rather than collapsing all bodily surrender into one category.</w:t>
      </w:r>
    </w:p>
    <w:p>
      <w:pPr>
        <w:pStyle w:val="ListBullet"/>
        <w:spacing w:after="60"/>
        <w:widowControl w:val="1"/>
      </w:pPr>
      <w:r>
        <w:rPr>
          <w:rFonts w:ascii="Noto Serif" w:hAnsi="Noto Serif"/>
          <w:sz w:val="21"/>
        </w:rPr>
        <w:t>Preserve chronology. A later statement cannot establish that an earlier decision was motivated by the same logic unless independent evidence supports continuity.</w:t>
      </w:r>
    </w:p>
    <w:p>
      <w:pPr>
        <w:pStyle w:val="ListBullet"/>
        <w:spacing w:after="60"/>
        <w:widowControl w:val="1"/>
      </w:pPr>
      <w:r>
        <w:rPr>
          <w:rFonts w:ascii="Noto Serif" w:hAnsi="Noto Serif"/>
          <w:sz w:val="21"/>
        </w:rPr>
        <w:t>Record counterexamples, exceptions, and actor disagreement. Nazi ideology was not perfectly coherent, and the project should not manufacture coherence through selective quotation.</w:t>
      </w:r>
    </w:p>
    <w:p>
      <w:pPr>
        <w:pStyle w:val="ListBullet"/>
        <w:spacing w:after="60"/>
        <w:widowControl w:val="1"/>
      </w:pPr>
      <w:r>
        <w:rPr>
          <w:rFonts w:ascii="Noto Serif" w:hAnsi="Noto Serif"/>
          <w:sz w:val="21"/>
        </w:rPr>
        <w:t>Avoid treating Jewish victims as passive symbols. Include Jewish veterans’ self-understandings, appeals to service, and responses to exclusion wherever sources permit.</w:t>
      </w:r>
    </w:p>
    <w:p>
      <w:pPr>
        <w:pStyle w:val="Heading1"/>
        <w:widowControl w:val="1"/>
      </w:pPr>
      <w:r>
        <w:rPr>
          <w:rFonts w:ascii="Noto Serif" w:hAnsi="Noto Serif"/>
          <w:sz w:val="21"/>
        </w:rPr>
        <w:t>11. Falsification Strategy and Negative Evidence</w:t>
      </w:r>
    </w:p>
    <w:p>
      <w:pPr>
        <w:widowControl w:val="1"/>
      </w:pPr>
      <w:r>
        <w:rPr>
          <w:rFonts w:ascii="Noto Serif" w:hAnsi="Noto Serif"/>
          <w:sz w:val="21"/>
        </w:rPr>
        <w:t>A dedicated falsification file should be part of the repository from day one. The purpose is not merely to list limitations at publication time but to make the project actively search for evidence that would weaken its preferred interpretation.</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864"/>
            <w:shd w:fill="E6E9ED"/>
            <w:tcMar>
              <w:top w:w="90" w:type="dxa"/>
              <w:start w:w="100" w:type="dxa"/>
              <w:bottom w:w="90" w:type="dxa"/>
              <w:end w:w="100" w:type="dxa"/>
            </w:tcMar>
          </w:tcPr>
          <w:p>
            <w:pPr>
              <w:jc w:val="left"/>
            </w:pPr>
            <w:r>
              <w:rPr>
                <w:rFonts w:ascii="Lato" w:hAnsi="Lato"/>
                <w:b/>
                <w:sz w:val="16"/>
              </w:rPr>
              <w:t>Test</w:t>
            </w:r>
          </w:p>
        </w:tc>
        <w:tc>
          <w:tcPr>
            <w:tcW w:type="dxa" w:w="5904"/>
            <w:shd w:fill="E6E9ED"/>
            <w:tcMar>
              <w:top w:w="90" w:type="dxa"/>
              <w:start w:w="100" w:type="dxa"/>
              <w:bottom w:w="90" w:type="dxa"/>
              <w:end w:w="100" w:type="dxa"/>
            </w:tcMar>
          </w:tcPr>
          <w:p>
            <w:pPr>
              <w:jc w:val="left"/>
            </w:pPr>
            <w:r>
              <w:rPr>
                <w:rFonts w:ascii="Lato" w:hAnsi="Lato"/>
                <w:b/>
                <w:sz w:val="16"/>
              </w:rPr>
              <w:t>Potential disconfirming evidence</w:t>
            </w:r>
          </w:p>
        </w:tc>
        <w:tc>
          <w:tcPr>
            <w:tcW w:type="dxa" w:w="3312"/>
            <w:shd w:fill="E6E9ED"/>
            <w:tcMar>
              <w:top w:w="90" w:type="dxa"/>
              <w:start w:w="100" w:type="dxa"/>
              <w:bottom w:w="90" w:type="dxa"/>
              <w:end w:w="100" w:type="dxa"/>
            </w:tcMar>
          </w:tcPr>
          <w:p>
            <w:pPr>
              <w:jc w:val="left"/>
            </w:pPr>
            <w:r>
              <w:rPr>
                <w:rFonts w:ascii="Lato" w:hAnsi="Lato"/>
                <w:b/>
                <w:sz w:val="16"/>
              </w:rPr>
              <w:t>Implication</w:t>
            </w:r>
          </w:p>
        </w:tc>
      </w:tr>
      <w:tr>
        <w:trPr>
          <w:cantSplit/>
        </w:trPr>
        <w:tc>
          <w:tcPr>
            <w:tcW w:type="dxa" w:w="864"/>
            <w:tcMar>
              <w:top w:w="90" w:type="dxa"/>
              <w:start w:w="100" w:type="dxa"/>
              <w:bottom w:w="90" w:type="dxa"/>
              <w:end w:w="100" w:type="dxa"/>
            </w:tcMar>
            <w:vAlign w:val="top"/>
          </w:tcPr>
          <w:p>
            <w:pPr>
              <w:spacing w:after="0"/>
            </w:pPr>
            <w:r>
              <w:rPr>
                <w:rFonts w:ascii="Noto Serif" w:hAnsi="Noto Serif"/>
                <w:sz w:val="16"/>
              </w:rPr>
              <w:t>F1</w:t>
            </w:r>
          </w:p>
        </w:tc>
        <w:tc>
          <w:tcPr>
            <w:tcW w:type="dxa" w:w="5904"/>
            <w:tcMar>
              <w:top w:w="90" w:type="dxa"/>
              <w:start w:w="100" w:type="dxa"/>
              <w:bottom w:w="90" w:type="dxa"/>
              <w:end w:w="100" w:type="dxa"/>
            </w:tcMar>
            <w:vAlign w:val="top"/>
          </w:tcPr>
          <w:p>
            <w:pPr>
              <w:spacing w:after="0"/>
            </w:pPr>
            <w:r>
              <w:rPr>
                <w:rFonts w:ascii="Noto Serif" w:hAnsi="Noto Serif"/>
                <w:sz w:val="16"/>
              </w:rPr>
              <w:t>Hitler’s “balance” or reciprocal-death language proves isolated rather than recurrent and has little relationship to anti-Jewish policy or broader Nazi discourse.</w:t>
            </w:r>
          </w:p>
        </w:tc>
        <w:tc>
          <w:tcPr>
            <w:tcW w:type="dxa" w:w="3312"/>
            <w:tcMar>
              <w:top w:w="90" w:type="dxa"/>
              <w:start w:w="100" w:type="dxa"/>
              <w:bottom w:w="90" w:type="dxa"/>
              <w:end w:w="100" w:type="dxa"/>
            </w:tcMar>
            <w:vAlign w:val="top"/>
          </w:tcPr>
          <w:p>
            <w:pPr>
              <w:spacing w:after="0"/>
            </w:pPr>
            <w:r>
              <w:rPr>
                <w:rFonts w:ascii="Noto Serif" w:hAnsi="Noto Serif"/>
                <w:sz w:val="16"/>
              </w:rPr>
              <w:t>Downgrade Koenigsberg-derived mechanism from central to personal/rhetorical motif.</w:t>
            </w:r>
          </w:p>
        </w:tc>
      </w:tr>
      <w:tr>
        <w:trPr>
          <w:cantSplit/>
        </w:trPr>
        <w:tc>
          <w:tcPr>
            <w:tcW w:type="dxa" w:w="864"/>
            <w:tcMar>
              <w:top w:w="90" w:type="dxa"/>
              <w:start w:w="100" w:type="dxa"/>
              <w:bottom w:w="90" w:type="dxa"/>
              <w:end w:w="100" w:type="dxa"/>
            </w:tcMar>
            <w:vAlign w:val="top"/>
          </w:tcPr>
          <w:p>
            <w:pPr>
              <w:spacing w:after="0"/>
            </w:pPr>
            <w:r>
              <w:rPr>
                <w:rFonts w:ascii="Noto Serif" w:hAnsi="Noto Serif"/>
                <w:sz w:val="16"/>
              </w:rPr>
              <w:t>F2</w:t>
            </w:r>
          </w:p>
        </w:tc>
        <w:tc>
          <w:tcPr>
            <w:tcW w:type="dxa" w:w="5904"/>
            <w:tcMar>
              <w:top w:w="90" w:type="dxa"/>
              <w:start w:w="100" w:type="dxa"/>
              <w:bottom w:w="90" w:type="dxa"/>
              <w:end w:w="100" w:type="dxa"/>
            </w:tcMar>
            <w:vAlign w:val="top"/>
          </w:tcPr>
          <w:p>
            <w:pPr>
              <w:spacing w:after="0"/>
            </w:pPr>
            <w:r>
              <w:rPr>
                <w:rFonts w:ascii="Noto Serif" w:hAnsi="Noto Serif"/>
                <w:sz w:val="16"/>
              </w:rPr>
              <w:t>German Jewish military sacrifice consistently protected veterans and successfully discharged accusations of nonsacrifice.</w:t>
            </w:r>
          </w:p>
        </w:tc>
        <w:tc>
          <w:tcPr>
            <w:tcW w:type="dxa" w:w="3312"/>
            <w:tcMar>
              <w:top w:w="90" w:type="dxa"/>
              <w:start w:w="100" w:type="dxa"/>
              <w:bottom w:w="90" w:type="dxa"/>
              <w:end w:w="100" w:type="dxa"/>
            </w:tcMar>
            <w:vAlign w:val="top"/>
          </w:tcPr>
          <w:p>
            <w:pPr>
              <w:spacing w:after="0"/>
            </w:pPr>
            <w:r>
              <w:rPr>
                <w:rFonts w:ascii="Noto Serif" w:hAnsi="Noto Serif"/>
                <w:sz w:val="16"/>
              </w:rPr>
              <w:t>Weakens unpayable-debt and essentialization hypotheses.</w:t>
            </w:r>
          </w:p>
        </w:tc>
      </w:tr>
      <w:tr>
        <w:trPr>
          <w:cantSplit/>
        </w:trPr>
        <w:tc>
          <w:tcPr>
            <w:tcW w:type="dxa" w:w="864"/>
            <w:tcMar>
              <w:top w:w="90" w:type="dxa"/>
              <w:start w:w="100" w:type="dxa"/>
              <w:bottom w:w="90" w:type="dxa"/>
              <w:end w:w="100" w:type="dxa"/>
            </w:tcMar>
            <w:vAlign w:val="top"/>
          </w:tcPr>
          <w:p>
            <w:pPr>
              <w:spacing w:after="0"/>
            </w:pPr>
            <w:r>
              <w:rPr>
                <w:rFonts w:ascii="Noto Serif" w:hAnsi="Noto Serif"/>
                <w:sz w:val="16"/>
              </w:rPr>
              <w:t>F3</w:t>
            </w:r>
          </w:p>
        </w:tc>
        <w:tc>
          <w:tcPr>
            <w:tcW w:type="dxa" w:w="5904"/>
            <w:tcMar>
              <w:top w:w="90" w:type="dxa"/>
              <w:start w:w="100" w:type="dxa"/>
              <w:bottom w:w="90" w:type="dxa"/>
              <w:end w:w="100" w:type="dxa"/>
            </w:tcMar>
            <w:vAlign w:val="top"/>
          </w:tcPr>
          <w:p>
            <w:pPr>
              <w:spacing w:after="0"/>
            </w:pPr>
            <w:r>
              <w:rPr>
                <w:rFonts w:ascii="Noto Serif" w:hAnsi="Noto Serif"/>
                <w:sz w:val="16"/>
              </w:rPr>
              <w:t>Comparable societies display equally strong ontological nonsacrifice accusations without greater coercive escalation.</w:t>
            </w:r>
          </w:p>
        </w:tc>
        <w:tc>
          <w:tcPr>
            <w:tcW w:type="dxa" w:w="3312"/>
            <w:tcMar>
              <w:top w:w="90" w:type="dxa"/>
              <w:start w:w="100" w:type="dxa"/>
              <w:bottom w:w="90" w:type="dxa"/>
              <w:end w:w="100" w:type="dxa"/>
            </w:tcMar>
            <w:vAlign w:val="top"/>
          </w:tcPr>
          <w:p>
            <w:pPr>
              <w:spacing w:after="0"/>
            </w:pPr>
            <w:r>
              <w:rPr>
                <w:rFonts w:ascii="Noto Serif" w:hAnsi="Noto Serif"/>
                <w:sz w:val="16"/>
              </w:rPr>
              <w:t>Weakens essentialization as discriminating causal condition.</w:t>
            </w:r>
          </w:p>
        </w:tc>
      </w:tr>
      <w:tr>
        <w:trPr>
          <w:cantSplit/>
        </w:trPr>
        <w:tc>
          <w:tcPr>
            <w:tcW w:type="dxa" w:w="864"/>
            <w:tcMar>
              <w:top w:w="90" w:type="dxa"/>
              <w:start w:w="100" w:type="dxa"/>
              <w:bottom w:w="90" w:type="dxa"/>
              <w:end w:w="100" w:type="dxa"/>
            </w:tcMar>
            <w:vAlign w:val="top"/>
          </w:tcPr>
          <w:p>
            <w:pPr>
              <w:spacing w:after="0"/>
            </w:pPr>
            <w:r>
              <w:rPr>
                <w:rFonts w:ascii="Noto Serif" w:hAnsi="Noto Serif"/>
                <w:sz w:val="16"/>
              </w:rPr>
              <w:t>F4</w:t>
            </w:r>
          </w:p>
        </w:tc>
        <w:tc>
          <w:tcPr>
            <w:tcW w:type="dxa" w:w="5904"/>
            <w:tcMar>
              <w:top w:w="90" w:type="dxa"/>
              <w:start w:w="100" w:type="dxa"/>
              <w:bottom w:w="90" w:type="dxa"/>
              <w:end w:w="100" w:type="dxa"/>
            </w:tcMar>
            <w:vAlign w:val="top"/>
          </w:tcPr>
          <w:p>
            <w:pPr>
              <w:spacing w:after="0"/>
            </w:pPr>
            <w:r>
              <w:rPr>
                <w:rFonts w:ascii="Noto Serif" w:hAnsi="Noto Serif"/>
                <w:sz w:val="16"/>
              </w:rPr>
              <w:t>Escalation occurs before or independently of casualty shocks, defeat, or sacrificial comparison.</w:t>
            </w:r>
          </w:p>
        </w:tc>
        <w:tc>
          <w:tcPr>
            <w:tcW w:type="dxa" w:w="3312"/>
            <w:tcMar>
              <w:top w:w="90" w:type="dxa"/>
              <w:start w:w="100" w:type="dxa"/>
              <w:bottom w:w="90" w:type="dxa"/>
              <w:end w:w="100" w:type="dxa"/>
            </w:tcMar>
            <w:vAlign w:val="top"/>
          </w:tcPr>
          <w:p>
            <w:pPr>
              <w:spacing w:after="0"/>
            </w:pPr>
            <w:r>
              <w:rPr>
                <w:rFonts w:ascii="Noto Serif" w:hAnsi="Noto Serif"/>
                <w:sz w:val="16"/>
              </w:rPr>
              <w:t>Weakens magnitude and failed-sacrifice hypotheses.</w:t>
            </w:r>
          </w:p>
        </w:tc>
      </w:tr>
      <w:tr>
        <w:trPr>
          <w:cantSplit/>
        </w:trPr>
        <w:tc>
          <w:tcPr>
            <w:tcW w:type="dxa" w:w="864"/>
            <w:tcMar>
              <w:top w:w="90" w:type="dxa"/>
              <w:start w:w="100" w:type="dxa"/>
              <w:bottom w:w="90" w:type="dxa"/>
              <w:end w:w="100" w:type="dxa"/>
            </w:tcMar>
            <w:vAlign w:val="top"/>
          </w:tcPr>
          <w:p>
            <w:pPr>
              <w:spacing w:after="0"/>
            </w:pPr>
            <w:r>
              <w:rPr>
                <w:rFonts w:ascii="Noto Serif" w:hAnsi="Noto Serif"/>
                <w:sz w:val="16"/>
              </w:rPr>
              <w:t>F5</w:t>
            </w:r>
          </w:p>
        </w:tc>
        <w:tc>
          <w:tcPr>
            <w:tcW w:type="dxa" w:w="5904"/>
            <w:tcMar>
              <w:top w:w="90" w:type="dxa"/>
              <w:start w:w="100" w:type="dxa"/>
              <w:bottom w:w="90" w:type="dxa"/>
              <w:end w:w="100" w:type="dxa"/>
            </w:tcMar>
            <w:vAlign w:val="top"/>
          </w:tcPr>
          <w:p>
            <w:pPr>
              <w:spacing w:after="0"/>
            </w:pPr>
            <w:r>
              <w:rPr>
                <w:rFonts w:ascii="Noto Serif" w:hAnsi="Noto Serif"/>
                <w:sz w:val="16"/>
              </w:rPr>
              <w:t>Primary actors explain coercion entirely through security, race, conquest, or material logic and do not connect it to differential sacrifice.</w:t>
            </w:r>
          </w:p>
        </w:tc>
        <w:tc>
          <w:tcPr>
            <w:tcW w:type="dxa" w:w="3312"/>
            <w:tcMar>
              <w:top w:w="90" w:type="dxa"/>
              <w:start w:w="100" w:type="dxa"/>
              <w:bottom w:w="90" w:type="dxa"/>
              <w:end w:w="100" w:type="dxa"/>
            </w:tcMar>
            <w:vAlign w:val="top"/>
          </w:tcPr>
          <w:p>
            <w:pPr>
              <w:spacing w:after="0"/>
            </w:pPr>
            <w:r>
              <w:rPr>
                <w:rFonts w:ascii="Noto Serif" w:hAnsi="Noto Serif"/>
                <w:sz w:val="16"/>
              </w:rPr>
              <w:t>Sacrificial debt may be secondary legitimation rather than causal mechanism.</w:t>
            </w:r>
          </w:p>
        </w:tc>
      </w:tr>
      <w:tr>
        <w:trPr>
          <w:cantSplit/>
        </w:trPr>
        <w:tc>
          <w:tcPr>
            <w:tcW w:type="dxa" w:w="864"/>
            <w:tcMar>
              <w:top w:w="90" w:type="dxa"/>
              <w:start w:w="100" w:type="dxa"/>
              <w:bottom w:w="90" w:type="dxa"/>
              <w:end w:w="100" w:type="dxa"/>
            </w:tcMar>
            <w:vAlign w:val="top"/>
          </w:tcPr>
          <w:p>
            <w:pPr>
              <w:spacing w:after="0"/>
            </w:pPr>
            <w:r>
              <w:rPr>
                <w:rFonts w:ascii="Noto Serif" w:hAnsi="Noto Serif"/>
                <w:sz w:val="16"/>
              </w:rPr>
              <w:t>F6</w:t>
            </w:r>
          </w:p>
        </w:tc>
        <w:tc>
          <w:tcPr>
            <w:tcW w:type="dxa" w:w="5904"/>
            <w:tcMar>
              <w:top w:w="90" w:type="dxa"/>
              <w:start w:w="100" w:type="dxa"/>
              <w:bottom w:w="90" w:type="dxa"/>
              <w:end w:w="100" w:type="dxa"/>
            </w:tcMar>
            <w:vAlign w:val="top"/>
          </w:tcPr>
          <w:p>
            <w:pPr>
              <w:spacing w:after="0"/>
            </w:pPr>
            <w:r>
              <w:rPr>
                <w:rFonts w:ascii="Noto Serif" w:hAnsi="Noto Serif"/>
                <w:sz w:val="16"/>
              </w:rPr>
              <w:t>Groups regarded as low-sacrifice are reintegrated through demonstrable service in cases where the theory predicts non-dischargeability.</w:t>
            </w:r>
          </w:p>
        </w:tc>
        <w:tc>
          <w:tcPr>
            <w:tcW w:type="dxa" w:w="3312"/>
            <w:tcMar>
              <w:top w:w="90" w:type="dxa"/>
              <w:start w:w="100" w:type="dxa"/>
              <w:bottom w:w="90" w:type="dxa"/>
              <w:end w:w="100" w:type="dxa"/>
            </w:tcMar>
            <w:vAlign w:val="top"/>
          </w:tcPr>
          <w:p>
            <w:pPr>
              <w:spacing w:after="0"/>
            </w:pPr>
            <w:r>
              <w:rPr>
                <w:rFonts w:ascii="Noto Serif" w:hAnsi="Noto Serif"/>
                <w:sz w:val="16"/>
              </w:rPr>
              <w:t>Requires narrower scope conditions for ontological debt.</w:t>
            </w:r>
          </w:p>
        </w:tc>
      </w:tr>
      <w:tr>
        <w:trPr>
          <w:cantSplit/>
        </w:trPr>
        <w:tc>
          <w:tcPr>
            <w:tcW w:type="dxa" w:w="864"/>
            <w:tcMar>
              <w:top w:w="90" w:type="dxa"/>
              <w:start w:w="100" w:type="dxa"/>
              <w:bottom w:w="90" w:type="dxa"/>
              <w:end w:w="100" w:type="dxa"/>
            </w:tcMar>
            <w:vAlign w:val="top"/>
          </w:tcPr>
          <w:p>
            <w:pPr>
              <w:spacing w:after="0"/>
            </w:pPr>
            <w:r>
              <w:rPr>
                <w:rFonts w:ascii="Noto Serif" w:hAnsi="Noto Serif"/>
                <w:sz w:val="16"/>
              </w:rPr>
              <w:t>F7</w:t>
            </w:r>
          </w:p>
        </w:tc>
        <w:tc>
          <w:tcPr>
            <w:tcW w:type="dxa" w:w="5904"/>
            <w:tcMar>
              <w:top w:w="90" w:type="dxa"/>
              <w:start w:w="100" w:type="dxa"/>
              <w:bottom w:w="90" w:type="dxa"/>
              <w:end w:w="100" w:type="dxa"/>
            </w:tcMar>
            <w:vAlign w:val="top"/>
          </w:tcPr>
          <w:p>
            <w:pPr>
              <w:spacing w:after="0"/>
            </w:pPr>
            <w:r>
              <w:rPr>
                <w:rFonts w:ascii="Noto Serif" w:hAnsi="Noto Serif"/>
                <w:sz w:val="16"/>
              </w:rPr>
              <w:t>The same rhetoric appears routinely in nonviolent settings but has no predictive relationship to exclusion or coercion.</w:t>
            </w:r>
          </w:p>
        </w:tc>
        <w:tc>
          <w:tcPr>
            <w:tcW w:type="dxa" w:w="3312"/>
            <w:tcMar>
              <w:top w:w="90" w:type="dxa"/>
              <w:start w:w="100" w:type="dxa"/>
              <w:bottom w:w="90" w:type="dxa"/>
              <w:end w:w="100" w:type="dxa"/>
            </w:tcMar>
            <w:vAlign w:val="top"/>
          </w:tcPr>
          <w:p>
            <w:pPr>
              <w:spacing w:after="0"/>
            </w:pPr>
            <w:r>
              <w:rPr>
                <w:rFonts w:ascii="Noto Serif" w:hAnsi="Noto Serif"/>
                <w:sz w:val="16"/>
              </w:rPr>
              <w:t>Sacrificial debt may describe moral language without explaining escalation.</w:t>
            </w:r>
          </w:p>
        </w:tc>
      </w:tr>
    </w:tbl>
    <w:p>
      <w:pPr>
        <w:spacing w:after="0"/>
        <w:widowControl w:val="1"/>
      </w:pPr>
    </w:p>
    <w:p>
      <w:pPr>
        <w:pStyle w:val="Heading1"/>
        <w:widowControl w:val="1"/>
      </w:pPr>
      <w:r>
        <w:rPr>
          <w:rFonts w:ascii="Noto Serif" w:hAnsi="Noto Serif"/>
          <w:sz w:val="21"/>
        </w:rPr>
        <w:t>12. Methods</w:t>
      </w:r>
    </w:p>
    <w:p>
      <w:pPr>
        <w:pStyle w:val="Heading2"/>
        <w:widowControl w:val="1"/>
      </w:pPr>
      <w:r>
        <w:rPr>
          <w:rFonts w:ascii="Noto Serif" w:hAnsi="Noto Serif"/>
          <w:sz w:val="21"/>
        </w:rPr>
        <w:t>12.1 Qualitative process tracing</w:t>
      </w:r>
    </w:p>
    <w:p>
      <w:pPr>
        <w:widowControl w:val="1"/>
      </w:pPr>
      <w:r>
        <w:rPr>
          <w:rFonts w:ascii="Noto Serif" w:hAnsi="Noto Serif"/>
          <w:sz w:val="21"/>
        </w:rPr>
        <w:t>The German case should be analyzed through process tracing designed to identify the temporal sequence from mass sacrifice to group-specific accusation to policy escalation. Evidence should be organized around hypothesized causal links rather than around personalities alone. Especially valuable are “smoking-gun” passages that explicitly connect a prior or ongoing sacrifice to the legitimacy of imposing suffering on another group.</w:t>
      </w:r>
    </w:p>
    <w:p>
      <w:pPr>
        <w:pStyle w:val="Heading2"/>
        <w:widowControl w:val="1"/>
      </w:pPr>
      <w:r>
        <w:rPr>
          <w:rFonts w:ascii="Noto Serif" w:hAnsi="Noto Serif"/>
          <w:sz w:val="21"/>
        </w:rPr>
        <w:t>12.2 Structured, focused comparison</w:t>
      </w:r>
    </w:p>
    <w:p>
      <w:pPr>
        <w:widowControl w:val="1"/>
      </w:pPr>
      <w:r>
        <w:rPr>
          <w:rFonts w:ascii="Noto Serif" w:hAnsi="Noto Serif"/>
          <w:sz w:val="21"/>
        </w:rPr>
        <w:t>Each case should answer the same questions:</w:t>
      </w:r>
    </w:p>
    <w:p>
      <w:pPr>
        <w:pStyle w:val="ListBullet"/>
        <w:spacing w:after="60"/>
        <w:widowControl w:val="1"/>
      </w:pPr>
      <w:r>
        <w:rPr>
          <w:rFonts w:ascii="Noto Serif" w:hAnsi="Noto Serif"/>
          <w:sz w:val="21"/>
        </w:rPr>
        <w:t>What collective object demanded sacrifice?</w:t>
      </w:r>
    </w:p>
    <w:p>
      <w:pPr>
        <w:pStyle w:val="ListBullet"/>
        <w:spacing w:after="60"/>
        <w:widowControl w:val="1"/>
      </w:pPr>
      <w:r>
        <w:rPr>
          <w:rFonts w:ascii="Noto Serif" w:hAnsi="Noto Serif"/>
          <w:sz w:val="21"/>
        </w:rPr>
        <w:t>Who visibly bore the greatest losses?</w:t>
      </w:r>
    </w:p>
    <w:p>
      <w:pPr>
        <w:pStyle w:val="ListBullet"/>
        <w:spacing w:after="60"/>
        <w:widowControl w:val="1"/>
      </w:pPr>
      <w:r>
        <w:rPr>
          <w:rFonts w:ascii="Noto Serif" w:hAnsi="Noto Serif"/>
          <w:sz w:val="21"/>
        </w:rPr>
        <w:t>Which persons or groups were accused of evading sacrifice?</w:t>
      </w:r>
    </w:p>
    <w:p>
      <w:pPr>
        <w:pStyle w:val="ListBullet"/>
        <w:spacing w:after="60"/>
        <w:widowControl w:val="1"/>
      </w:pPr>
      <w:r>
        <w:rPr>
          <w:rFonts w:ascii="Noto Serif" w:hAnsi="Noto Serif"/>
          <w:sz w:val="21"/>
        </w:rPr>
        <w:t>Was the accusation behavioral or essentialized?</w:t>
      </w:r>
    </w:p>
    <w:p>
      <w:pPr>
        <w:pStyle w:val="ListBullet"/>
        <w:spacing w:after="60"/>
        <w:widowControl w:val="1"/>
      </w:pPr>
      <w:r>
        <w:rPr>
          <w:rFonts w:ascii="Noto Serif" w:hAnsi="Noto Serif"/>
          <w:sz w:val="21"/>
        </w:rPr>
        <w:t>Could actual contribution discharge the accusation?</w:t>
      </w:r>
    </w:p>
    <w:p>
      <w:pPr>
        <w:pStyle w:val="ListBullet"/>
        <w:spacing w:after="60"/>
        <w:widowControl w:val="1"/>
      </w:pPr>
      <w:r>
        <w:rPr>
          <w:rFonts w:ascii="Noto Serif" w:hAnsi="Noto Serif"/>
          <w:sz w:val="21"/>
        </w:rPr>
        <w:t>Who narrated the inequality as morally unjust?</w:t>
      </w:r>
    </w:p>
    <w:p>
      <w:pPr>
        <w:pStyle w:val="ListBullet"/>
        <w:spacing w:after="60"/>
        <w:widowControl w:val="1"/>
      </w:pPr>
      <w:r>
        <w:rPr>
          <w:rFonts w:ascii="Noto Serif" w:hAnsi="Noto Serif"/>
          <w:sz w:val="21"/>
        </w:rPr>
        <w:t>What sanctions were proposed or imposed?</w:t>
      </w:r>
    </w:p>
    <w:p>
      <w:pPr>
        <w:pStyle w:val="ListBullet"/>
        <w:spacing w:after="60"/>
        <w:widowControl w:val="1"/>
      </w:pPr>
      <w:r>
        <w:rPr>
          <w:rFonts w:ascii="Noto Serif" w:hAnsi="Noto Serif"/>
          <w:sz w:val="21"/>
        </w:rPr>
        <w:t>What institutions constrained or enabled escalation?</w:t>
      </w:r>
    </w:p>
    <w:p>
      <w:pPr>
        <w:pStyle w:val="ListBullet"/>
        <w:spacing w:after="60"/>
        <w:widowControl w:val="1"/>
      </w:pPr>
      <w:r>
        <w:rPr>
          <w:rFonts w:ascii="Noto Serif" w:hAnsi="Noto Serif"/>
          <w:sz w:val="21"/>
        </w:rPr>
        <w:t>Did defeat or failed sacrifice intensify the rhetoric?</w:t>
      </w:r>
    </w:p>
    <w:p>
      <w:pPr>
        <w:pStyle w:val="ListBullet"/>
        <w:spacing w:after="60"/>
        <w:widowControl w:val="1"/>
      </w:pPr>
      <w:r>
        <w:rPr>
          <w:rFonts w:ascii="Noto Serif" w:hAnsi="Noto Serif"/>
          <w:sz w:val="21"/>
        </w:rPr>
        <w:t>What was the maximum observed level on the coercive-escalation scale, and what was the highest observed level of sacrificial-debt framing?</w:t>
      </w:r>
    </w:p>
    <w:p>
      <w:pPr>
        <w:pStyle w:val="Heading2"/>
        <w:widowControl w:val="1"/>
      </w:pPr>
      <w:r>
        <w:rPr>
          <w:rFonts w:ascii="Noto Serif" w:hAnsi="Noto Serif"/>
          <w:sz w:val="21"/>
        </w:rPr>
        <w:t>12.3 Discourse analysis</w:t>
      </w:r>
    </w:p>
    <w:p>
      <w:pPr>
        <w:widowControl w:val="1"/>
      </w:pPr>
      <w:r>
        <w:rPr>
          <w:rFonts w:ascii="Noto Serif" w:hAnsi="Noto Serif"/>
          <w:sz w:val="21"/>
        </w:rPr>
        <w:t>Discourse analysis will identify recurring metaphors and moral oppositions: blood versus profit, front versus rear, giver versus taker, hero versus parasite, dead versus survivor, creditor versus debtor, purity versus contamination, and sacrifice versus self-preservation. The objective is not to treat language as transparent evidence of mental state, but to reconstruct the public moral grammar through which coercion becomes intelligible and defensible.</w:t>
      </w:r>
    </w:p>
    <w:p>
      <w:pPr>
        <w:pStyle w:val="Heading2"/>
        <w:widowControl w:val="1"/>
      </w:pPr>
      <w:r>
        <w:rPr>
          <w:rFonts w:ascii="Noto Serif" w:hAnsi="Noto Serif"/>
          <w:sz w:val="21"/>
        </w:rPr>
        <w:t>12.4 Computational methods: later, not first</w:t>
      </w:r>
    </w:p>
    <w:p>
      <w:pPr>
        <w:widowControl w:val="1"/>
      </w:pPr>
      <w:r>
        <w:rPr>
          <w:rFonts w:ascii="Noto Serif" w:hAnsi="Noto Serif"/>
          <w:sz w:val="21"/>
        </w:rPr>
        <w:t>Automated corpus methods should be deferred until manual coding produces stable concepts. Once the codebook is reliable, computational work can assist with retrieval, temporal frequency analysis, co-occurrence networks, actor comparison, and discovery of candidate passages. A model might search for constructions combining a sacrificer term (“soldiers,” “front,” “blood,” “fallen”) with a survivor/debtor term (“shirkers,” “profiteers,” “Jews,” “safe,” “spared,” “pay”) and a normative operator (“must,” “owe,” “also,” “cannot be allowed,” “justice”). Machine retrieval must not substitute for source criticism or interpretive coding.</w:t>
      </w:r>
    </w:p>
    <w:p>
      <w:pPr>
        <w:pStyle w:val="Heading2"/>
      </w:pPr>
      <w:r>
        <w:t>12.5 Causal-role discipline</w:t>
      </w:r>
    </w:p>
    <w:p>
      <w:pPr/>
      <w:r>
        <w:t>The program must distinguish evidence that sacrificial debt helps constitute political membership from evidence that it diagnoses an alleged debtor, motivates punishment, legitimates an existing policy, contributes to escalation, or directly affects a policy decision. These roles are related but not interchangeable; a finding that sacrificial debt functioned primarily as a classificatory or legitimating mechanism would remain theoretically significant without establishing it as an independent cause of mass violence.</w:t>
      </w:r>
    </w:p>
    <w:p>
      <w:pPr>
        <w:pStyle w:val="ListBullet"/>
      </w:pPr>
      <w:r>
        <w:t>Constitutive: sacrificial reasoning helps define who counts as a worthy member of the political community.</w:t>
      </w:r>
    </w:p>
    <w:p>
      <w:pPr>
        <w:pStyle w:val="ListBullet"/>
      </w:pPr>
      <w:r>
        <w:t>Diagnostic: sacrificial reasoning identifies who allegedly failed or benefited at the collective’s expense.</w:t>
      </w:r>
    </w:p>
    <w:p>
      <w:pPr>
        <w:pStyle w:val="ListBullet"/>
      </w:pPr>
      <w:r>
        <w:t>Motivational: sacrificial reasoning supplies a reason actors desire punishment or exclusion.</w:t>
      </w:r>
    </w:p>
    <w:p>
      <w:pPr>
        <w:pStyle w:val="ListBullet"/>
      </w:pPr>
      <w:r>
        <w:t>Legitimating: sacrificial reasoning makes an existing or proposed sanction appear just, reciprocal, or deserved.</w:t>
      </w:r>
    </w:p>
    <w:p>
      <w:pPr>
        <w:pStyle w:val="ListBullet"/>
      </w:pPr>
      <w:r>
        <w:t>Escalatory: sacrificial reasoning helps make more severe sanctions acceptable or necessary.</w:t>
      </w:r>
    </w:p>
    <w:p>
      <w:pPr>
        <w:pStyle w:val="ListBullet"/>
      </w:pPr>
      <w:r>
        <w:t>Decision-causal: evidence shows that sacrificial reasoning materially influenced a concrete policy decision.</w:t>
      </w:r>
    </w:p>
    <w:p>
      <w:pPr>
        <w:pStyle w:val="Heading1"/>
        <w:widowControl w:val="1"/>
      </w:pPr>
      <w:r>
        <w:rPr>
          <w:rFonts w:ascii="Noto Serif" w:hAnsi="Noto Serif"/>
          <w:sz w:val="21"/>
        </w:rPr>
        <w:t>13. Pilot Corpus and Minimum Viable Research Test</w:t>
      </w:r>
    </w:p>
    <w:p>
      <w:pPr>
        <w:widowControl w:val="1"/>
      </w:pPr>
      <w:r>
        <w:rPr>
          <w:rFonts w:ascii="Noto Serif" w:hAnsi="Noto Serif"/>
          <w:sz w:val="21"/>
        </w:rPr>
        <w:t>Before building a large workbench, conduct a deliberately small pilot. The goal is to discover whether the proposed variables can be coded reliably and whether the mechanism appears in primary sources strongly enough to justify expansion.</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2304"/>
            <w:shd w:fill="E6E9ED"/>
            <w:tcMar>
              <w:top w:w="90" w:type="dxa"/>
              <w:start w:w="100" w:type="dxa"/>
              <w:bottom w:w="90" w:type="dxa"/>
              <w:end w:w="100" w:type="dxa"/>
            </w:tcMar>
          </w:tcPr>
          <w:p>
            <w:pPr>
              <w:jc w:val="left"/>
            </w:pPr>
            <w:r>
              <w:rPr>
                <w:rFonts w:ascii="Lato" w:hAnsi="Lato"/>
                <w:b/>
                <w:sz w:val="17"/>
              </w:rPr>
              <w:t>Corpus family</w:t>
            </w:r>
          </w:p>
        </w:tc>
        <w:tc>
          <w:tcPr>
            <w:tcW w:type="dxa" w:w="1440"/>
            <w:shd w:fill="E6E9ED"/>
            <w:tcMar>
              <w:top w:w="90" w:type="dxa"/>
              <w:start w:w="100" w:type="dxa"/>
              <w:bottom w:w="90" w:type="dxa"/>
              <w:end w:w="100" w:type="dxa"/>
            </w:tcMar>
          </w:tcPr>
          <w:p>
            <w:pPr>
              <w:jc w:val="left"/>
            </w:pPr>
            <w:r>
              <w:rPr>
                <w:rFonts w:ascii="Lato" w:hAnsi="Lato"/>
                <w:b/>
                <w:sz w:val="17"/>
              </w:rPr>
              <w:t>Pilot items</w:t>
            </w:r>
          </w:p>
        </w:tc>
        <w:tc>
          <w:tcPr>
            <w:tcW w:type="dxa" w:w="6264"/>
            <w:shd w:fill="E6E9ED"/>
            <w:tcMar>
              <w:top w:w="90" w:type="dxa"/>
              <w:start w:w="100" w:type="dxa"/>
              <w:bottom w:w="90" w:type="dxa"/>
              <w:end w:w="100" w:type="dxa"/>
            </w:tcMar>
          </w:tcPr>
          <w:p>
            <w:pPr>
              <w:jc w:val="left"/>
            </w:pPr>
            <w:r>
              <w:rPr>
                <w:rFonts w:ascii="Lato" w:hAnsi="Lato"/>
                <w:b/>
                <w:sz w:val="17"/>
              </w:rPr>
              <w:t>Purpose</w:t>
            </w:r>
          </w:p>
        </w:tc>
      </w:tr>
      <w:tr>
        <w:trPr>
          <w:cantSplit/>
        </w:trPr>
        <w:tc>
          <w:tcPr>
            <w:tcW w:type="dxa" w:w="2304"/>
            <w:tcMar>
              <w:top w:w="90" w:type="dxa"/>
              <w:start w:w="100" w:type="dxa"/>
              <w:bottom w:w="90" w:type="dxa"/>
              <w:end w:w="100" w:type="dxa"/>
            </w:tcMar>
            <w:vAlign w:val="top"/>
          </w:tcPr>
          <w:p>
            <w:pPr>
              <w:spacing w:after="0"/>
            </w:pPr>
            <w:r>
              <w:rPr>
                <w:rFonts w:ascii="Noto Serif" w:hAnsi="Noto Serif"/>
                <w:sz w:val="17"/>
              </w:rPr>
              <w:t>Hitler</w:t>
            </w:r>
          </w:p>
        </w:tc>
        <w:tc>
          <w:tcPr>
            <w:tcW w:type="dxa" w:w="1440"/>
            <w:tcMar>
              <w:top w:w="90" w:type="dxa"/>
              <w:start w:w="100" w:type="dxa"/>
              <w:bottom w:w="90" w:type="dxa"/>
              <w:end w:w="100" w:type="dxa"/>
            </w:tcMar>
            <w:vAlign w:val="top"/>
          </w:tcPr>
          <w:p>
            <w:pPr>
              <w:spacing w:after="0"/>
            </w:pPr>
            <w:r>
              <w:rPr>
                <w:rFonts w:ascii="Noto Serif" w:hAnsi="Noto Serif"/>
                <w:sz w:val="17"/>
              </w:rPr>
              <w:t>20–30</w:t>
            </w:r>
          </w:p>
        </w:tc>
        <w:tc>
          <w:tcPr>
            <w:tcW w:type="dxa" w:w="6264"/>
            <w:tcMar>
              <w:top w:w="90" w:type="dxa"/>
              <w:start w:w="100" w:type="dxa"/>
              <w:bottom w:w="90" w:type="dxa"/>
              <w:end w:w="100" w:type="dxa"/>
            </w:tcMar>
            <w:vAlign w:val="top"/>
          </w:tcPr>
          <w:p>
            <w:pPr>
              <w:spacing w:after="0"/>
            </w:pPr>
            <w:r>
              <w:rPr>
                <w:rFonts w:ascii="Noto Serif" w:hAnsi="Noto Serif"/>
                <w:sz w:val="17"/>
              </w:rPr>
              <w:t>Highest-value passages from WWI recollections through wartime exterminatory statements.</w:t>
            </w:r>
          </w:p>
        </w:tc>
      </w:tr>
      <w:tr>
        <w:trPr>
          <w:cantSplit/>
        </w:trPr>
        <w:tc>
          <w:tcPr>
            <w:tcW w:type="dxa" w:w="2304"/>
            <w:tcMar>
              <w:top w:w="90" w:type="dxa"/>
              <w:start w:w="100" w:type="dxa"/>
              <w:bottom w:w="90" w:type="dxa"/>
              <w:end w:w="100" w:type="dxa"/>
            </w:tcMar>
            <w:vAlign w:val="top"/>
          </w:tcPr>
          <w:p>
            <w:pPr>
              <w:spacing w:after="0"/>
            </w:pPr>
            <w:r>
              <w:rPr>
                <w:rFonts w:ascii="Noto Serif" w:hAnsi="Noto Serif"/>
                <w:sz w:val="17"/>
              </w:rPr>
              <w:t>Goebbels</w:t>
            </w:r>
          </w:p>
        </w:tc>
        <w:tc>
          <w:tcPr>
            <w:tcW w:type="dxa" w:w="1440"/>
            <w:tcMar>
              <w:top w:w="90" w:type="dxa"/>
              <w:start w:w="100" w:type="dxa"/>
              <w:bottom w:w="90" w:type="dxa"/>
              <w:end w:w="100" w:type="dxa"/>
            </w:tcMar>
            <w:vAlign w:val="top"/>
          </w:tcPr>
          <w:p>
            <w:pPr>
              <w:spacing w:after="0"/>
            </w:pPr>
            <w:r>
              <w:rPr>
                <w:rFonts w:ascii="Noto Serif" w:hAnsi="Noto Serif"/>
                <w:sz w:val="17"/>
              </w:rPr>
              <w:t>15–20</w:t>
            </w:r>
          </w:p>
        </w:tc>
        <w:tc>
          <w:tcPr>
            <w:tcW w:type="dxa" w:w="6264"/>
            <w:tcMar>
              <w:top w:w="90" w:type="dxa"/>
              <w:start w:w="100" w:type="dxa"/>
              <w:bottom w:w="90" w:type="dxa"/>
              <w:end w:w="100" w:type="dxa"/>
            </w:tcMar>
            <w:vAlign w:val="top"/>
          </w:tcPr>
          <w:p>
            <w:pPr>
              <w:spacing w:after="0"/>
            </w:pPr>
            <w:r>
              <w:rPr>
                <w:rFonts w:ascii="Noto Serif" w:hAnsi="Noto Serif"/>
                <w:sz w:val="17"/>
              </w:rPr>
              <w:t>Passages linking front-line loss, total war, Jews, profiteering, retaliation, or repayment.</w:t>
            </w:r>
          </w:p>
        </w:tc>
      </w:tr>
      <w:tr>
        <w:trPr>
          <w:cantSplit/>
        </w:trPr>
        <w:tc>
          <w:tcPr>
            <w:tcW w:type="dxa" w:w="2304"/>
            <w:tcMar>
              <w:top w:w="90" w:type="dxa"/>
              <w:start w:w="100" w:type="dxa"/>
              <w:bottom w:w="90" w:type="dxa"/>
              <w:end w:w="100" w:type="dxa"/>
            </w:tcMar>
            <w:vAlign w:val="top"/>
          </w:tcPr>
          <w:p>
            <w:pPr>
              <w:spacing w:after="0"/>
            </w:pPr>
            <w:r>
              <w:rPr>
                <w:rFonts w:ascii="Noto Serif" w:hAnsi="Noto Serif"/>
                <w:sz w:val="17"/>
              </w:rPr>
              <w:t>Himmler / SS</w:t>
            </w:r>
          </w:p>
        </w:tc>
        <w:tc>
          <w:tcPr>
            <w:tcW w:type="dxa" w:w="1440"/>
            <w:tcMar>
              <w:top w:w="90" w:type="dxa"/>
              <w:start w:w="100" w:type="dxa"/>
              <w:bottom w:w="90" w:type="dxa"/>
              <w:end w:w="100" w:type="dxa"/>
            </w:tcMar>
            <w:vAlign w:val="top"/>
          </w:tcPr>
          <w:p>
            <w:pPr>
              <w:spacing w:after="0"/>
            </w:pPr>
            <w:r>
              <w:rPr>
                <w:rFonts w:ascii="Noto Serif" w:hAnsi="Noto Serif"/>
                <w:sz w:val="17"/>
              </w:rPr>
              <w:t>10–15</w:t>
            </w:r>
          </w:p>
        </w:tc>
        <w:tc>
          <w:tcPr>
            <w:tcW w:type="dxa" w:w="6264"/>
            <w:tcMar>
              <w:top w:w="90" w:type="dxa"/>
              <w:start w:w="100" w:type="dxa"/>
              <w:bottom w:w="90" w:type="dxa"/>
              <w:end w:w="100" w:type="dxa"/>
            </w:tcMar>
            <w:vAlign w:val="top"/>
          </w:tcPr>
          <w:p>
            <w:pPr>
              <w:spacing w:after="0"/>
            </w:pPr>
            <w:r>
              <w:rPr>
                <w:rFonts w:ascii="Noto Serif" w:hAnsi="Noto Serif"/>
                <w:sz w:val="17"/>
              </w:rPr>
              <w:t>Statements connecting German sacrifice, racial hierarchy, duty, and destruction.</w:t>
            </w:r>
          </w:p>
        </w:tc>
      </w:tr>
      <w:tr>
        <w:trPr>
          <w:cantSplit/>
        </w:trPr>
        <w:tc>
          <w:tcPr>
            <w:tcW w:type="dxa" w:w="2304"/>
            <w:tcMar>
              <w:top w:w="90" w:type="dxa"/>
              <w:start w:w="100" w:type="dxa"/>
              <w:bottom w:w="90" w:type="dxa"/>
              <w:end w:w="100" w:type="dxa"/>
            </w:tcMar>
            <w:vAlign w:val="top"/>
          </w:tcPr>
          <w:p>
            <w:pPr>
              <w:spacing w:after="0"/>
            </w:pPr>
            <w:r>
              <w:rPr>
                <w:rFonts w:ascii="Noto Serif" w:hAnsi="Noto Serif"/>
                <w:sz w:val="17"/>
              </w:rPr>
              <w:t>Judenzählung / wartime Germany</w:t>
            </w:r>
          </w:p>
        </w:tc>
        <w:tc>
          <w:tcPr>
            <w:tcW w:type="dxa" w:w="1440"/>
            <w:tcMar>
              <w:top w:w="90" w:type="dxa"/>
              <w:start w:w="100" w:type="dxa"/>
              <w:bottom w:w="90" w:type="dxa"/>
              <w:end w:w="100" w:type="dxa"/>
            </w:tcMar>
            <w:vAlign w:val="top"/>
          </w:tcPr>
          <w:p>
            <w:pPr>
              <w:spacing w:after="0"/>
            </w:pPr>
            <w:r>
              <w:rPr>
                <w:rFonts w:ascii="Noto Serif" w:hAnsi="Noto Serif"/>
                <w:sz w:val="17"/>
              </w:rPr>
              <w:t>15–20</w:t>
            </w:r>
          </w:p>
        </w:tc>
        <w:tc>
          <w:tcPr>
            <w:tcW w:type="dxa" w:w="6264"/>
            <w:tcMar>
              <w:top w:w="90" w:type="dxa"/>
              <w:start w:w="100" w:type="dxa"/>
              <w:bottom w:w="90" w:type="dxa"/>
              <w:end w:w="100" w:type="dxa"/>
            </w:tcMar>
            <w:vAlign w:val="top"/>
          </w:tcPr>
          <w:p>
            <w:pPr>
              <w:spacing w:after="0"/>
            </w:pPr>
            <w:r>
              <w:rPr>
                <w:rFonts w:ascii="Noto Serif" w:hAnsi="Noto Serif"/>
                <w:sz w:val="17"/>
              </w:rPr>
              <w:t>Official and public allegations of Jewish shirking plus evidence contradicting them.</w:t>
            </w:r>
          </w:p>
        </w:tc>
      </w:tr>
      <w:tr>
        <w:trPr>
          <w:cantSplit/>
        </w:trPr>
        <w:tc>
          <w:tcPr>
            <w:tcW w:type="dxa" w:w="2304"/>
            <w:tcMar>
              <w:top w:w="90" w:type="dxa"/>
              <w:start w:w="100" w:type="dxa"/>
              <w:bottom w:w="90" w:type="dxa"/>
              <w:end w:w="100" w:type="dxa"/>
            </w:tcMar>
            <w:vAlign w:val="top"/>
          </w:tcPr>
          <w:p>
            <w:pPr>
              <w:spacing w:after="0"/>
            </w:pPr>
            <w:r>
              <w:rPr>
                <w:rFonts w:ascii="Noto Serif" w:hAnsi="Noto Serif"/>
                <w:sz w:val="17"/>
              </w:rPr>
              <w:t>Jewish veterans</w:t>
            </w:r>
          </w:p>
        </w:tc>
        <w:tc>
          <w:tcPr>
            <w:tcW w:type="dxa" w:w="1440"/>
            <w:tcMar>
              <w:top w:w="90" w:type="dxa"/>
              <w:start w:w="100" w:type="dxa"/>
              <w:bottom w:w="90" w:type="dxa"/>
              <w:end w:w="100" w:type="dxa"/>
            </w:tcMar>
            <w:vAlign w:val="top"/>
          </w:tcPr>
          <w:p>
            <w:pPr>
              <w:spacing w:after="0"/>
            </w:pPr>
            <w:r>
              <w:rPr>
                <w:rFonts w:ascii="Noto Serif" w:hAnsi="Noto Serif"/>
                <w:sz w:val="17"/>
              </w:rPr>
              <w:t>15–20</w:t>
            </w:r>
          </w:p>
        </w:tc>
        <w:tc>
          <w:tcPr>
            <w:tcW w:type="dxa" w:w="6264"/>
            <w:tcMar>
              <w:top w:w="90" w:type="dxa"/>
              <w:start w:w="100" w:type="dxa"/>
              <w:bottom w:w="90" w:type="dxa"/>
              <w:end w:w="100" w:type="dxa"/>
            </w:tcMar>
            <w:vAlign w:val="top"/>
          </w:tcPr>
          <w:p>
            <w:pPr>
              <w:spacing w:after="0"/>
            </w:pPr>
            <w:r>
              <w:rPr>
                <w:rFonts w:ascii="Noto Serif" w:hAnsi="Noto Serif"/>
                <w:sz w:val="17"/>
              </w:rPr>
              <w:t>Evidence of service, belonging claims, and encounters with allegations that sacrifice could not erase.</w:t>
            </w:r>
          </w:p>
        </w:tc>
      </w:tr>
      <w:tr>
        <w:trPr>
          <w:cantSplit/>
        </w:trPr>
        <w:tc>
          <w:tcPr>
            <w:tcW w:type="dxa" w:w="2304"/>
            <w:tcMar>
              <w:top w:w="90" w:type="dxa"/>
              <w:start w:w="100" w:type="dxa"/>
              <w:bottom w:w="90" w:type="dxa"/>
              <w:end w:w="100" w:type="dxa"/>
            </w:tcMar>
            <w:vAlign w:val="top"/>
          </w:tcPr>
          <w:p>
            <w:pPr>
              <w:spacing w:after="0"/>
            </w:pPr>
            <w:r>
              <w:rPr>
                <w:rFonts w:ascii="Noto Serif" w:hAnsi="Noto Serif"/>
                <w:sz w:val="17"/>
              </w:rPr>
              <w:t>Britain</w:t>
            </w:r>
          </w:p>
        </w:tc>
        <w:tc>
          <w:tcPr>
            <w:tcW w:type="dxa" w:w="1440"/>
            <w:tcMar>
              <w:top w:w="90" w:type="dxa"/>
              <w:start w:w="100" w:type="dxa"/>
              <w:bottom w:w="90" w:type="dxa"/>
              <w:end w:w="100" w:type="dxa"/>
            </w:tcMar>
            <w:vAlign w:val="top"/>
          </w:tcPr>
          <w:p>
            <w:pPr>
              <w:spacing w:after="0"/>
            </w:pPr>
            <w:r>
              <w:rPr>
                <w:rFonts w:ascii="Noto Serif" w:hAnsi="Noto Serif"/>
                <w:sz w:val="17"/>
              </w:rPr>
              <w:t>15–20</w:t>
            </w:r>
          </w:p>
        </w:tc>
        <w:tc>
          <w:tcPr>
            <w:tcW w:type="dxa" w:w="6264"/>
            <w:tcMar>
              <w:top w:w="90" w:type="dxa"/>
              <w:start w:w="100" w:type="dxa"/>
              <w:bottom w:w="90" w:type="dxa"/>
              <w:end w:w="100" w:type="dxa"/>
            </w:tcMar>
            <w:vAlign w:val="top"/>
          </w:tcPr>
          <w:p>
            <w:pPr>
              <w:spacing w:after="0"/>
            </w:pPr>
            <w:r>
              <w:rPr>
                <w:rFonts w:ascii="Noto Serif" w:hAnsi="Noto Serif"/>
                <w:sz w:val="17"/>
              </w:rPr>
              <w:t>White-feather, shirker, conscientious-objector, and burden-sharing materials.</w:t>
            </w:r>
          </w:p>
        </w:tc>
      </w:tr>
      <w:tr>
        <w:trPr>
          <w:cantSplit/>
        </w:trPr>
        <w:tc>
          <w:tcPr>
            <w:tcW w:type="dxa" w:w="2304"/>
            <w:tcMar>
              <w:top w:w="90" w:type="dxa"/>
              <w:start w:w="100" w:type="dxa"/>
              <w:bottom w:w="90" w:type="dxa"/>
              <w:end w:w="100" w:type="dxa"/>
            </w:tcMar>
            <w:vAlign w:val="top"/>
          </w:tcPr>
          <w:p>
            <w:pPr>
              <w:spacing w:after="0"/>
            </w:pPr>
            <w:r>
              <w:rPr>
                <w:rFonts w:ascii="Noto Serif" w:hAnsi="Noto Serif"/>
                <w:sz w:val="17"/>
              </w:rPr>
              <w:t>Australia</w:t>
            </w:r>
          </w:p>
        </w:tc>
        <w:tc>
          <w:tcPr>
            <w:tcW w:type="dxa" w:w="1440"/>
            <w:tcMar>
              <w:top w:w="90" w:type="dxa"/>
              <w:start w:w="100" w:type="dxa"/>
              <w:bottom w:w="90" w:type="dxa"/>
              <w:end w:w="100" w:type="dxa"/>
            </w:tcMar>
            <w:vAlign w:val="top"/>
          </w:tcPr>
          <w:p>
            <w:pPr>
              <w:spacing w:after="0"/>
            </w:pPr>
            <w:r>
              <w:rPr>
                <w:rFonts w:ascii="Noto Serif" w:hAnsi="Noto Serif"/>
                <w:sz w:val="17"/>
              </w:rPr>
              <w:t>15–20</w:t>
            </w:r>
          </w:p>
        </w:tc>
        <w:tc>
          <w:tcPr>
            <w:tcW w:type="dxa" w:w="6264"/>
            <w:tcMar>
              <w:top w:w="90" w:type="dxa"/>
              <w:start w:w="100" w:type="dxa"/>
              <w:bottom w:w="90" w:type="dxa"/>
              <w:end w:w="100" w:type="dxa"/>
            </w:tcMar>
            <w:vAlign w:val="top"/>
          </w:tcPr>
          <w:p>
            <w:pPr>
              <w:spacing w:after="0"/>
            </w:pPr>
            <w:r>
              <w:rPr>
                <w:rFonts w:ascii="Noto Serif" w:hAnsi="Noto Serif"/>
                <w:sz w:val="17"/>
              </w:rPr>
              <w:t>Conscription referendum rhetoric emphasizing equality of sacrifice and “why should mine die while yours lives?”</w:t>
            </w:r>
          </w:p>
        </w:tc>
      </w:tr>
      <w:tr>
        <w:trPr>
          <w:cantSplit/>
        </w:trPr>
        <w:tc>
          <w:tcPr>
            <w:tcW w:type="dxa" w:w="2304"/>
            <w:tcMar>
              <w:top w:w="90" w:type="dxa"/>
              <w:start w:w="100" w:type="dxa"/>
              <w:bottom w:w="90" w:type="dxa"/>
              <w:end w:w="100" w:type="dxa"/>
            </w:tcMar>
            <w:vAlign w:val="top"/>
          </w:tcPr>
          <w:p>
            <w:pPr>
              <w:spacing w:after="0"/>
            </w:pPr>
            <w:r>
              <w:rPr>
                <w:rFonts w:ascii="Noto Serif" w:hAnsi="Noto Serif"/>
                <w:sz w:val="17"/>
              </w:rPr>
              <w:t>France</w:t>
            </w:r>
          </w:p>
        </w:tc>
        <w:tc>
          <w:tcPr>
            <w:tcW w:type="dxa" w:w="1440"/>
            <w:tcMar>
              <w:top w:w="90" w:type="dxa"/>
              <w:start w:w="100" w:type="dxa"/>
              <w:bottom w:w="90" w:type="dxa"/>
              <w:end w:w="100" w:type="dxa"/>
            </w:tcMar>
            <w:vAlign w:val="top"/>
          </w:tcPr>
          <w:p>
            <w:pPr>
              <w:spacing w:after="0"/>
            </w:pPr>
            <w:r>
              <w:rPr>
                <w:rFonts w:ascii="Noto Serif" w:hAnsi="Noto Serif"/>
                <w:sz w:val="17"/>
              </w:rPr>
              <w:t>15–20</w:t>
            </w:r>
          </w:p>
        </w:tc>
        <w:tc>
          <w:tcPr>
            <w:tcW w:type="dxa" w:w="6264"/>
            <w:tcMar>
              <w:top w:w="90" w:type="dxa"/>
              <w:start w:w="100" w:type="dxa"/>
              <w:bottom w:w="90" w:type="dxa"/>
              <w:end w:w="100" w:type="dxa"/>
            </w:tcMar>
            <w:vAlign w:val="top"/>
          </w:tcPr>
          <w:p>
            <w:pPr>
              <w:spacing w:after="0"/>
            </w:pPr>
            <w:r>
              <w:rPr>
                <w:rFonts w:ascii="Noto Serif" w:hAnsi="Noto Serif"/>
                <w:sz w:val="17"/>
              </w:rPr>
              <w:t>Blood-tax, embusqué, war-industry exemption, and profiteer discourse.</w:t>
            </w:r>
          </w:p>
        </w:tc>
      </w:tr>
    </w:tbl>
    <w:p>
      <w:pPr>
        <w:spacing w:after="0"/>
        <w:widowControl w:val="1"/>
      </w:pPr>
    </w:p>
    <w:p>
      <w:pPr>
        <w:pStyle w:val="Heading2"/>
        <w:widowControl w:val="1"/>
      </w:pPr>
      <w:r>
        <w:rPr>
          <w:rFonts w:ascii="Noto Serif" w:hAnsi="Noto Serif"/>
          <w:sz w:val="21"/>
        </w:rPr>
        <w:t>13.1 Pilot go/no-go criteria</w:t>
      </w:r>
    </w:p>
    <w:p>
      <w:pPr>
        <w:pStyle w:val="ListBullet"/>
        <w:spacing w:after="60"/>
        <w:widowControl w:val="1"/>
      </w:pPr>
      <w:r>
        <w:rPr>
          <w:rFonts w:ascii="Noto Serif" w:hAnsi="Noto Serif"/>
          <w:sz w:val="21"/>
        </w:rPr>
        <w:t>At least two independent coders can distinguish sacrificial-debt evidence from generic hostility with acceptable agreement.</w:t>
      </w:r>
    </w:p>
    <w:p>
      <w:pPr>
        <w:pStyle w:val="ListBullet"/>
        <w:spacing w:after="60"/>
        <w:widowControl w:val="1"/>
      </w:pPr>
      <w:r>
        <w:rPr>
          <w:rFonts w:ascii="Noto Serif" w:hAnsi="Noto Serif"/>
          <w:sz w:val="21"/>
        </w:rPr>
        <w:t>German sources contain more than isolated examples of explicit reciprocal moral accounting.</w:t>
      </w:r>
    </w:p>
    <w:p>
      <w:pPr>
        <w:pStyle w:val="ListBullet"/>
        <w:spacing w:after="60"/>
        <w:widowControl w:val="1"/>
      </w:pPr>
      <w:r>
        <w:rPr>
          <w:rFonts w:ascii="Noto Serif" w:hAnsi="Noto Serif"/>
          <w:sz w:val="21"/>
        </w:rPr>
        <w:t>Jewish military sacrifice provides observable tests of whether debt could be discharged.</w:t>
      </w:r>
    </w:p>
    <w:p>
      <w:pPr>
        <w:pStyle w:val="ListBullet"/>
        <w:spacing w:after="60"/>
        <w:widowControl w:val="1"/>
      </w:pPr>
      <w:r>
        <w:rPr>
          <w:rFonts w:ascii="Noto Serif" w:hAnsi="Noto Serif"/>
          <w:sz w:val="21"/>
        </w:rPr>
        <w:t>Comparative cases contain strong sacrificial-equality rhetoric but diverge meaningfully in essentialization and coercive outcomes.</w:t>
      </w:r>
    </w:p>
    <w:p>
      <w:pPr>
        <w:pStyle w:val="ListBullet"/>
        <w:spacing w:after="60"/>
        <w:widowControl w:val="1"/>
      </w:pPr>
      <w:r>
        <w:rPr>
          <w:rFonts w:ascii="Noto Serif" w:hAnsi="Noto Serif"/>
          <w:sz w:val="21"/>
        </w:rPr>
        <w:t>At least one hypothesis is weakened, revised, or rejected by the pilot; if every hypothesis is “confirmed,” the coding rules are likely too permissive.</w:t>
      </w:r>
    </w:p>
    <w:p>
      <w:pPr>
        <w:pStyle w:val="ListBullet"/>
        <w:spacing w:after="60"/>
        <w:widowControl w:val="1"/>
      </w:pPr>
      <w:r>
        <w:rPr>
          <w:rFonts w:ascii="Noto Serif" w:hAnsi="Noto Serif"/>
          <w:sz w:val="21"/>
        </w:rPr>
        <w:t>The literature review still identifies a real conceptual gap after searching adjacent terms such as moral economy, deservingness, debt, reciprocity, blood tax, sacrificial citizenship, social relations of sacrifice, and redemptive violence.</w:t>
      </w:r>
    </w:p>
    <w:p>
      <w:pPr>
        <w:pStyle w:val="Heading1"/>
        <w:widowControl w:val="1"/>
      </w:pPr>
      <w:r>
        <w:rPr>
          <w:rFonts w:ascii="Noto Serif" w:hAnsi="Noto Serif"/>
          <w:sz w:val="21"/>
        </w:rPr>
        <w:t>14. Formal Novelty Audit</w:t>
      </w:r>
    </w:p>
    <w:p>
      <w:pPr>
        <w:widowControl w:val="1"/>
      </w:pPr>
      <w:r>
        <w:rPr>
          <w:rFonts w:ascii="Noto Serif" w:hAnsi="Noto Serif"/>
          <w:sz w:val="21"/>
        </w:rPr>
        <w:t>Because adjacent literatures are extensive, originality must be demonstrated rather than asserted. The project should create a short “novelty matrix” covering the following bodies of scholarship: First World War social history; nationalism and memorialization; moral economies of sacrifice and citizenship; veterans and welfare; Holocaust intentionalist/functional/radicalization debates; redemptive antisemitism; genocide theory; scapegoating; collective guilt; resentment and distributive justice; political theology; and anthropological work on debt and sacrifice.</w:t>
      </w:r>
    </w:p>
    <w:p>
      <w:pPr>
        <w:widowControl w:val="1"/>
      </w:pPr>
      <w:r>
        <w:rPr>
          <w:rFonts w:ascii="Noto Serif" w:hAnsi="Noto Serif"/>
          <w:sz w:val="21"/>
        </w:rPr>
        <w:t>For each literature, record:</w:t>
      </w:r>
    </w:p>
    <w:p>
      <w:pPr>
        <w:pStyle w:val="ListBullet"/>
        <w:spacing w:after="60"/>
        <w:widowControl w:val="1"/>
      </w:pPr>
      <w:r>
        <w:rPr>
          <w:rFonts w:ascii="Noto Serif" w:hAnsi="Noto Serif"/>
          <w:sz w:val="21"/>
        </w:rPr>
        <w:t>Does it explicitly theorize unequal sacrifice?</w:t>
      </w:r>
    </w:p>
    <w:p>
      <w:pPr>
        <w:pStyle w:val="ListBullet"/>
        <w:spacing w:after="60"/>
        <w:widowControl w:val="1"/>
      </w:pPr>
      <w:r>
        <w:rPr>
          <w:rFonts w:ascii="Noto Serif" w:hAnsi="Noto Serif"/>
          <w:sz w:val="21"/>
        </w:rPr>
        <w:t>Does it describe a creditor/debtor relationship?</w:t>
      </w:r>
    </w:p>
    <w:p>
      <w:pPr>
        <w:pStyle w:val="ListBullet"/>
        <w:spacing w:after="60"/>
        <w:widowControl w:val="1"/>
      </w:pPr>
      <w:r>
        <w:rPr>
          <w:rFonts w:ascii="Noto Serif" w:hAnsi="Noto Serif"/>
          <w:sz w:val="21"/>
        </w:rPr>
        <w:t>Does it make survival itself morally suspect?</w:t>
      </w:r>
    </w:p>
    <w:p>
      <w:pPr>
        <w:pStyle w:val="ListBullet"/>
        <w:spacing w:after="60"/>
        <w:widowControl w:val="1"/>
      </w:pPr>
      <w:r>
        <w:rPr>
          <w:rFonts w:ascii="Noto Serif" w:hAnsi="Noto Serif"/>
          <w:sz w:val="21"/>
        </w:rPr>
        <w:t>Does it theorize the transition from behavior to ontological group guilt?</w:t>
      </w:r>
    </w:p>
    <w:p>
      <w:pPr>
        <w:pStyle w:val="ListBullet"/>
        <w:spacing w:after="60"/>
        <w:widowControl w:val="1"/>
      </w:pPr>
      <w:r>
        <w:rPr>
          <w:rFonts w:ascii="Noto Serif" w:hAnsi="Noto Serif"/>
          <w:sz w:val="21"/>
        </w:rPr>
        <w:t>Does it explain why demonstrated sacrifice may fail to discharge the debt?</w:t>
      </w:r>
    </w:p>
    <w:p>
      <w:pPr>
        <w:pStyle w:val="ListBullet"/>
        <w:spacing w:after="60"/>
        <w:widowControl w:val="1"/>
      </w:pPr>
      <w:r>
        <w:rPr>
          <w:rFonts w:ascii="Noto Serif" w:hAnsi="Noto Serif"/>
          <w:sz w:val="21"/>
        </w:rPr>
        <w:t>Does it connect perceived unpaid sacrifice to coercive suffering or killing?</w:t>
      </w:r>
    </w:p>
    <w:p>
      <w:pPr>
        <w:pStyle w:val="ListBullet"/>
        <w:spacing w:after="60"/>
        <w:widowControl w:val="1"/>
      </w:pPr>
      <w:r>
        <w:rPr>
          <w:rFonts w:ascii="Noto Serif" w:hAnsi="Noto Serif"/>
          <w:sz w:val="21"/>
        </w:rPr>
        <w:t>Does it offer comparative scope conditions explaining escalation versus containment?</w:t>
      </w:r>
    </w:p>
    <w:p>
      <w:pPr>
        <w:widowControl w:val="1"/>
      </w:pPr>
      <w:r>
        <w:rPr>
          <w:rFonts w:ascii="Noto Serif" w:hAnsi="Noto Serif"/>
          <w:sz w:val="21"/>
        </w:rPr>
        <w:t>The project’s strongest potential novelty lies not in any one component, but in specifying the full transition from asymmetry to debt to essentialization to coercive collection, and then testing the transition across cases.</w:t>
      </w:r>
    </w:p>
    <w:p>
      <w:pPr>
        <w:pStyle w:val="Heading1"/>
        <w:widowControl w:val="1"/>
      </w:pPr>
      <w:r>
        <w:rPr>
          <w:rFonts w:ascii="Noto Serif" w:hAnsi="Noto Serif"/>
          <w:sz w:val="21"/>
        </w:rPr>
        <w:t>15. Ethical and Historiographical Safeguards</w:t>
      </w:r>
    </w:p>
    <w:p>
      <w:pPr>
        <w:widowControl w:val="1"/>
      </w:pPr>
      <w:r>
        <w:rPr>
          <w:rFonts w:ascii="Noto Serif" w:hAnsi="Noto Serif"/>
          <w:sz w:val="21"/>
        </w:rPr>
        <w:t>Research on the Holocaust requires special methodological restraint. The concept of “sacrifice” must never imply that Jewish victims consented to, participated in, or shared the political meaning imposed by perpetrators. “Coercive sacrificial equalization” is a hypothesis about perpetrator or political meaning, not a description of the victims’ own status or experience.</w:t>
      </w:r>
    </w:p>
    <w:p>
      <w:pPr>
        <w:pStyle w:val="ListBullet"/>
        <w:spacing w:after="60"/>
        <w:widowControl w:val="1"/>
      </w:pPr>
      <w:r>
        <w:rPr>
          <w:rFonts w:ascii="Noto Serif" w:hAnsi="Noto Serif"/>
          <w:sz w:val="21"/>
        </w:rPr>
        <w:t>Do not equate military combat deaths with genocide. The project compares political logics of bodily obligation while maintaining categorical differences in agency, targeting, legality, and victimization.</w:t>
      </w:r>
    </w:p>
    <w:p>
      <w:pPr>
        <w:pStyle w:val="ListBullet"/>
        <w:spacing w:after="60"/>
        <w:widowControl w:val="1"/>
      </w:pPr>
      <w:r>
        <w:rPr>
          <w:rFonts w:ascii="Noto Serif" w:hAnsi="Noto Serif"/>
          <w:sz w:val="21"/>
        </w:rPr>
        <w:t>Do not treat perpetrator explanations as moral justification. The research asks how killing became meaningful to perpetrators and publics, not whether the meaning was valid.</w:t>
      </w:r>
    </w:p>
    <w:p>
      <w:pPr>
        <w:pStyle w:val="ListBullet"/>
        <w:spacing w:after="60"/>
        <w:widowControl w:val="1"/>
      </w:pPr>
      <w:r>
        <w:rPr>
          <w:rFonts w:ascii="Noto Serif" w:hAnsi="Noto Serif"/>
          <w:sz w:val="21"/>
        </w:rPr>
        <w:t>Do not reduce the Holocaust to a single causal mechanism. Racial antisemitism, conquest, state institutions, cumulative radicalization, collaboration, and contingency remain indispensable.</w:t>
      </w:r>
    </w:p>
    <w:p>
      <w:pPr>
        <w:pStyle w:val="ListBullet"/>
        <w:spacing w:after="60"/>
        <w:widowControl w:val="1"/>
      </w:pPr>
      <w:r>
        <w:rPr>
          <w:rFonts w:ascii="Noto Serif" w:hAnsi="Noto Serif"/>
          <w:sz w:val="21"/>
        </w:rPr>
        <w:t>Use victim and survivor sources to prevent the analysis from reproducing the perpetrator’s symbolic world as if it were the entire historical reality.</w:t>
      </w:r>
    </w:p>
    <w:p>
      <w:pPr>
        <w:pStyle w:val="ListBullet"/>
        <w:spacing w:after="60"/>
        <w:widowControl w:val="1"/>
      </w:pPr>
      <w:r>
        <w:rPr>
          <w:rFonts w:ascii="Noto Serif" w:hAnsi="Noto Serif"/>
          <w:sz w:val="21"/>
        </w:rPr>
        <w:t>Label speculative inferential steps explicitly and reserve strongest claims for repeated primary-source evidence.</w:t>
      </w:r>
    </w:p>
    <w:p>
      <w:pPr>
        <w:pStyle w:val="ListBullet"/>
        <w:spacing w:after="60"/>
        <w:widowControl w:val="1"/>
      </w:pPr>
      <w:r>
        <w:rPr>
          <w:rFonts w:ascii="Noto Serif" w:hAnsi="Noto Serif"/>
          <w:sz w:val="21"/>
        </w:rPr>
        <w:t>Distinguish empirical claims about what actors said from theoretical interpretations of why those statements mattered.</w:t>
      </w:r>
    </w:p>
    <w:p>
      <w:pPr>
        <w:pStyle w:val="Heading1"/>
        <w:widowControl w:val="1"/>
      </w:pPr>
      <w:r>
        <w:rPr>
          <w:rFonts w:ascii="Noto Serif" w:hAnsi="Noto Serif"/>
          <w:sz w:val="21"/>
        </w:rPr>
        <w:t>16. Project Outputs and Publication Strategy</w:t>
      </w:r>
    </w:p>
    <w:p>
      <w:pPr/>
      <w:r>
        <w:t>The outputs form a cumulative research program rather than a single-paper plan. The recommended postgraduate contribution is Output 3 because it performs an indispensable empirical test of non-dischargeability. For external publication, the preferred evidentiary sequence is focused empirical test → comparative test → general theory article → later reassessment of Hitler/Koenigsberg.</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1224"/>
            <w:shd w:fill="E6E9ED"/>
            <w:tcMar>
              <w:top w:w="90" w:type="dxa"/>
              <w:start w:w="100" w:type="dxa"/>
              <w:bottom w:w="90" w:type="dxa"/>
              <w:end w:w="100" w:type="dxa"/>
            </w:tcMar>
          </w:tcPr>
          <w:p>
            <w:pPr>
              <w:jc w:val="left"/>
            </w:pPr>
            <w:r>
              <w:rPr>
                <w:rFonts w:ascii="Lato" w:hAnsi="Lato"/>
                <w:b/>
                <w:sz w:val="16"/>
              </w:rPr>
              <w:t>Stage</w:t>
            </w:r>
          </w:p>
        </w:tc>
        <w:tc>
          <w:tcPr>
            <w:tcW w:type="dxa" w:w="1944"/>
            <w:shd w:fill="E6E9ED"/>
            <w:tcMar>
              <w:top w:w="90" w:type="dxa"/>
              <w:start w:w="100" w:type="dxa"/>
              <w:bottom w:w="90" w:type="dxa"/>
              <w:end w:w="100" w:type="dxa"/>
            </w:tcMar>
          </w:tcPr>
          <w:p>
            <w:pPr>
              <w:jc w:val="left"/>
            </w:pPr>
            <w:r>
              <w:rPr>
                <w:rFonts w:ascii="Lato" w:hAnsi="Lato"/>
                <w:b/>
                <w:sz w:val="16"/>
              </w:rPr>
              <w:t>Form</w:t>
            </w:r>
          </w:p>
        </w:tc>
        <w:tc>
          <w:tcPr>
            <w:tcW w:type="dxa" w:w="4320"/>
            <w:shd w:fill="E6E9ED"/>
            <w:tcMar>
              <w:top w:w="90" w:type="dxa"/>
              <w:start w:w="100" w:type="dxa"/>
              <w:bottom w:w="90" w:type="dxa"/>
              <w:end w:w="100" w:type="dxa"/>
            </w:tcMar>
          </w:tcPr>
          <w:p>
            <w:pPr>
              <w:jc w:val="left"/>
            </w:pPr>
            <w:r>
              <w:rPr>
                <w:rFonts w:ascii="Lato" w:hAnsi="Lato"/>
                <w:b/>
                <w:sz w:val="16"/>
              </w:rPr>
              <w:t>Working title</w:t>
            </w:r>
          </w:p>
        </w:tc>
        <w:tc>
          <w:tcPr>
            <w:tcW w:type="dxa" w:w="2880"/>
            <w:shd w:fill="E6E9ED"/>
            <w:tcMar>
              <w:top w:w="90" w:type="dxa"/>
              <w:start w:w="100" w:type="dxa"/>
              <w:bottom w:w="90" w:type="dxa"/>
              <w:end w:w="100" w:type="dxa"/>
            </w:tcMar>
          </w:tcPr>
          <w:p>
            <w:pPr>
              <w:jc w:val="left"/>
            </w:pPr>
            <w:r>
              <w:rPr>
                <w:rFonts w:ascii="Lato" w:hAnsi="Lato"/>
                <w:b/>
                <w:sz w:val="16"/>
              </w:rPr>
              <w:t>Purpose</w:t>
            </w:r>
          </w:p>
        </w:tc>
      </w:tr>
      <w:tr>
        <w:trPr>
          <w:cantSplit/>
        </w:trPr>
        <w:tc>
          <w:tcPr>
            <w:tcW w:type="dxa" w:w="1224"/>
            <w:tcMar>
              <w:top w:w="90" w:type="dxa"/>
              <w:start w:w="100" w:type="dxa"/>
              <w:bottom w:w="90" w:type="dxa"/>
              <w:end w:w="100" w:type="dxa"/>
            </w:tcMar>
            <w:vAlign w:val="top"/>
          </w:tcPr>
          <w:p>
            <w:pPr>
              <w:spacing w:after="0"/>
            </w:pPr>
            <w:r>
              <w:rPr>
                <w:rFonts w:ascii="Noto Serif" w:hAnsi="Noto Serif"/>
                <w:sz w:val="16"/>
              </w:rPr>
              <w:t>Output 1</w:t>
            </w:r>
          </w:p>
        </w:tc>
        <w:tc>
          <w:tcPr>
            <w:tcW w:type="dxa" w:w="1944"/>
            <w:tcMar>
              <w:top w:w="90" w:type="dxa"/>
              <w:start w:w="100" w:type="dxa"/>
              <w:bottom w:w="90" w:type="dxa"/>
              <w:end w:w="100" w:type="dxa"/>
            </w:tcMar>
            <w:vAlign w:val="top"/>
          </w:tcPr>
          <w:p>
            <w:pPr>
              <w:spacing w:after="0"/>
            </w:pPr>
            <w:r>
              <w:rPr>
                <w:rFonts w:ascii="Noto Serif" w:hAnsi="Noto Serif"/>
                <w:sz w:val="16"/>
              </w:rPr>
              <w:t>Internal concept paper</w:t>
            </w:r>
          </w:p>
        </w:tc>
        <w:tc>
          <w:tcPr>
            <w:tcW w:type="dxa" w:w="4320"/>
            <w:tcMar>
              <w:top w:w="90" w:type="dxa"/>
              <w:start w:w="100" w:type="dxa"/>
              <w:bottom w:w="90" w:type="dxa"/>
              <w:end w:w="100" w:type="dxa"/>
            </w:tcMar>
            <w:vAlign w:val="top"/>
          </w:tcPr>
          <w:p>
            <w:pPr>
              <w:spacing w:after="0"/>
            </w:pPr>
            <w:r>
              <w:rPr>
                <w:rFonts w:ascii="Noto Serif" w:hAnsi="Noto Serif"/>
                <w:sz w:val="16"/>
              </w:rPr>
              <w:t>Sacrificial Debt: Definitions, Mechanism, and Falsification Tests</w:t>
            </w:r>
          </w:p>
        </w:tc>
        <w:tc>
          <w:tcPr>
            <w:tcW w:type="dxa" w:w="2880"/>
            <w:tcMar>
              <w:top w:w="90" w:type="dxa"/>
              <w:start w:w="100" w:type="dxa"/>
              <w:bottom w:w="90" w:type="dxa"/>
              <w:end w:w="100" w:type="dxa"/>
            </w:tcMar>
            <w:vAlign w:val="top"/>
          </w:tcPr>
          <w:p>
            <w:r>
              <w:t>Establish provisional vocabulary, scope, coding rules, and falsification tests before corpus expansion; revise only through documented pilot findings.</w:t>
            </w:r>
          </w:p>
        </w:tc>
      </w:tr>
      <w:tr>
        <w:trPr>
          <w:cantSplit/>
        </w:trPr>
        <w:tc>
          <w:tcPr>
            <w:tcW w:type="dxa" w:w="1224"/>
            <w:tcMar>
              <w:top w:w="90" w:type="dxa"/>
              <w:start w:w="100" w:type="dxa"/>
              <w:bottom w:w="90" w:type="dxa"/>
              <w:end w:w="100" w:type="dxa"/>
            </w:tcMar>
            <w:vAlign w:val="top"/>
          </w:tcPr>
          <w:p>
            <w:pPr>
              <w:spacing w:after="0"/>
            </w:pPr>
            <w:r>
              <w:rPr>
                <w:rFonts w:ascii="Noto Serif" w:hAnsi="Noto Serif"/>
                <w:sz w:val="16"/>
              </w:rPr>
              <w:t>Output 2</w:t>
            </w:r>
          </w:p>
        </w:tc>
        <w:tc>
          <w:tcPr>
            <w:tcW w:type="dxa" w:w="1944"/>
            <w:tcMar>
              <w:top w:w="90" w:type="dxa"/>
              <w:start w:w="100" w:type="dxa"/>
              <w:bottom w:w="90" w:type="dxa"/>
              <w:end w:w="100" w:type="dxa"/>
            </w:tcMar>
            <w:vAlign w:val="top"/>
          </w:tcPr>
          <w:p>
            <w:pPr>
              <w:spacing w:after="0"/>
            </w:pPr>
            <w:r>
              <w:rPr>
                <w:rFonts w:ascii="Noto Serif" w:hAnsi="Noto Serif"/>
                <w:sz w:val="16"/>
              </w:rPr>
              <w:t>Working paper</w:t>
            </w:r>
          </w:p>
        </w:tc>
        <w:tc>
          <w:tcPr>
            <w:tcW w:type="dxa" w:w="4320"/>
            <w:tcMar>
              <w:top w:w="90" w:type="dxa"/>
              <w:start w:w="100" w:type="dxa"/>
              <w:bottom w:w="90" w:type="dxa"/>
              <w:end w:w="100" w:type="dxa"/>
            </w:tcMar>
            <w:vAlign w:val="top"/>
          </w:tcPr>
          <w:p>
            <w:pPr>
              <w:spacing w:after="0"/>
            </w:pPr>
            <w:r>
              <w:rPr>
                <w:rFonts w:ascii="Noto Serif" w:hAnsi="Noto Serif"/>
                <w:sz w:val="16"/>
              </w:rPr>
              <w:t>From Sacrifice to Debt: How Unequal Suffering Becomes Political Obligation</w:t>
            </w:r>
          </w:p>
        </w:tc>
        <w:tc>
          <w:tcPr>
            <w:tcW w:type="dxa" w:w="2880"/>
            <w:tcMar>
              <w:top w:w="90" w:type="dxa"/>
              <w:start w:w="100" w:type="dxa"/>
              <w:bottom w:w="90" w:type="dxa"/>
              <w:end w:w="100" w:type="dxa"/>
            </w:tcMar>
            <w:vAlign w:val="top"/>
          </w:tcPr>
          <w:p>
            <w:r>
              <w:t>Develop the general theoretical argument after empirical pilot findings clarify which parts of the mechanism are distinct and portable.</w:t>
            </w:r>
          </w:p>
        </w:tc>
      </w:tr>
      <w:tr>
        <w:trPr>
          <w:cantSplit/>
        </w:trPr>
        <w:tc>
          <w:tcPr>
            <w:tcW w:type="dxa" w:w="1224"/>
            <w:tcMar>
              <w:top w:w="90" w:type="dxa"/>
              <w:start w:w="100" w:type="dxa"/>
              <w:bottom w:w="90" w:type="dxa"/>
              <w:end w:w="100" w:type="dxa"/>
            </w:tcMar>
            <w:vAlign w:val="top"/>
          </w:tcPr>
          <w:p>
            <w:pPr>
              <w:spacing w:after="0"/>
            </w:pPr>
            <w:r>
              <w:rPr>
                <w:rFonts w:ascii="Noto Serif" w:hAnsi="Noto Serif"/>
                <w:sz w:val="16"/>
              </w:rPr>
              <w:t>Output 3</w:t>
            </w:r>
          </w:p>
        </w:tc>
        <w:tc>
          <w:tcPr>
            <w:tcW w:type="dxa" w:w="1944"/>
            <w:tcMar>
              <w:top w:w="90" w:type="dxa"/>
              <w:start w:w="100" w:type="dxa"/>
              <w:bottom w:w="90" w:type="dxa"/>
              <w:end w:w="100" w:type="dxa"/>
            </w:tcMar>
            <w:vAlign w:val="top"/>
          </w:tcPr>
          <w:p>
            <w:r>
              <w:t>Postgraduate historical paper / article</w:t>
            </w:r>
          </w:p>
        </w:tc>
        <w:tc>
          <w:tcPr>
            <w:tcW w:type="dxa" w:w="4320"/>
            <w:tcMar>
              <w:top w:w="90" w:type="dxa"/>
              <w:start w:w="100" w:type="dxa"/>
              <w:bottom w:w="90" w:type="dxa"/>
              <w:end w:w="100" w:type="dxa"/>
            </w:tcMar>
            <w:vAlign w:val="top"/>
          </w:tcPr>
          <w:p>
            <w:pPr>
              <w:spacing w:after="0"/>
            </w:pPr>
            <w:r>
              <w:rPr>
                <w:rFonts w:ascii="Noto Serif" w:hAnsi="Noto Serif"/>
                <w:sz w:val="16"/>
              </w:rPr>
              <w:t>When Survival Becomes Guilt: World War I, Jewish Military Service, and the Making of an Unpayable Debt</w:t>
            </w:r>
          </w:p>
        </w:tc>
        <w:tc>
          <w:tcPr>
            <w:tcW w:type="dxa" w:w="2880"/>
            <w:tcMar>
              <w:top w:w="90" w:type="dxa"/>
              <w:start w:w="100" w:type="dxa"/>
              <w:bottom w:w="90" w:type="dxa"/>
              <w:end w:w="100" w:type="dxa"/>
            </w:tcMar>
            <w:vAlign w:val="top"/>
          </w:tcPr>
          <w:p>
            <w:r>
              <w:t>Recommended postgraduate empirical paper. Test whether demonstrated Jewish military sacrifice could discharge accusations of nonsacrifice and trace the behavioral-to-essentialized transition in Germany.</w:t>
            </w:r>
          </w:p>
        </w:tc>
      </w:tr>
      <w:tr>
        <w:trPr>
          <w:cantSplit/>
        </w:trPr>
        <w:tc>
          <w:tcPr>
            <w:tcW w:type="dxa" w:w="1224"/>
            <w:tcMar>
              <w:top w:w="90" w:type="dxa"/>
              <w:start w:w="100" w:type="dxa"/>
              <w:bottom w:w="90" w:type="dxa"/>
              <w:end w:w="100" w:type="dxa"/>
            </w:tcMar>
            <w:vAlign w:val="top"/>
          </w:tcPr>
          <w:p>
            <w:pPr>
              <w:spacing w:after="0"/>
            </w:pPr>
            <w:r>
              <w:rPr>
                <w:rFonts w:ascii="Noto Serif" w:hAnsi="Noto Serif"/>
                <w:sz w:val="16"/>
              </w:rPr>
              <w:t>Output 4</w:t>
            </w:r>
          </w:p>
        </w:tc>
        <w:tc>
          <w:tcPr>
            <w:tcW w:type="dxa" w:w="1944"/>
            <w:tcMar>
              <w:top w:w="90" w:type="dxa"/>
              <w:start w:w="100" w:type="dxa"/>
              <w:bottom w:w="90" w:type="dxa"/>
              <w:end w:w="100" w:type="dxa"/>
            </w:tcMar>
            <w:vAlign w:val="top"/>
          </w:tcPr>
          <w:p>
            <w:pPr>
              <w:spacing w:after="0"/>
            </w:pPr>
            <w:r>
              <w:rPr>
                <w:rFonts w:ascii="Noto Serif" w:hAnsi="Noto Serif"/>
                <w:sz w:val="16"/>
              </w:rPr>
              <w:t>Comparative article</w:t>
            </w:r>
          </w:p>
        </w:tc>
        <w:tc>
          <w:tcPr>
            <w:tcW w:type="dxa" w:w="4320"/>
            <w:tcMar>
              <w:top w:w="90" w:type="dxa"/>
              <w:start w:w="100" w:type="dxa"/>
              <w:bottom w:w="90" w:type="dxa"/>
              <w:end w:w="100" w:type="dxa"/>
            </w:tcMar>
            <w:vAlign w:val="top"/>
          </w:tcPr>
          <w:p>
            <w:pPr>
              <w:spacing w:after="0"/>
            </w:pPr>
            <w:r>
              <w:rPr>
                <w:rFonts w:ascii="Noto Serif" w:hAnsi="Noto Serif"/>
                <w:sz w:val="16"/>
              </w:rPr>
              <w:t>Equality of Sacrifice and the Politics of the Nonsacrificer: Germany, Britain, Australia, and France</w:t>
            </w:r>
          </w:p>
        </w:tc>
        <w:tc>
          <w:tcPr>
            <w:tcW w:type="dxa" w:w="2880"/>
            <w:tcMar>
              <w:top w:w="90" w:type="dxa"/>
              <w:start w:w="100" w:type="dxa"/>
              <w:bottom w:w="90" w:type="dxa"/>
              <w:end w:w="100" w:type="dxa"/>
            </w:tcMar>
            <w:vAlign w:val="top"/>
          </w:tcPr>
          <w:p>
            <w:r>
              <w:t>Test variation across the four initial cases after the codebook and German pilot are stable.</w:t>
            </w:r>
          </w:p>
        </w:tc>
      </w:tr>
      <w:tr>
        <w:trPr>
          <w:cantSplit/>
        </w:trPr>
        <w:tc>
          <w:tcPr>
            <w:tcW w:type="dxa" w:w="1224"/>
            <w:tcMar>
              <w:top w:w="90" w:type="dxa"/>
              <w:start w:w="100" w:type="dxa"/>
              <w:bottom w:w="90" w:type="dxa"/>
              <w:end w:w="100" w:type="dxa"/>
            </w:tcMar>
            <w:vAlign w:val="top"/>
          </w:tcPr>
          <w:p>
            <w:pPr>
              <w:spacing w:after="0"/>
            </w:pPr>
            <w:r>
              <w:rPr>
                <w:rFonts w:ascii="Noto Serif" w:hAnsi="Noto Serif"/>
                <w:sz w:val="16"/>
              </w:rPr>
              <w:t>Output 5</w:t>
            </w:r>
          </w:p>
        </w:tc>
        <w:tc>
          <w:tcPr>
            <w:tcW w:type="dxa" w:w="1944"/>
            <w:tcMar>
              <w:top w:w="90" w:type="dxa"/>
              <w:start w:w="100" w:type="dxa"/>
              <w:bottom w:w="90" w:type="dxa"/>
              <w:end w:w="100" w:type="dxa"/>
            </w:tcMar>
            <w:vAlign w:val="top"/>
          </w:tcPr>
          <w:p>
            <w:pPr>
              <w:spacing w:after="0"/>
            </w:pPr>
            <w:r>
              <w:rPr>
                <w:rFonts w:ascii="Noto Serif" w:hAnsi="Noto Serif"/>
                <w:sz w:val="16"/>
              </w:rPr>
              <w:t>Holocaust article</w:t>
            </w:r>
          </w:p>
        </w:tc>
        <w:tc>
          <w:tcPr>
            <w:tcW w:type="dxa" w:w="4320"/>
            <w:tcMar>
              <w:top w:w="90" w:type="dxa"/>
              <w:start w:w="100" w:type="dxa"/>
              <w:bottom w:w="90" w:type="dxa"/>
              <w:end w:w="100" w:type="dxa"/>
            </w:tcMar>
            <w:vAlign w:val="top"/>
          </w:tcPr>
          <w:p>
            <w:pPr>
              <w:spacing w:after="0"/>
            </w:pPr>
            <w:r>
              <w:rPr>
                <w:rFonts w:ascii="Noto Serif" w:hAnsi="Noto Serif"/>
                <w:sz w:val="16"/>
              </w:rPr>
              <w:t>Balancing the Scales of Death: Sacrificial Debt in Hitler’s Political Imagination</w:t>
            </w:r>
          </w:p>
        </w:tc>
        <w:tc>
          <w:tcPr>
            <w:tcW w:type="dxa" w:w="2880"/>
            <w:tcMar>
              <w:top w:w="90" w:type="dxa"/>
              <w:start w:w="100" w:type="dxa"/>
              <w:bottom w:w="90" w:type="dxa"/>
              <w:end w:w="100" w:type="dxa"/>
            </w:tcMar>
            <w:vAlign w:val="top"/>
          </w:tcPr>
          <w:p>
            <w:r>
              <w:t>Return to Koenigsberg and Hitler only after the mechanism has been specified independently and tested beyond the generative case.</w:t>
            </w:r>
          </w:p>
        </w:tc>
      </w:tr>
      <w:tr>
        <w:trPr>
          <w:cantSplit/>
        </w:trPr>
        <w:tc>
          <w:tcPr>
            <w:tcW w:type="dxa" w:w="1224"/>
            <w:tcMar>
              <w:top w:w="90" w:type="dxa"/>
              <w:start w:w="100" w:type="dxa"/>
              <w:bottom w:w="90" w:type="dxa"/>
              <w:end w:w="100" w:type="dxa"/>
            </w:tcMar>
            <w:vAlign w:val="top"/>
          </w:tcPr>
          <w:p>
            <w:pPr>
              <w:spacing w:after="0"/>
            </w:pPr>
            <w:r>
              <w:rPr>
                <w:rFonts w:ascii="Noto Serif" w:hAnsi="Noto Serif"/>
                <w:sz w:val="16"/>
              </w:rPr>
              <w:t>Output 6</w:t>
            </w:r>
          </w:p>
        </w:tc>
        <w:tc>
          <w:tcPr>
            <w:tcW w:type="dxa" w:w="1944"/>
            <w:tcMar>
              <w:top w:w="90" w:type="dxa"/>
              <w:start w:w="100" w:type="dxa"/>
              <w:bottom w:w="90" w:type="dxa"/>
              <w:end w:w="100" w:type="dxa"/>
            </w:tcMar>
            <w:vAlign w:val="top"/>
          </w:tcPr>
          <w:p>
            <w:pPr>
              <w:spacing w:after="0"/>
            </w:pPr>
            <w:r>
              <w:rPr>
                <w:rFonts w:ascii="Noto Serif" w:hAnsi="Noto Serif"/>
                <w:sz w:val="16"/>
              </w:rPr>
              <w:t>Monograph / major report</w:t>
            </w:r>
          </w:p>
        </w:tc>
        <w:tc>
          <w:tcPr>
            <w:tcW w:type="dxa" w:w="4320"/>
            <w:tcMar>
              <w:top w:w="90" w:type="dxa"/>
              <w:start w:w="100" w:type="dxa"/>
              <w:bottom w:w="90" w:type="dxa"/>
              <w:end w:w="100" w:type="dxa"/>
            </w:tcMar>
            <w:vAlign w:val="top"/>
          </w:tcPr>
          <w:p>
            <w:pPr>
              <w:spacing w:after="0"/>
            </w:pPr>
            <w:r>
              <w:rPr>
                <w:rFonts w:ascii="Noto Serif" w:hAnsi="Noto Serif"/>
                <w:sz w:val="16"/>
              </w:rPr>
              <w:t>Sacrificial Debt: A Theory of Political Violence</w:t>
            </w:r>
          </w:p>
        </w:tc>
        <w:tc>
          <w:tcPr>
            <w:tcW w:type="dxa" w:w="2880"/>
            <w:tcMar>
              <w:top w:w="90" w:type="dxa"/>
              <w:start w:w="100" w:type="dxa"/>
              <w:bottom w:w="90" w:type="dxa"/>
              <w:end w:w="100" w:type="dxa"/>
            </w:tcMar>
            <w:vAlign w:val="top"/>
          </w:tcPr>
          <w:p>
            <w:pPr>
              <w:spacing w:after="0"/>
            </w:pPr>
            <w:r>
              <w:rPr>
                <w:rFonts w:ascii="Noto Serif" w:hAnsi="Noto Serif"/>
                <w:sz w:val="16"/>
              </w:rPr>
              <w:t>Synthesize mechanism, scope conditions, comparative evidence, and limits.</w:t>
            </w:r>
          </w:p>
        </w:tc>
      </w:tr>
      <w:tr>
        <w:trPr>
          <w:cantSplit/>
        </w:trPr>
        <w:tc>
          <w:tcPr>
            <w:tcW w:type="dxa" w:w="1224"/>
            <w:tcMar>
              <w:top w:w="90" w:type="dxa"/>
              <w:start w:w="100" w:type="dxa"/>
              <w:bottom w:w="90" w:type="dxa"/>
              <w:end w:w="100" w:type="dxa"/>
            </w:tcMar>
            <w:vAlign w:val="top"/>
          </w:tcPr>
          <w:p>
            <w:pPr>
              <w:spacing w:after="0"/>
            </w:pPr>
            <w:r>
              <w:rPr>
                <w:rFonts w:ascii="Noto Serif" w:hAnsi="Noto Serif"/>
                <w:sz w:val="16"/>
              </w:rPr>
              <w:t>Output 7</w:t>
            </w:r>
          </w:p>
        </w:tc>
        <w:tc>
          <w:tcPr>
            <w:tcW w:type="dxa" w:w="1944"/>
            <w:tcMar>
              <w:top w:w="90" w:type="dxa"/>
              <w:start w:w="100" w:type="dxa"/>
              <w:bottom w:w="90" w:type="dxa"/>
              <w:end w:w="100" w:type="dxa"/>
            </w:tcMar>
            <w:vAlign w:val="top"/>
          </w:tcPr>
          <w:p>
            <w:pPr>
              <w:spacing w:after="0"/>
            </w:pPr>
            <w:r>
              <w:rPr>
                <w:rFonts w:ascii="Noto Serif" w:hAnsi="Noto Serif"/>
                <w:sz w:val="16"/>
              </w:rPr>
              <w:t>Workbench</w:t>
            </w:r>
          </w:p>
        </w:tc>
        <w:tc>
          <w:tcPr>
            <w:tcW w:type="dxa" w:w="4320"/>
            <w:tcMar>
              <w:top w:w="90" w:type="dxa"/>
              <w:start w:w="100" w:type="dxa"/>
              <w:bottom w:w="90" w:type="dxa"/>
              <w:end w:w="100" w:type="dxa"/>
            </w:tcMar>
            <w:vAlign w:val="top"/>
          </w:tcPr>
          <w:p>
            <w:pPr>
              <w:spacing w:after="0"/>
            </w:pPr>
            <w:r>
              <w:rPr>
                <w:rFonts w:ascii="Noto Serif" w:hAnsi="Noto Serif"/>
                <w:sz w:val="16"/>
              </w:rPr>
              <w:t>Sacrificial Debt Workbench</w:t>
            </w:r>
          </w:p>
        </w:tc>
        <w:tc>
          <w:tcPr>
            <w:tcW w:type="dxa" w:w="2880"/>
            <w:tcMar>
              <w:top w:w="90" w:type="dxa"/>
              <w:start w:w="100" w:type="dxa"/>
              <w:bottom w:w="90" w:type="dxa"/>
              <w:end w:w="100" w:type="dxa"/>
            </w:tcMar>
            <w:vAlign w:val="top"/>
          </w:tcPr>
          <w:p>
            <w:pPr>
              <w:spacing w:after="0"/>
            </w:pPr>
            <w:r>
              <w:rPr>
                <w:rFonts w:ascii="Noto Serif" w:hAnsi="Noto Serif"/>
                <w:sz w:val="16"/>
              </w:rPr>
              <w:t>Make evidence, codebook, negative cases, and claim provenance reproducible.</w:t>
            </w:r>
          </w:p>
        </w:tc>
      </w:tr>
    </w:tbl>
    <w:p>
      <w:pPr>
        <w:spacing w:after="0"/>
        <w:widowControl w:val="1"/>
      </w:pPr>
    </w:p>
    <w:p>
      <w:pPr>
        <w:pStyle w:val="Heading1"/>
        <w:widowControl w:val="1"/>
      </w:pPr>
      <w:r>
        <w:rPr>
          <w:rFonts w:ascii="Noto Serif" w:hAnsi="Noto Serif"/>
          <w:sz w:val="21"/>
        </w:rPr>
        <w:t>17. Recommended Workbench Architecture</w:t>
      </w:r>
    </w:p>
    <w:p>
      <w:pPr>
        <w:spacing w:after="160"/>
        <w:ind w:left="360"/>
        <w:widowControl w:val="1"/>
      </w:pPr>
      <w:r>
        <w:rPr>
          <w:rFonts w:ascii="DejaVu Sans Mono" w:hAnsi="DejaVu Sans Mono"/>
          <w:sz w:val="17"/>
        </w:rPr>
        <w:t>sacrificial-debt-workbench/</w:t>
        <w:br/>
        <w:t>├── README.md</w:t>
        <w:br/>
        <w:t>├── research-question.md</w:t>
        <w:br/>
        <w:t>├── theory/</w:t>
        <w:br/>
        <w:t>│   ├── concepts.md</w:t>
        <w:br/>
        <w:t>│   ├── mechanism.md</w:t>
        <w:br/>
        <w:t>│   ├── hypotheses.md</w:t>
        <w:br/>
        <w:t>│   └── falsification.md</w:t>
        <w:br/>
        <w:t>├── literature/</w:t>
        <w:br/>
        <w:t>│   ├── novelty-matrix.md</w:t>
        <w:br/>
        <w:t>│   ├── koenigsberg.md</w:t>
        <w:br/>
        <w:t>│   ├── ww1-sacrifice.md</w:t>
        <w:br/>
        <w:t>│   ├── holocaust-historiography.md</w:t>
        <w:br/>
        <w:t>│   ├── moral-economy.md</w:t>
        <w:br/>
        <w:t>│   └── comparative.md</w:t>
        <w:br/>
        <w:t>├── codebook/</w:t>
        <w:br/>
        <w:t>│   ├── variables.md</w:t>
        <w:br/>
        <w:t>│   ├── coding-rules.md</w:t>
        <w:br/>
        <w:t>│   └── examples.md</w:t>
        <w:br/>
        <w:t>├── cases/</w:t>
        <w:br/>
        <w:t>│   ├── germany/</w:t>
        <w:br/>
        <w:t>│   ├── britain/</w:t>
        <w:br/>
        <w:t>│   ├── australia/</w:t>
        <w:br/>
        <w:t>│   └── france/</w:t>
        <w:br/>
        <w:t>├── evidence/</w:t>
        <w:br/>
        <w:t>│   ├── primary/</w:t>
        <w:br/>
        <w:t>│   ├── secondary/</w:t>
        <w:br/>
        <w:t>│   └── negative-evidence/</w:t>
        <w:br/>
        <w:t>├── analysis/</w:t>
        <w:br/>
        <w:t>│   ├── process-tracing/</w:t>
        <w:br/>
        <w:t>│   ├── comparative/</w:t>
        <w:br/>
        <w:t>│   └── robustness/</w:t>
        <w:br/>
        <w:t>└── outputs/</w:t>
        <w:br/>
        <w:t xml:space="preserve">    ├── concept-paper/</w:t>
        <w:br/>
        <w:t xml:space="preserve">    ├── working-paper/</w:t>
        <w:br/>
        <w:t xml:space="preserve">    └── articles/</w:t>
      </w:r>
    </w:p>
    <w:p>
      <w:pPr>
        <w:widowControl w:val="1"/>
      </w:pPr>
      <w:r>
        <w:rPr>
          <w:rFonts w:ascii="Noto Serif" w:hAnsi="Noto Serif"/>
          <w:sz w:val="21"/>
        </w:rPr>
        <w:t>The repository should be claim-centered rather than document-centered. Every source excerpt should link to one or more coded propositions and every published claim should link back to supporting and contradicting evidence. This is especially important because a theory of sacrificial debt can become overly persuasive if the researcher accumulates vivid confirming quotations without preserving base rates, counterexamples, and alternative interpretations.</w:t>
      </w:r>
    </w:p>
    <w:p>
      <w:pPr>
        <w:pStyle w:val="Heading1"/>
        <w:widowControl w:val="1"/>
      </w:pPr>
      <w:r>
        <w:rPr>
          <w:rFonts w:ascii="Noto Serif" w:hAnsi="Noto Serif"/>
          <w:sz w:val="21"/>
        </w:rPr>
        <w:t>18. Phased Work Plan</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2232"/>
            <w:shd w:fill="E6E9ED"/>
            <w:tcMar>
              <w:top w:w="90" w:type="dxa"/>
              <w:start w:w="100" w:type="dxa"/>
              <w:bottom w:w="90" w:type="dxa"/>
              <w:end w:w="100" w:type="dxa"/>
            </w:tcMar>
          </w:tcPr>
          <w:p>
            <w:pPr>
              <w:jc w:val="left"/>
            </w:pPr>
            <w:r>
              <w:rPr>
                <w:rFonts w:ascii="Lato" w:hAnsi="Lato"/>
                <w:b/>
                <w:sz w:val="16"/>
              </w:rPr>
              <w:t>Phase</w:t>
            </w:r>
          </w:p>
        </w:tc>
        <w:tc>
          <w:tcPr>
            <w:tcW w:type="dxa" w:w="5112"/>
            <w:shd w:fill="E6E9ED"/>
            <w:tcMar>
              <w:top w:w="90" w:type="dxa"/>
              <w:start w:w="100" w:type="dxa"/>
              <w:bottom w:w="90" w:type="dxa"/>
              <w:end w:w="100" w:type="dxa"/>
            </w:tcMar>
          </w:tcPr>
          <w:p>
            <w:pPr>
              <w:jc w:val="left"/>
            </w:pPr>
            <w:r>
              <w:rPr>
                <w:rFonts w:ascii="Lato" w:hAnsi="Lato"/>
                <w:b/>
                <w:sz w:val="16"/>
              </w:rPr>
              <w:t>Primary deliverable</w:t>
            </w:r>
          </w:p>
        </w:tc>
        <w:tc>
          <w:tcPr>
            <w:tcW w:type="dxa" w:w="3024"/>
            <w:shd w:fill="E6E9ED"/>
            <w:tcMar>
              <w:top w:w="90" w:type="dxa"/>
              <w:start w:w="100" w:type="dxa"/>
              <w:bottom w:w="90" w:type="dxa"/>
              <w:end w:w="100" w:type="dxa"/>
            </w:tcMar>
          </w:tcPr>
          <w:p>
            <w:pPr>
              <w:jc w:val="left"/>
            </w:pPr>
            <w:r>
              <w:rPr>
                <w:rFonts w:ascii="Lato" w:hAnsi="Lato"/>
                <w:b/>
                <w:sz w:val="16"/>
              </w:rPr>
              <w:t>Exit criterion</w:t>
            </w:r>
          </w:p>
        </w:tc>
      </w:tr>
      <w:tr>
        <w:trPr>
          <w:cantSplit/>
        </w:trPr>
        <w:tc>
          <w:tcPr>
            <w:tcW w:type="dxa" w:w="2232"/>
            <w:tcMar>
              <w:top w:w="90" w:type="dxa"/>
              <w:start w:w="100" w:type="dxa"/>
              <w:bottom w:w="90" w:type="dxa"/>
              <w:end w:w="100" w:type="dxa"/>
            </w:tcMar>
            <w:vAlign w:val="top"/>
          </w:tcPr>
          <w:p>
            <w:r>
              <w:t>Phase 0 – Provisional concept specification and coding lock</w:t>
            </w:r>
          </w:p>
        </w:tc>
        <w:tc>
          <w:tcPr>
            <w:tcW w:type="dxa" w:w="5112"/>
            <w:tcMar>
              <w:top w:w="90" w:type="dxa"/>
              <w:start w:w="100" w:type="dxa"/>
              <w:bottom w:w="90" w:type="dxa"/>
              <w:end w:w="100" w:type="dxa"/>
            </w:tcMar>
            <w:vAlign w:val="top"/>
          </w:tcPr>
          <w:p>
            <w:r>
              <w:t>Research question, provisional definitions, two-dimensional outcome model, hypotheses, falsification criteria, repository scaffold.</w:t>
            </w:r>
          </w:p>
        </w:tc>
        <w:tc>
          <w:tcPr>
            <w:tcW w:type="dxa" w:w="3024"/>
            <w:tcMar>
              <w:top w:w="90" w:type="dxa"/>
              <w:start w:w="100" w:type="dxa"/>
              <w:bottom w:w="90" w:type="dxa"/>
              <w:end w:w="100" w:type="dxa"/>
            </w:tcMar>
            <w:vAlign w:val="top"/>
          </w:tcPr>
          <w:p>
            <w:r>
              <w:t>No corpus expansion until the specification is internally coherent; later revisions require a documented pilot finding rather than ad hoc recoding.</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6"/>
              </w:rPr>
              <w:t>Phase 1 – Novelty audit</w:t>
            </w:r>
          </w:p>
        </w:tc>
        <w:tc>
          <w:tcPr>
            <w:tcW w:type="dxa" w:w="5112"/>
            <w:tcMar>
              <w:top w:w="90" w:type="dxa"/>
              <w:start w:w="100" w:type="dxa"/>
              <w:bottom w:w="90" w:type="dxa"/>
              <w:end w:w="100" w:type="dxa"/>
            </w:tcMar>
            <w:vAlign w:val="top"/>
          </w:tcPr>
          <w:p>
            <w:pPr>
              <w:spacing w:after="0"/>
            </w:pPr>
            <w:r>
              <w:rPr>
                <w:rFonts w:ascii="Noto Serif" w:hAnsi="Noto Serif"/>
                <w:sz w:val="16"/>
              </w:rPr>
              <w:t>Systematic review of adjacent concepts and literatures; novelty matrix; revised contribution statement.</w:t>
            </w:r>
          </w:p>
        </w:tc>
        <w:tc>
          <w:tcPr>
            <w:tcW w:type="dxa" w:w="3024"/>
            <w:tcMar>
              <w:top w:w="90" w:type="dxa"/>
              <w:start w:w="100" w:type="dxa"/>
              <w:bottom w:w="90" w:type="dxa"/>
              <w:end w:w="100" w:type="dxa"/>
            </w:tcMar>
            <w:vAlign w:val="top"/>
          </w:tcPr>
          <w:p>
            <w:pPr>
              <w:spacing w:after="0"/>
            </w:pPr>
            <w:r>
              <w:rPr>
                <w:rFonts w:ascii="Noto Serif" w:hAnsi="Noto Serif"/>
                <w:sz w:val="16"/>
              </w:rPr>
              <w:t>Demonstrate that project is building beyond rather than renaming existing theory.</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6"/>
              </w:rPr>
              <w:t>Phase 2 – German pilot</w:t>
            </w:r>
          </w:p>
        </w:tc>
        <w:tc>
          <w:tcPr>
            <w:tcW w:type="dxa" w:w="5112"/>
            <w:tcMar>
              <w:top w:w="90" w:type="dxa"/>
              <w:start w:w="100" w:type="dxa"/>
              <w:bottom w:w="90" w:type="dxa"/>
              <w:end w:w="100" w:type="dxa"/>
            </w:tcMar>
            <w:vAlign w:val="top"/>
          </w:tcPr>
          <w:p>
            <w:pPr>
              <w:spacing w:after="0"/>
            </w:pPr>
            <w:r>
              <w:rPr>
                <w:rFonts w:ascii="Noto Serif" w:hAnsi="Noto Serif"/>
                <w:sz w:val="16"/>
              </w:rPr>
              <w:t>Manual coding of high-value Hitler, Judenzählung, Jewish veteran, and Nazi leadership sources.</w:t>
            </w:r>
          </w:p>
        </w:tc>
        <w:tc>
          <w:tcPr>
            <w:tcW w:type="dxa" w:w="3024"/>
            <w:tcMar>
              <w:top w:w="90" w:type="dxa"/>
              <w:start w:w="100" w:type="dxa"/>
              <w:bottom w:w="90" w:type="dxa"/>
              <w:end w:w="100" w:type="dxa"/>
            </w:tcMar>
            <w:vAlign w:val="top"/>
          </w:tcPr>
          <w:p>
            <w:pPr>
              <w:spacing w:after="0"/>
            </w:pPr>
            <w:r>
              <w:rPr>
                <w:rFonts w:ascii="Noto Serif" w:hAnsi="Noto Serif"/>
                <w:sz w:val="16"/>
              </w:rPr>
              <w:t>Determine whether the full mechanism is observable and codeable.</w:t>
            </w:r>
          </w:p>
        </w:tc>
      </w:tr>
      <w:tr>
        <w:trPr>
          <w:cantSplit/>
        </w:trPr>
        <w:tc>
          <w:tcPr>
            <w:tcW w:type="dxa" w:w="2232"/>
            <w:tcMar>
              <w:top w:w="90" w:type="dxa"/>
              <w:start w:w="100" w:type="dxa"/>
              <w:bottom w:w="90" w:type="dxa"/>
              <w:end w:w="100" w:type="dxa"/>
            </w:tcMar>
            <w:vAlign w:val="top"/>
          </w:tcPr>
          <w:p>
            <w:r>
              <w:t>Phase 3 – Contrast-case pilot</w:t>
            </w:r>
          </w:p>
        </w:tc>
        <w:tc>
          <w:tcPr>
            <w:tcW w:type="dxa" w:w="5112"/>
            <w:tcMar>
              <w:top w:w="90" w:type="dxa"/>
              <w:start w:w="100" w:type="dxa"/>
              <w:bottom w:w="90" w:type="dxa"/>
              <w:end w:w="100" w:type="dxa"/>
            </w:tcMar>
            <w:vAlign w:val="top"/>
          </w:tcPr>
          <w:p>
            <w:r>
              <w:t>Britain, Australia, and France samples coded with the same instrument, recognizing their different methodological functions.</w:t>
            </w:r>
          </w:p>
        </w:tc>
        <w:tc>
          <w:tcPr>
            <w:tcW w:type="dxa" w:w="3024"/>
            <w:tcMar>
              <w:top w:w="90" w:type="dxa"/>
              <w:start w:w="100" w:type="dxa"/>
              <w:bottom w:w="90" w:type="dxa"/>
              <w:end w:w="100" w:type="dxa"/>
            </w:tcMar>
            <w:vAlign w:val="top"/>
          </w:tcPr>
          <w:p>
            <w:r>
              <w:t>Identify which mechanism modules appear, where pathways stop, and which conditions discriminate among outcomes.</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6"/>
              </w:rPr>
              <w:t>Phase 4 – Expanded corpus</w:t>
            </w:r>
          </w:p>
        </w:tc>
        <w:tc>
          <w:tcPr>
            <w:tcW w:type="dxa" w:w="5112"/>
            <w:tcMar>
              <w:top w:w="90" w:type="dxa"/>
              <w:start w:w="100" w:type="dxa"/>
              <w:bottom w:w="90" w:type="dxa"/>
              <w:end w:w="100" w:type="dxa"/>
            </w:tcMar>
            <w:vAlign w:val="top"/>
          </w:tcPr>
          <w:p>
            <w:pPr>
              <w:spacing w:after="0"/>
            </w:pPr>
            <w:r>
              <w:rPr>
                <w:rFonts w:ascii="Noto Serif" w:hAnsi="Noto Serif"/>
                <w:sz w:val="16"/>
              </w:rPr>
              <w:t>Broader primary-source collection and secondary triangulation; limited computational retrieval.</w:t>
            </w:r>
          </w:p>
        </w:tc>
        <w:tc>
          <w:tcPr>
            <w:tcW w:type="dxa" w:w="3024"/>
            <w:tcMar>
              <w:top w:w="90" w:type="dxa"/>
              <w:start w:w="100" w:type="dxa"/>
              <w:bottom w:w="90" w:type="dxa"/>
              <w:end w:w="100" w:type="dxa"/>
            </w:tcMar>
            <w:vAlign w:val="top"/>
          </w:tcPr>
          <w:p>
            <w:pPr>
              <w:spacing w:after="0"/>
            </w:pPr>
            <w:r>
              <w:rPr>
                <w:rFonts w:ascii="Noto Serif" w:hAnsi="Noto Serif"/>
                <w:sz w:val="16"/>
              </w:rPr>
              <w:t>Increase evidentiary depth without changing definitions opportunistically.</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6"/>
              </w:rPr>
              <w:t>Phase 5 – Comparative analysis</w:t>
            </w:r>
          </w:p>
        </w:tc>
        <w:tc>
          <w:tcPr>
            <w:tcW w:type="dxa" w:w="5112"/>
            <w:tcMar>
              <w:top w:w="90" w:type="dxa"/>
              <w:start w:w="100" w:type="dxa"/>
              <w:bottom w:w="90" w:type="dxa"/>
              <w:end w:w="100" w:type="dxa"/>
            </w:tcMar>
            <w:vAlign w:val="top"/>
          </w:tcPr>
          <w:p>
            <w:pPr>
              <w:spacing w:after="0"/>
            </w:pPr>
            <w:r>
              <w:rPr>
                <w:rFonts w:ascii="Noto Serif" w:hAnsi="Noto Serif"/>
                <w:sz w:val="16"/>
              </w:rPr>
              <w:t>Within-case process tracing plus cross-case structured comparison.</w:t>
            </w:r>
          </w:p>
        </w:tc>
        <w:tc>
          <w:tcPr>
            <w:tcW w:type="dxa" w:w="3024"/>
            <w:tcMar>
              <w:top w:w="90" w:type="dxa"/>
              <w:start w:w="100" w:type="dxa"/>
              <w:bottom w:w="90" w:type="dxa"/>
              <w:end w:w="100" w:type="dxa"/>
            </w:tcMar>
            <w:vAlign w:val="top"/>
          </w:tcPr>
          <w:p>
            <w:r>
              <w:t>Explain variation in coercive escalation and sacrificial-debt framing, and identify necessary, enabling, or merely legitimating conditions.</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6"/>
              </w:rPr>
              <w:t>Phase 6 – Publication</w:t>
            </w:r>
          </w:p>
        </w:tc>
        <w:tc>
          <w:tcPr>
            <w:tcW w:type="dxa" w:w="5112"/>
            <w:tcMar>
              <w:top w:w="90" w:type="dxa"/>
              <w:start w:w="100" w:type="dxa"/>
              <w:bottom w:w="90" w:type="dxa"/>
              <w:end w:w="100" w:type="dxa"/>
            </w:tcMar>
            <w:vAlign w:val="top"/>
          </w:tcPr>
          <w:p>
            <w:r>
              <w:t>Postgraduate empirical paper, comparative article, general theory paper, later Germany/Holocaust article, public-facing Foundation materials.</w:t>
            </w:r>
          </w:p>
        </w:tc>
        <w:tc>
          <w:tcPr>
            <w:tcW w:type="dxa" w:w="3024"/>
            <w:tcMar>
              <w:top w:w="90" w:type="dxa"/>
              <w:start w:w="100" w:type="dxa"/>
              <w:bottom w:w="90" w:type="dxa"/>
              <w:end w:w="100" w:type="dxa"/>
            </w:tcMar>
            <w:vAlign w:val="top"/>
          </w:tcPr>
          <w:p>
            <w:r>
              <w:t>Sequence claims so the general theory and Hitler reassessment rest on independently tested empirical findings.</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6"/>
              </w:rPr>
              <w:t>Phase 7 – Extension</w:t>
            </w:r>
          </w:p>
        </w:tc>
        <w:tc>
          <w:tcPr>
            <w:tcW w:type="dxa" w:w="5112"/>
            <w:tcMar>
              <w:top w:w="90" w:type="dxa"/>
              <w:start w:w="100" w:type="dxa"/>
              <w:bottom w:w="90" w:type="dxa"/>
              <w:end w:w="100" w:type="dxa"/>
            </w:tcMar>
            <w:vAlign w:val="top"/>
          </w:tcPr>
          <w:p>
            <w:pPr>
              <w:spacing w:after="0"/>
            </w:pPr>
            <w:r>
              <w:rPr>
                <w:rFonts w:ascii="Noto Serif" w:hAnsi="Noto Serif"/>
                <w:sz w:val="16"/>
              </w:rPr>
              <w:t>Only after validation: Ottoman, Italy, Japan, Russia, later conflicts.</w:t>
            </w:r>
          </w:p>
        </w:tc>
        <w:tc>
          <w:tcPr>
            <w:tcW w:type="dxa" w:w="3024"/>
            <w:tcMar>
              <w:top w:w="90" w:type="dxa"/>
              <w:start w:w="100" w:type="dxa"/>
              <w:bottom w:w="90" w:type="dxa"/>
              <w:end w:w="100" w:type="dxa"/>
            </w:tcMar>
            <w:vAlign w:val="top"/>
          </w:tcPr>
          <w:p>
            <w:pPr>
              <w:spacing w:after="0"/>
            </w:pPr>
            <w:r>
              <w:rPr>
                <w:rFonts w:ascii="Noto Serif" w:hAnsi="Noto Serif"/>
                <w:sz w:val="16"/>
              </w:rPr>
              <w:t>Test portability and scope conditions outside original WWI-Western European frame.</w:t>
            </w:r>
          </w:p>
        </w:tc>
      </w:tr>
    </w:tbl>
    <w:p>
      <w:pPr>
        <w:spacing w:after="0"/>
        <w:widowControl w:val="1"/>
      </w:pPr>
    </w:p>
    <w:p>
      <w:pPr>
        <w:pStyle w:val="Heading1"/>
        <w:widowControl w:val="1"/>
      </w:pPr>
      <w:r>
        <w:rPr>
          <w:rFonts w:ascii="Noto Serif" w:hAnsi="Noto Serif"/>
          <w:sz w:val="21"/>
        </w:rPr>
        <w:t>19. First 90 Days: Concrete Execution Plan</w:t>
      </w:r>
    </w:p>
    <w:p>
      <w:pPr>
        <w:pStyle w:val="Heading2"/>
        <w:widowControl w:val="1"/>
      </w:pPr>
      <w:r>
        <w:rPr>
          <w:rFonts w:ascii="Noto Serif" w:hAnsi="Noto Serif"/>
          <w:sz w:val="21"/>
        </w:rPr>
        <w:t>Weeks 1–2: Provisional concept specification and coding lock</w:t>
      </w:r>
    </w:p>
    <w:p>
      <w:pPr>
        <w:pStyle w:val="ListBullet"/>
        <w:spacing w:after="60"/>
        <w:widowControl w:val="1"/>
      </w:pPr>
      <w:r>
        <w:rPr>
          <w:rFonts w:ascii="Noto Serif" w:hAnsi="Noto Serif"/>
          <w:sz w:val="21"/>
        </w:rPr>
        <w:t>Create the repository and four foundational files: research-question.md, concepts.md, hypotheses.md, falsification.md.</w:t>
      </w:r>
    </w:p>
    <w:p>
      <w:pPr>
        <w:pStyle w:val="ListBullet"/>
        <w:spacing w:after="60"/>
        <w:widowControl w:val="1"/>
      </w:pPr>
      <w:r>
        <w:rPr>
          <w:rFonts w:ascii="Noto Serif" w:hAnsi="Noto Serif"/>
          <w:sz w:val="21"/>
        </w:rPr>
        <w:t>Write one paragraph specifying what evidence would count as sacrificial debt and one paragraph specifying what would not.</w:t>
      </w:r>
    </w:p>
    <w:p>
      <w:pPr>
        <w:pStyle w:val="ListBullet"/>
        <w:spacing w:after="60"/>
        <w:widowControl w:val="1"/>
      </w:pPr>
      <w:r>
        <w:rPr>
          <w:rFonts w:ascii="Noto Serif" w:hAnsi="Noto Serif"/>
          <w:sz w:val="21"/>
        </w:rPr>
        <w:t>Create separate coercive-escalation and sacrificial-debt-framing scales; add debt_status, claim_role, and translation_status to the coding instrument.</w:t>
      </w:r>
    </w:p>
    <w:p>
      <w:pPr>
        <w:pStyle w:val="ListBullet"/>
        <w:spacing w:after="60"/>
        <w:widowControl w:val="1"/>
      </w:pPr>
      <w:r>
        <w:rPr>
          <w:rFonts w:ascii="Noto Serif" w:hAnsi="Noto Serif"/>
          <w:sz w:val="21"/>
        </w:rPr>
        <w:t>Establish citation, source-provenance, translation-status, and emic/etic evidence rules before collecting quotations.</w:t>
      </w:r>
    </w:p>
    <w:p>
      <w:pPr>
        <w:pStyle w:val="Heading2"/>
        <w:widowControl w:val="1"/>
      </w:pPr>
      <w:r>
        <w:rPr>
          <w:rFonts w:ascii="Noto Serif" w:hAnsi="Noto Serif"/>
          <w:sz w:val="21"/>
        </w:rPr>
        <w:t>Weeks 3–5: Conduct the novelty audit</w:t>
      </w:r>
    </w:p>
    <w:p>
      <w:pPr>
        <w:pStyle w:val="ListBullet"/>
        <w:spacing w:after="60"/>
        <w:widowControl w:val="1"/>
      </w:pPr>
      <w:r>
        <w:rPr>
          <w:rFonts w:ascii="Noto Serif" w:hAnsi="Noto Serif"/>
          <w:sz w:val="21"/>
        </w:rPr>
        <w:t>Search sacrificial equality, social relations of sacrifice, moral economy, blood tax, shirking, profiteering, veterans’ deservingness, debt, collective guilt, redemptive violence, and genocide literatures.</w:t>
      </w:r>
    </w:p>
    <w:p>
      <w:pPr>
        <w:pStyle w:val="ListBullet"/>
        <w:spacing w:after="60"/>
        <w:widowControl w:val="1"/>
      </w:pPr>
      <w:r>
        <w:rPr>
          <w:rFonts w:ascii="Noto Serif" w:hAnsi="Noto Serif"/>
          <w:sz w:val="21"/>
        </w:rPr>
        <w:t>Produce a 10–15 page literature memo whose final section states exactly what the project adds beyond each neighboring approach.</w:t>
      </w:r>
    </w:p>
    <w:p>
      <w:pPr>
        <w:pStyle w:val="ListBullet"/>
        <w:spacing w:after="60"/>
        <w:widowControl w:val="1"/>
      </w:pPr>
      <w:r>
        <w:rPr>
          <w:rFonts w:ascii="Noto Serif" w:hAnsi="Noto Serif"/>
          <w:sz w:val="21"/>
        </w:rPr>
        <w:t>Revise terminology if “sacrificial debt” substantially overlaps an established concept.</w:t>
      </w:r>
    </w:p>
    <w:p>
      <w:pPr>
        <w:pStyle w:val="Heading2"/>
        <w:widowControl w:val="1"/>
      </w:pPr>
      <w:r>
        <w:rPr>
          <w:rFonts w:ascii="Noto Serif" w:hAnsi="Noto Serif"/>
          <w:sz w:val="21"/>
        </w:rPr>
        <w:t>Weeks 6–8: Build the German pilot</w:t>
      </w:r>
    </w:p>
    <w:p>
      <w:pPr>
        <w:pStyle w:val="ListBullet"/>
        <w:spacing w:after="60"/>
        <w:widowControl w:val="1"/>
      </w:pPr>
      <w:r>
        <w:rPr>
          <w:rFonts w:ascii="Noto Serif" w:hAnsi="Noto Serif"/>
          <w:sz w:val="21"/>
        </w:rPr>
        <w:t>Select a small set of primary texts with high evidentiary value rather than attempting exhaustive retrieval.</w:t>
      </w:r>
    </w:p>
    <w:p>
      <w:pPr>
        <w:pStyle w:val="ListBullet"/>
        <w:spacing w:after="60"/>
        <w:widowControl w:val="1"/>
      </w:pPr>
      <w:r>
        <w:rPr>
          <w:rFonts w:ascii="Noto Serif" w:hAnsi="Noto Serif"/>
          <w:sz w:val="21"/>
        </w:rPr>
        <w:t>Code at proposition level; preserve original language, translation provenance, date, audience, and source reliability.</w:t>
      </w:r>
    </w:p>
    <w:p>
      <w:pPr>
        <w:pStyle w:val="ListBullet"/>
        <w:spacing w:after="60"/>
        <w:widowControl w:val="1"/>
      </w:pPr>
      <w:r>
        <w:rPr>
          <w:rFonts w:ascii="Noto Serif" w:hAnsi="Noto Serif"/>
          <w:sz w:val="21"/>
        </w:rPr>
        <w:t>Include both confirming and disconfirming materials.</w:t>
      </w:r>
    </w:p>
    <w:p>
      <w:pPr>
        <w:pStyle w:val="ListBullet"/>
        <w:spacing w:after="60"/>
        <w:widowControl w:val="1"/>
      </w:pPr>
      <w:r>
        <w:rPr>
          <w:rFonts w:ascii="Noto Serif" w:hAnsi="Noto Serif"/>
          <w:sz w:val="21"/>
        </w:rPr>
        <w:t>Write a process-tracing memo asking whether the sequence from sacrifice to asymmetry to debt to essentialization is actually visible.</w:t>
      </w:r>
    </w:p>
    <w:p>
      <w:pPr>
        <w:pStyle w:val="Heading2"/>
        <w:widowControl w:val="1"/>
      </w:pPr>
      <w:r>
        <w:rPr>
          <w:rFonts w:ascii="Noto Serif" w:hAnsi="Noto Serif"/>
          <w:sz w:val="21"/>
        </w:rPr>
        <w:t>Weeks 9–11: Run comparative pilot</w:t>
      </w:r>
    </w:p>
    <w:p>
      <w:pPr>
        <w:pStyle w:val="ListBullet"/>
        <w:spacing w:after="60"/>
        <w:widowControl w:val="1"/>
      </w:pPr>
      <w:r>
        <w:rPr>
          <w:rFonts w:ascii="Noto Serif" w:hAnsi="Noto Serif"/>
          <w:sz w:val="21"/>
        </w:rPr>
        <w:t>Code matched samples from Britain, Australia, and France using the same rules.</w:t>
      </w:r>
    </w:p>
    <w:p>
      <w:pPr>
        <w:pStyle w:val="ListBullet"/>
        <w:spacing w:after="60"/>
        <w:widowControl w:val="1"/>
      </w:pPr>
      <w:r>
        <w:rPr>
          <w:rFonts w:ascii="Noto Serif" w:hAnsi="Noto Serif"/>
          <w:sz w:val="21"/>
        </w:rPr>
        <w:t>Identify which stages of the mechanism appear and where escalation stops.</w:t>
      </w:r>
    </w:p>
    <w:p>
      <w:pPr>
        <w:pStyle w:val="ListBullet"/>
        <w:spacing w:after="60"/>
        <w:widowControl w:val="1"/>
      </w:pPr>
      <w:r>
        <w:rPr>
          <w:rFonts w:ascii="Noto Serif" w:hAnsi="Noto Serif"/>
          <w:sz w:val="21"/>
        </w:rPr>
        <w:t>Revise H1–H8 and the mechanism modules based on comparative evidence; document any definitional change rather than recoding retrospectively without explanation.</w:t>
      </w:r>
    </w:p>
    <w:p>
      <w:pPr>
        <w:pStyle w:val="Heading2"/>
        <w:widowControl w:val="1"/>
      </w:pPr>
      <w:r>
        <w:rPr>
          <w:rFonts w:ascii="Noto Serif" w:hAnsi="Noto Serif"/>
          <w:sz w:val="21"/>
        </w:rPr>
        <w:t>Week 12: Decision gate</w:t>
      </w:r>
    </w:p>
    <w:p>
      <w:pPr>
        <w:widowControl w:val="1"/>
      </w:pPr>
      <w:r>
        <w:rPr>
          <w:rFonts w:ascii="Noto Serif" w:hAnsi="Noto Serif"/>
          <w:sz w:val="21"/>
        </w:rPr>
        <w:t>At the end of the pilot, answer five questions before expanding:</w:t>
      </w:r>
    </w:p>
    <w:p>
      <w:pPr>
        <w:pStyle w:val="ListBullet"/>
        <w:spacing w:after="60"/>
        <w:widowControl w:val="1"/>
      </w:pPr>
      <w:r>
        <w:rPr>
          <w:rFonts w:ascii="Noto Serif" w:hAnsi="Noto Serif"/>
          <w:sz w:val="21"/>
        </w:rPr>
        <w:t>Is sacrificial debt empirically distinguishable from generic hostility and distributive resentment?</w:t>
      </w:r>
    </w:p>
    <w:p>
      <w:pPr>
        <w:pStyle w:val="ListBullet"/>
        <w:spacing w:after="60"/>
        <w:widowControl w:val="1"/>
      </w:pPr>
      <w:r>
        <w:rPr>
          <w:rFonts w:ascii="Noto Serif" w:hAnsi="Noto Serif"/>
          <w:sz w:val="21"/>
        </w:rPr>
        <w:t>Does essentialization explain meaningful variation?</w:t>
      </w:r>
    </w:p>
    <w:p>
      <w:pPr>
        <w:pStyle w:val="ListBullet"/>
        <w:spacing w:after="60"/>
        <w:widowControl w:val="1"/>
      </w:pPr>
      <w:r>
        <w:rPr>
          <w:rFonts w:ascii="Noto Serif" w:hAnsi="Noto Serif"/>
          <w:sz w:val="21"/>
        </w:rPr>
        <w:t>Does Germany contain repeated rather than anecdotal evidence of reciprocal death-accounting?</w:t>
      </w:r>
    </w:p>
    <w:p>
      <w:pPr>
        <w:pStyle w:val="ListBullet"/>
        <w:spacing w:after="60"/>
        <w:widowControl w:val="1"/>
      </w:pPr>
      <w:r>
        <w:rPr>
          <w:rFonts w:ascii="Noto Serif" w:hAnsi="Noto Serif"/>
          <w:sz w:val="21"/>
        </w:rPr>
        <w:t>Is the literature gap real enough to support a standalone Foundation research program?</w:t>
      </w:r>
    </w:p>
    <w:p>
      <w:pPr>
        <w:pStyle w:val="ListBullet"/>
      </w:pPr>
      <w:r>
        <w:t>Does the mechanism explain, classify, legitimate, or predict something that rival theories would not already lead us to expect?</w:t>
      </w:r>
    </w:p>
    <w:p>
      <w:pPr>
        <w:widowControl w:val="1"/>
      </w:pPr>
      <w:r>
        <w:rPr>
          <w:rFonts w:ascii="Noto Serif" w:hAnsi="Noto Serif"/>
          <w:sz w:val="21"/>
        </w:rPr>
        <w:t>If the answer to two or more is no, narrow, reconceptualize, or terminate the project rather than building a larger workbench around an attractive but weak concept. A result showing that sacrificial debt is primarily classificatory or legitimating rather than decision-causal should be treated as a substantive finding, not automatically as failure.</w:t>
      </w:r>
    </w:p>
    <w:p>
      <w:pPr>
        <w:pStyle w:val="Heading1"/>
        <w:widowControl w:val="1"/>
      </w:pPr>
      <w:r>
        <w:rPr>
          <w:rFonts w:ascii="Noto Serif" w:hAnsi="Noto Serif"/>
          <w:sz w:val="21"/>
        </w:rPr>
        <w:t>20. Principal Research Risks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2088"/>
            <w:shd w:fill="E6E9ED"/>
            <w:tcMar>
              <w:top w:w="90" w:type="dxa"/>
              <w:start w:w="100" w:type="dxa"/>
              <w:bottom w:w="90" w:type="dxa"/>
              <w:end w:w="100" w:type="dxa"/>
            </w:tcMar>
          </w:tcPr>
          <w:p>
            <w:pPr>
              <w:jc w:val="left"/>
            </w:pPr>
            <w:r>
              <w:rPr>
                <w:rFonts w:ascii="Lato" w:hAnsi="Lato"/>
                <w:b/>
                <w:sz w:val="16"/>
              </w:rPr>
              <w:t>Risk</w:t>
            </w:r>
          </w:p>
        </w:tc>
        <w:tc>
          <w:tcPr>
            <w:tcW w:type="dxa" w:w="3672"/>
            <w:shd w:fill="E6E9ED"/>
            <w:tcMar>
              <w:top w:w="90" w:type="dxa"/>
              <w:start w:w="100" w:type="dxa"/>
              <w:bottom w:w="90" w:type="dxa"/>
              <w:end w:w="100" w:type="dxa"/>
            </w:tcMar>
          </w:tcPr>
          <w:p>
            <w:pPr>
              <w:jc w:val="left"/>
            </w:pPr>
            <w:r>
              <w:rPr>
                <w:rFonts w:ascii="Lato" w:hAnsi="Lato"/>
                <w:b/>
                <w:sz w:val="16"/>
              </w:rPr>
              <w:t>Failure mode</w:t>
            </w:r>
          </w:p>
        </w:tc>
        <w:tc>
          <w:tcPr>
            <w:tcW w:type="dxa" w:w="4824"/>
            <w:shd w:fill="E6E9ED"/>
            <w:tcMar>
              <w:top w:w="90" w:type="dxa"/>
              <w:start w:w="100" w:type="dxa"/>
              <w:bottom w:w="90" w:type="dxa"/>
              <w:end w:w="100" w:type="dxa"/>
            </w:tcMar>
          </w:tcPr>
          <w:p>
            <w:pPr>
              <w:jc w:val="left"/>
            </w:pPr>
            <w:r>
              <w:rPr>
                <w:rFonts w:ascii="Lato" w:hAnsi="Lato"/>
                <w:b/>
                <w:sz w:val="16"/>
              </w:rPr>
              <w:t>Mitigation</w:t>
            </w:r>
          </w:p>
        </w:tc>
      </w:tr>
      <w:tr>
        <w:trPr>
          <w:cantSplit/>
        </w:trPr>
        <w:tc>
          <w:tcPr>
            <w:tcW w:type="dxa" w:w="2088"/>
            <w:tcMar>
              <w:top w:w="90" w:type="dxa"/>
              <w:start w:w="100" w:type="dxa"/>
              <w:bottom w:w="90" w:type="dxa"/>
              <w:end w:w="100" w:type="dxa"/>
            </w:tcMar>
            <w:vAlign w:val="top"/>
          </w:tcPr>
          <w:p>
            <w:pPr>
              <w:spacing w:after="0"/>
            </w:pPr>
            <w:r>
              <w:rPr>
                <w:rFonts w:ascii="Noto Serif" w:hAnsi="Noto Serif"/>
                <w:sz w:val="16"/>
              </w:rPr>
              <w:t>Confirmation bias toward Koenigsberg</w:t>
            </w:r>
          </w:p>
        </w:tc>
        <w:tc>
          <w:tcPr>
            <w:tcW w:type="dxa" w:w="3672"/>
            <w:tcMar>
              <w:top w:w="90" w:type="dxa"/>
              <w:start w:w="100" w:type="dxa"/>
              <w:bottom w:w="90" w:type="dxa"/>
              <w:end w:w="100" w:type="dxa"/>
            </w:tcMar>
            <w:vAlign w:val="top"/>
          </w:tcPr>
          <w:p>
            <w:pPr>
              <w:spacing w:after="0"/>
            </w:pPr>
            <w:r>
              <w:rPr>
                <w:rFonts w:ascii="Noto Serif" w:hAnsi="Noto Serif"/>
                <w:sz w:val="16"/>
              </w:rPr>
              <w:t>The corpus is selected to reproduce “balance the scales of death.”</w:t>
            </w:r>
          </w:p>
        </w:tc>
        <w:tc>
          <w:tcPr>
            <w:tcW w:type="dxa" w:w="4824"/>
            <w:tcMar>
              <w:top w:w="90" w:type="dxa"/>
              <w:start w:w="100" w:type="dxa"/>
              <w:bottom w:w="90" w:type="dxa"/>
              <w:end w:w="100" w:type="dxa"/>
            </w:tcMar>
            <w:vAlign w:val="top"/>
          </w:tcPr>
          <w:p>
            <w:pPr>
              <w:spacing w:after="0"/>
            </w:pPr>
            <w:r>
              <w:rPr>
                <w:rFonts w:ascii="Noto Serif" w:hAnsi="Noto Serif"/>
                <w:sz w:val="16"/>
              </w:rPr>
              <w:t>Pre-register rival explanations; maintain negative-evidence file; include independent coders.</w:t>
            </w:r>
          </w:p>
        </w:tc>
      </w:tr>
      <w:tr>
        <w:trPr>
          <w:cantSplit/>
        </w:trPr>
        <w:tc>
          <w:tcPr>
            <w:tcW w:type="dxa" w:w="2088"/>
            <w:tcMar>
              <w:top w:w="90" w:type="dxa"/>
              <w:start w:w="100" w:type="dxa"/>
              <w:bottom w:w="90" w:type="dxa"/>
              <w:end w:w="100" w:type="dxa"/>
            </w:tcMar>
            <w:vAlign w:val="top"/>
          </w:tcPr>
          <w:p>
            <w:pPr>
              <w:spacing w:after="0"/>
            </w:pPr>
            <w:r>
              <w:rPr>
                <w:rFonts w:ascii="Noto Serif" w:hAnsi="Noto Serif"/>
                <w:sz w:val="16"/>
              </w:rPr>
              <w:t>Concept inflation</w:t>
            </w:r>
          </w:p>
        </w:tc>
        <w:tc>
          <w:tcPr>
            <w:tcW w:type="dxa" w:w="3672"/>
            <w:tcMar>
              <w:top w:w="90" w:type="dxa"/>
              <w:start w:w="100" w:type="dxa"/>
              <w:bottom w:w="90" w:type="dxa"/>
              <w:end w:w="100" w:type="dxa"/>
            </w:tcMar>
            <w:vAlign w:val="top"/>
          </w:tcPr>
          <w:p>
            <w:pPr>
              <w:spacing w:after="0"/>
            </w:pPr>
            <w:r>
              <w:rPr>
                <w:rFonts w:ascii="Noto Serif" w:hAnsi="Noto Serif"/>
                <w:sz w:val="16"/>
              </w:rPr>
              <w:t>Every wartime complaint becomes “sacrificial debt.”</w:t>
            </w:r>
          </w:p>
        </w:tc>
        <w:tc>
          <w:tcPr>
            <w:tcW w:type="dxa" w:w="4824"/>
            <w:tcMar>
              <w:top w:w="90" w:type="dxa"/>
              <w:start w:w="100" w:type="dxa"/>
              <w:bottom w:w="90" w:type="dxa"/>
              <w:end w:w="100" w:type="dxa"/>
            </w:tcMar>
            <w:vAlign w:val="top"/>
          </w:tcPr>
          <w:p>
            <w:pPr>
              <w:spacing w:after="0"/>
            </w:pPr>
            <w:r>
              <w:rPr>
                <w:rFonts w:ascii="Noto Serif" w:hAnsi="Noto Serif"/>
                <w:sz w:val="16"/>
              </w:rPr>
              <w:t>Require explicit asymmetry + moral obligation indicators for strong coding.</w:t>
            </w:r>
          </w:p>
        </w:tc>
      </w:tr>
      <w:tr>
        <w:trPr>
          <w:cantSplit/>
        </w:trPr>
        <w:tc>
          <w:tcPr>
            <w:tcW w:type="dxa" w:w="2088"/>
            <w:tcMar>
              <w:top w:w="90" w:type="dxa"/>
              <w:start w:w="100" w:type="dxa"/>
              <w:bottom w:w="90" w:type="dxa"/>
              <w:end w:w="100" w:type="dxa"/>
            </w:tcMar>
            <w:vAlign w:val="top"/>
          </w:tcPr>
          <w:p>
            <w:pPr>
              <w:spacing w:after="0"/>
            </w:pPr>
            <w:r>
              <w:rPr>
                <w:rFonts w:ascii="Noto Serif" w:hAnsi="Noto Serif"/>
                <w:sz w:val="16"/>
              </w:rPr>
              <w:t>Teleology</w:t>
            </w:r>
          </w:p>
        </w:tc>
        <w:tc>
          <w:tcPr>
            <w:tcW w:type="dxa" w:w="3672"/>
            <w:tcMar>
              <w:top w:w="90" w:type="dxa"/>
              <w:start w:w="100" w:type="dxa"/>
              <w:bottom w:w="90" w:type="dxa"/>
              <w:end w:w="100" w:type="dxa"/>
            </w:tcMar>
            <w:vAlign w:val="top"/>
          </w:tcPr>
          <w:p>
            <w:pPr>
              <w:spacing w:after="0"/>
            </w:pPr>
            <w:r>
              <w:rPr>
                <w:rFonts w:ascii="Noto Serif" w:hAnsi="Noto Serif"/>
                <w:sz w:val="16"/>
              </w:rPr>
              <w:t>WWI evidence is read as inevitably leading to the Holocaust.</w:t>
            </w:r>
          </w:p>
        </w:tc>
        <w:tc>
          <w:tcPr>
            <w:tcW w:type="dxa" w:w="4824"/>
            <w:tcMar>
              <w:top w:w="90" w:type="dxa"/>
              <w:start w:w="100" w:type="dxa"/>
              <w:bottom w:w="90" w:type="dxa"/>
              <w:end w:w="100" w:type="dxa"/>
            </w:tcMar>
            <w:vAlign w:val="top"/>
          </w:tcPr>
          <w:p>
            <w:pPr>
              <w:spacing w:after="0"/>
            </w:pPr>
            <w:r>
              <w:rPr>
                <w:rFonts w:ascii="Noto Serif" w:hAnsi="Noto Serif"/>
                <w:sz w:val="16"/>
              </w:rPr>
              <w:t>Use negative cases and period-appropriate uncertainty; preserve alternative pathways.</w:t>
            </w:r>
          </w:p>
        </w:tc>
      </w:tr>
      <w:tr>
        <w:trPr>
          <w:cantSplit/>
        </w:trPr>
        <w:tc>
          <w:tcPr>
            <w:tcW w:type="dxa" w:w="2088"/>
            <w:tcMar>
              <w:top w:w="90" w:type="dxa"/>
              <w:start w:w="100" w:type="dxa"/>
              <w:bottom w:w="90" w:type="dxa"/>
              <w:end w:w="100" w:type="dxa"/>
            </w:tcMar>
            <w:vAlign w:val="top"/>
          </w:tcPr>
          <w:p>
            <w:pPr>
              <w:spacing w:after="0"/>
            </w:pPr>
            <w:r>
              <w:rPr>
                <w:rFonts w:ascii="Noto Serif" w:hAnsi="Noto Serif"/>
                <w:sz w:val="16"/>
              </w:rPr>
              <w:t>False equivalence</w:t>
            </w:r>
          </w:p>
        </w:tc>
        <w:tc>
          <w:tcPr>
            <w:tcW w:type="dxa" w:w="3672"/>
            <w:tcMar>
              <w:top w:w="90" w:type="dxa"/>
              <w:start w:w="100" w:type="dxa"/>
              <w:bottom w:w="90" w:type="dxa"/>
              <w:end w:w="100" w:type="dxa"/>
            </w:tcMar>
            <w:vAlign w:val="top"/>
          </w:tcPr>
          <w:p>
            <w:pPr>
              <w:spacing w:after="0"/>
            </w:pPr>
            <w:r>
              <w:rPr>
                <w:rFonts w:ascii="Noto Serif" w:hAnsi="Noto Serif"/>
                <w:sz w:val="16"/>
              </w:rPr>
              <w:t>Combat death and genocide appear morally or historically equivalent.</w:t>
            </w:r>
          </w:p>
        </w:tc>
        <w:tc>
          <w:tcPr>
            <w:tcW w:type="dxa" w:w="4824"/>
            <w:tcMar>
              <w:top w:w="90" w:type="dxa"/>
              <w:start w:w="100" w:type="dxa"/>
              <w:bottom w:w="90" w:type="dxa"/>
              <w:end w:w="100" w:type="dxa"/>
            </w:tcMar>
            <w:vAlign w:val="top"/>
          </w:tcPr>
          <w:p>
            <w:pPr>
              <w:spacing w:after="0"/>
            </w:pPr>
            <w:r>
              <w:rPr>
                <w:rFonts w:ascii="Noto Serif" w:hAnsi="Noto Serif"/>
                <w:sz w:val="16"/>
              </w:rPr>
              <w:t>State categorical differences in agency and targeting in every major output.</w:t>
            </w:r>
          </w:p>
        </w:tc>
      </w:tr>
      <w:tr>
        <w:trPr>
          <w:cantSplit/>
        </w:trPr>
        <w:tc>
          <w:tcPr>
            <w:tcW w:type="dxa" w:w="2088"/>
            <w:tcMar>
              <w:top w:w="90" w:type="dxa"/>
              <w:start w:w="100" w:type="dxa"/>
              <w:bottom w:w="90" w:type="dxa"/>
              <w:end w:w="100" w:type="dxa"/>
            </w:tcMar>
            <w:vAlign w:val="top"/>
          </w:tcPr>
          <w:p>
            <w:pPr>
              <w:spacing w:after="0"/>
            </w:pPr>
            <w:r>
              <w:rPr>
                <w:rFonts w:ascii="Noto Serif" w:hAnsi="Noto Serif"/>
                <w:sz w:val="16"/>
              </w:rPr>
              <w:t>Single-actor psychology</w:t>
            </w:r>
          </w:p>
        </w:tc>
        <w:tc>
          <w:tcPr>
            <w:tcW w:type="dxa" w:w="3672"/>
            <w:tcMar>
              <w:top w:w="90" w:type="dxa"/>
              <w:start w:w="100" w:type="dxa"/>
              <w:bottom w:w="90" w:type="dxa"/>
              <w:end w:w="100" w:type="dxa"/>
            </w:tcMar>
            <w:vAlign w:val="top"/>
          </w:tcPr>
          <w:p>
            <w:pPr>
              <w:spacing w:after="0"/>
            </w:pPr>
            <w:r>
              <w:rPr>
                <w:rFonts w:ascii="Noto Serif" w:hAnsi="Noto Serif"/>
                <w:sz w:val="16"/>
              </w:rPr>
              <w:t>Hitler’s rhetoric is mistaken for a society-wide mechanism.</w:t>
            </w:r>
          </w:p>
        </w:tc>
        <w:tc>
          <w:tcPr>
            <w:tcW w:type="dxa" w:w="4824"/>
            <w:tcMar>
              <w:top w:w="90" w:type="dxa"/>
              <w:start w:w="100" w:type="dxa"/>
              <w:bottom w:w="90" w:type="dxa"/>
              <w:end w:w="100" w:type="dxa"/>
            </w:tcMar>
            <w:vAlign w:val="top"/>
          </w:tcPr>
          <w:p>
            <w:pPr>
              <w:spacing w:after="0"/>
            </w:pPr>
            <w:r>
              <w:rPr>
                <w:rFonts w:ascii="Noto Serif" w:hAnsi="Noto Serif"/>
                <w:sz w:val="16"/>
              </w:rPr>
              <w:t>Compare Goebbels, Himmler, institutions, propaganda, veterans, and publics.</w:t>
            </w:r>
          </w:p>
        </w:tc>
      </w:tr>
      <w:tr>
        <w:trPr>
          <w:cantSplit/>
        </w:trPr>
        <w:tc>
          <w:tcPr>
            <w:tcW w:type="dxa" w:w="2088"/>
            <w:tcMar>
              <w:top w:w="90" w:type="dxa"/>
              <w:start w:w="100" w:type="dxa"/>
              <w:bottom w:w="90" w:type="dxa"/>
              <w:end w:w="100" w:type="dxa"/>
            </w:tcMar>
            <w:vAlign w:val="top"/>
          </w:tcPr>
          <w:p>
            <w:pPr>
              <w:spacing w:after="0"/>
            </w:pPr>
            <w:r>
              <w:rPr>
                <w:rFonts w:ascii="Noto Serif" w:hAnsi="Noto Serif"/>
                <w:sz w:val="16"/>
              </w:rPr>
              <w:t>Overclaiming novelty</w:t>
            </w:r>
          </w:p>
        </w:tc>
        <w:tc>
          <w:tcPr>
            <w:tcW w:type="dxa" w:w="3672"/>
            <w:tcMar>
              <w:top w:w="90" w:type="dxa"/>
              <w:start w:w="100" w:type="dxa"/>
              <w:bottom w:w="90" w:type="dxa"/>
              <w:end w:w="100" w:type="dxa"/>
            </w:tcMar>
            <w:vAlign w:val="top"/>
          </w:tcPr>
          <w:p>
            <w:pPr>
              <w:spacing w:after="0"/>
            </w:pPr>
            <w:r>
              <w:rPr>
                <w:rFonts w:ascii="Noto Serif" w:hAnsi="Noto Serif"/>
                <w:sz w:val="16"/>
              </w:rPr>
              <w:t>Existing scholarship already contains the same theory.</w:t>
            </w:r>
          </w:p>
        </w:tc>
        <w:tc>
          <w:tcPr>
            <w:tcW w:type="dxa" w:w="4824"/>
            <w:tcMar>
              <w:top w:w="90" w:type="dxa"/>
              <w:start w:w="100" w:type="dxa"/>
              <w:bottom w:w="90" w:type="dxa"/>
              <w:end w:w="100" w:type="dxa"/>
            </w:tcMar>
            <w:vAlign w:val="top"/>
          </w:tcPr>
          <w:p>
            <w:pPr>
              <w:spacing w:after="0"/>
            </w:pPr>
            <w:r>
              <w:rPr>
                <w:rFonts w:ascii="Noto Serif" w:hAnsi="Noto Serif"/>
                <w:sz w:val="16"/>
              </w:rPr>
              <w:t>Complete novelty audit before publication claims.</w:t>
            </w:r>
          </w:p>
        </w:tc>
      </w:tr>
      <w:tr>
        <w:trPr>
          <w:cantSplit/>
        </w:trPr>
        <w:tc>
          <w:tcPr>
            <w:tcW w:type="dxa" w:w="2088"/>
            <w:tcMar>
              <w:top w:w="90" w:type="dxa"/>
              <w:start w:w="100" w:type="dxa"/>
              <w:bottom w:w="90" w:type="dxa"/>
              <w:end w:w="100" w:type="dxa"/>
            </w:tcMar>
            <w:vAlign w:val="top"/>
          </w:tcPr>
          <w:p>
            <w:pPr>
              <w:spacing w:after="0"/>
            </w:pPr>
            <w:r>
              <w:rPr>
                <w:rFonts w:ascii="Noto Serif" w:hAnsi="Noto Serif"/>
                <w:sz w:val="16"/>
              </w:rPr>
              <w:t>Automation too early</w:t>
            </w:r>
          </w:p>
        </w:tc>
        <w:tc>
          <w:tcPr>
            <w:tcW w:type="dxa" w:w="3672"/>
            <w:tcMar>
              <w:top w:w="90" w:type="dxa"/>
              <w:start w:w="100" w:type="dxa"/>
              <w:bottom w:w="90" w:type="dxa"/>
              <w:end w:w="100" w:type="dxa"/>
            </w:tcMar>
            <w:vAlign w:val="top"/>
          </w:tcPr>
          <w:p>
            <w:pPr>
              <w:spacing w:after="0"/>
            </w:pPr>
            <w:r>
              <w:rPr>
                <w:rFonts w:ascii="Noto Serif" w:hAnsi="Noto Serif"/>
                <w:sz w:val="16"/>
              </w:rPr>
              <w:t>NLP scales a weak codebook and produces false precision.</w:t>
            </w:r>
          </w:p>
        </w:tc>
        <w:tc>
          <w:tcPr>
            <w:tcW w:type="dxa" w:w="4824"/>
            <w:tcMar>
              <w:top w:w="90" w:type="dxa"/>
              <w:start w:w="100" w:type="dxa"/>
              <w:bottom w:w="90" w:type="dxa"/>
              <w:end w:w="100" w:type="dxa"/>
            </w:tcMar>
            <w:vAlign w:val="top"/>
          </w:tcPr>
          <w:p>
            <w:pPr>
              <w:spacing w:after="0"/>
            </w:pPr>
            <w:r>
              <w:rPr>
                <w:rFonts w:ascii="Noto Serif" w:hAnsi="Noto Serif"/>
                <w:sz w:val="16"/>
              </w:rPr>
              <w:t>Manual pilot and coder agreement before computational expansion.</w:t>
            </w:r>
          </w:p>
        </w:tc>
      </w:tr>
      <w:tr>
        <w:trPr>
          <w:cantSplit/>
        </w:trPr>
        <w:tc>
          <w:tcPr>
            <w:tcW w:type="dxa" w:w="2088"/>
            <w:tcMar>
              <w:top w:w="90" w:type="dxa"/>
              <w:start w:w="100" w:type="dxa"/>
              <w:bottom w:w="90" w:type="dxa"/>
              <w:end w:w="100" w:type="dxa"/>
            </w:tcMar>
            <w:vAlign w:val="top"/>
          </w:tcPr>
          <w:p>
            <w:pPr>
              <w:spacing w:after="0"/>
            </w:pPr>
            <w:r>
              <w:rPr>
                <w:rFonts w:ascii="Noto Serif" w:hAnsi="Noto Serif"/>
                <w:sz w:val="16"/>
              </w:rPr>
              <w:t>Outcome determinism</w:t>
            </w:r>
          </w:p>
        </w:tc>
        <w:tc>
          <w:tcPr>
            <w:tcW w:type="dxa" w:w="3672"/>
            <w:tcMar>
              <w:top w:w="90" w:type="dxa"/>
              <w:start w:w="100" w:type="dxa"/>
              <w:bottom w:w="90" w:type="dxa"/>
              <w:end w:w="100" w:type="dxa"/>
            </w:tcMar>
            <w:vAlign w:val="top"/>
          </w:tcPr>
          <w:p>
            <w:pPr>
              <w:spacing w:after="0"/>
            </w:pPr>
            <w:r>
              <w:rPr>
                <w:rFonts w:ascii="Noto Serif" w:hAnsi="Noto Serif"/>
                <w:sz w:val="16"/>
              </w:rPr>
              <w:t>Sacrificial resentment is treated as a direct cause of genocide.</w:t>
            </w:r>
          </w:p>
        </w:tc>
        <w:tc>
          <w:tcPr>
            <w:tcW w:type="dxa" w:w="4824"/>
            <w:tcMar>
              <w:top w:w="90" w:type="dxa"/>
              <w:start w:w="100" w:type="dxa"/>
              <w:bottom w:w="90" w:type="dxa"/>
              <w:end w:w="100" w:type="dxa"/>
            </w:tcMar>
            <w:vAlign w:val="top"/>
          </w:tcPr>
          <w:p>
            <w:pPr>
              <w:spacing w:after="0"/>
            </w:pPr>
            <w:r>
              <w:rPr>
                <w:rFonts w:ascii="Noto Serif" w:hAnsi="Noto Serif"/>
                <w:sz w:val="16"/>
              </w:rPr>
              <w:t>Use escalation scale and scope conditions; model institutional and ideological moderators.</w:t>
            </w:r>
          </w:p>
        </w:tc>
      </w:tr>
    </w:tbl>
    <w:p>
      <w:pPr>
        <w:spacing w:after="0"/>
        <w:widowControl w:val="1"/>
      </w:pPr>
    </w:p>
    <w:p>
      <w:pPr>
        <w:pStyle w:val="Heading1"/>
        <w:widowControl w:val="1"/>
      </w:pPr>
      <w:r>
        <w:rPr>
          <w:rFonts w:ascii="Noto Serif" w:hAnsi="Noto Serif"/>
          <w:sz w:val="21"/>
        </w:rPr>
        <w:t>21. Expected Contributions</w:t>
      </w:r>
    </w:p>
    <w:p>
      <w:pPr>
        <w:pStyle w:val="Heading2"/>
        <w:widowControl w:val="1"/>
      </w:pPr>
      <w:r>
        <w:rPr>
          <w:rFonts w:ascii="Noto Serif" w:hAnsi="Noto Serif"/>
          <w:sz w:val="21"/>
        </w:rPr>
        <w:t>21.1 To political pathology</w:t>
      </w:r>
    </w:p>
    <w:p>
      <w:pPr>
        <w:widowControl w:val="1"/>
      </w:pPr>
      <w:r>
        <w:rPr>
          <w:rFonts w:ascii="Noto Serif" w:hAnsi="Noto Serif"/>
          <w:sz w:val="21"/>
        </w:rPr>
        <w:t>The project would identify a mechanism by which political communities transform uneven loss into moral hierarchy. It would provide diagnostic questions for recognizing when sacrifice ceases to be merely a demand placed on members and becomes a claim against those represented as insufficiently sacrificial.</w:t>
      </w:r>
    </w:p>
    <w:p>
      <w:pPr>
        <w:pStyle w:val="Heading2"/>
        <w:widowControl w:val="1"/>
      </w:pPr>
      <w:r>
        <w:rPr>
          <w:rFonts w:ascii="Noto Serif" w:hAnsi="Noto Serif"/>
          <w:sz w:val="21"/>
        </w:rPr>
        <w:t>21.2 To war and nationalism studies</w:t>
      </w:r>
    </w:p>
    <w:p>
      <w:pPr>
        <w:widowControl w:val="1"/>
      </w:pPr>
      <w:r>
        <w:rPr>
          <w:rFonts w:ascii="Noto Serif" w:hAnsi="Noto Serif"/>
          <w:sz w:val="21"/>
        </w:rPr>
        <w:t>The project would connect literatures on the fallen soldier, wartime deservingness, citizenship, and social conflict to the subsequent treatment of alleged nonsacrificers. It asks not only how the dead are sanctified but what happens politically to the living who are compared with them.</w:t>
      </w:r>
    </w:p>
    <w:p>
      <w:pPr>
        <w:pStyle w:val="Heading2"/>
        <w:widowControl w:val="1"/>
      </w:pPr>
      <w:r>
        <w:rPr>
          <w:rFonts w:ascii="Noto Serif" w:hAnsi="Noto Serif"/>
          <w:sz w:val="21"/>
        </w:rPr>
        <w:t>21.3 To Holocaust historiography</w:t>
      </w:r>
    </w:p>
    <w:p>
      <w:pPr>
        <w:widowControl w:val="1"/>
      </w:pPr>
      <w:r>
        <w:rPr>
          <w:rFonts w:ascii="Noto Serif" w:hAnsi="Noto Serif"/>
          <w:sz w:val="21"/>
        </w:rPr>
        <w:t>The project would not propose sacrificial debt as a replacement for established explanations. Its contribution would be narrower: to test whether reciprocal moral accounting helps explain why Jewish survival, alleged exemption, and German military sacrifice could be placed in the same justificatory frame by Hitler and other Nazi actors, and whether the persistence of antisemitic suspicion despite Jewish military service reveals a transition to non-dischargeable group guilt.</w:t>
      </w:r>
    </w:p>
    <w:p>
      <w:pPr>
        <w:pStyle w:val="Heading2"/>
        <w:widowControl w:val="1"/>
      </w:pPr>
      <w:r>
        <w:rPr>
          <w:rFonts w:ascii="Noto Serif" w:hAnsi="Noto Serif"/>
          <w:sz w:val="21"/>
        </w:rPr>
        <w:t>21.4 To comparative political violence</w:t>
      </w:r>
    </w:p>
    <w:p>
      <w:pPr>
        <w:widowControl w:val="1"/>
      </w:pPr>
      <w:r>
        <w:rPr>
          <w:rFonts w:ascii="Noto Serif" w:hAnsi="Noto Serif"/>
          <w:sz w:val="21"/>
        </w:rPr>
        <w:t>The project would offer a framework for asking why similar languages of unequal sacrifice sometimes stop at stigma and sometimes contribute to state coercion. This could eventually be tested in revolutions, civil wars, ethnic conflicts, veteran politics, and other settings where one constituency claims to have “paid” while another allegedly survived, profited, or abstained.</w:t>
      </w:r>
    </w:p>
    <w:p>
      <w:pPr>
        <w:pStyle w:val="Heading1"/>
        <w:widowControl w:val="1"/>
      </w:pPr>
      <w:r>
        <w:rPr>
          <w:rFonts w:ascii="Noto Serif" w:hAnsi="Noto Serif"/>
          <w:sz w:val="21"/>
        </w:rPr>
        <w:t>22. Provisional Theoretical Thesis</w:t>
      </w:r>
    </w:p>
    <w:p>
      <w:pPr>
        <w:pStyle w:val="Quote"/>
        <w:spacing w:before="100" w:after="140"/>
        <w:ind w:left="504" w:right="504"/>
        <w:widowControl w:val="1"/>
      </w:pPr>
      <w:r>
        <w:rPr>
          <w:rFonts w:ascii="Noto Serif" w:hAnsi="Noto Serif"/>
          <w:i/>
          <w:sz w:val="21"/>
        </w:rPr>
        <w:t>Political communities become especially dangerous when sacrifice is treated as proof of superior moral worth. Once the dead are creditors, the living can become debtors. If a population is represented as having escaped the collective blood price, survival itself may be recoded as evidence of guilt. When that debt is essentialized and made impossible to discharge through ordinary service or loyalty, political authority may claim the right to collect it through coercive suffering.</w:t>
      </w:r>
    </w:p>
    <w:p>
      <w:pPr>
        <w:widowControl w:val="1"/>
      </w:pPr>
      <w:r>
        <w:rPr>
          <w:rFonts w:ascii="Noto Serif" w:hAnsi="Noto Serif"/>
          <w:sz w:val="21"/>
        </w:rPr>
        <w:t>This is a proposition to be tested, narrowed, and potentially rejected. Its value lies precisely in making the chain of reasoning explicit enough that evidence can break it.</w:t>
      </w:r>
    </w:p>
    <w:p>
      <w:pPr>
        <w:pStyle w:val="Heading1"/>
        <w:widowControl w:val="1"/>
      </w:pPr>
      <w:r>
        <w:rPr>
          <w:rFonts w:ascii="Noto Serif" w:hAnsi="Noto Serif"/>
          <w:sz w:val="21"/>
        </w:rPr>
        <w:t>23. What Would Count as a Successful Project?</w:t>
      </w:r>
    </w:p>
    <w:p>
      <w:pPr>
        <w:pStyle w:val="ListBullet"/>
        <w:spacing w:after="60"/>
        <w:widowControl w:val="1"/>
      </w:pPr>
      <w:r>
        <w:rPr>
          <w:rFonts w:ascii="Noto Serif" w:hAnsi="Noto Serif"/>
          <w:sz w:val="21"/>
        </w:rPr>
        <w:t>A concept of sacrificial debt that is clearly distinguishable from existing notions of scapegoating, prejudice, reciprocity, deservingness, and revenge.</w:t>
      </w:r>
    </w:p>
    <w:p>
      <w:pPr>
        <w:pStyle w:val="ListBullet"/>
        <w:spacing w:after="60"/>
        <w:widowControl w:val="1"/>
      </w:pPr>
      <w:r>
        <w:rPr>
          <w:rFonts w:ascii="Noto Serif" w:hAnsi="Noto Serif"/>
          <w:sz w:val="21"/>
        </w:rPr>
        <w:t>A transparent codebook that another researcher can apply to the same primary sources.</w:t>
      </w:r>
    </w:p>
    <w:p>
      <w:pPr>
        <w:pStyle w:val="ListBullet"/>
        <w:spacing w:after="60"/>
        <w:widowControl w:val="1"/>
      </w:pPr>
      <w:r>
        <w:rPr>
          <w:rFonts w:ascii="Noto Serif" w:hAnsi="Noto Serif"/>
          <w:sz w:val="21"/>
        </w:rPr>
        <w:t>Evidence that identifies both where the mechanism appears and where it fails.</w:t>
      </w:r>
    </w:p>
    <w:p>
      <w:pPr>
        <w:pStyle w:val="ListBullet"/>
        <w:spacing w:after="60"/>
        <w:widowControl w:val="1"/>
      </w:pPr>
      <w:r>
        <w:rPr>
          <w:rFonts w:ascii="Noto Serif" w:hAnsi="Noto Serif"/>
          <w:sz w:val="21"/>
        </w:rPr>
        <w:t>A comparative explanation for variation in escalation, not merely a compelling reading of Hitler.</w:t>
      </w:r>
    </w:p>
    <w:p>
      <w:pPr>
        <w:pStyle w:val="ListBullet"/>
        <w:spacing w:after="60"/>
        <w:widowControl w:val="1"/>
      </w:pPr>
      <w:r>
        <w:rPr>
          <w:rFonts w:ascii="Noto Serif" w:hAnsi="Noto Serif"/>
          <w:sz w:val="21"/>
        </w:rPr>
        <w:t>A revised account of Koenigsberg’s contribution that identifies precisely what he discovered and what the new project adds.</w:t>
      </w:r>
    </w:p>
    <w:p>
      <w:pPr>
        <w:pStyle w:val="ListBullet"/>
        <w:spacing w:after="60"/>
        <w:widowControl w:val="1"/>
      </w:pPr>
      <w:r>
        <w:rPr>
          <w:rFonts w:ascii="Noto Serif" w:hAnsi="Noto Serif"/>
          <w:sz w:val="21"/>
        </w:rPr>
        <w:t>A body of negative evidence strong enough that the final theory contains explicit scope conditions.</w:t>
      </w:r>
    </w:p>
    <w:p>
      <w:pPr>
        <w:pStyle w:val="ListBullet"/>
        <w:spacing w:after="60"/>
        <w:widowControl w:val="1"/>
      </w:pPr>
      <w:r>
        <w:rPr>
          <w:rFonts w:ascii="Noto Serif" w:hAnsi="Noto Serif"/>
          <w:sz w:val="21"/>
        </w:rPr>
        <w:t>Scholarly outputs that can be defended without relying on the reader accepting the Foundation’s broader theory of the nation as sacred object.</w:t>
      </w:r>
    </w:p>
    <w:p>
      <w:pPr>
        <w:pStyle w:val="Heading1"/>
        <w:widowControl w:val="1"/>
      </w:pPr>
      <w:r>
        <w:rPr>
          <w:rFonts w:ascii="Noto Serif" w:hAnsi="Noto Serif"/>
          <w:sz w:val="21"/>
        </w:rPr>
        <w:t>24. Preliminary Source and Literature Map</w:t>
      </w:r>
    </w:p>
    <w:p>
      <w:pPr>
        <w:widowControl w:val="1"/>
      </w:pPr>
      <w:r>
        <w:rPr>
          <w:rFonts w:ascii="Noto Serif" w:hAnsi="Noto Serif"/>
          <w:sz w:val="21"/>
        </w:rPr>
        <w:t>The following is a starting bibliography, not a completed literature review. Full bibliographic verification should occur during Phase 1.</w:t>
      </w:r>
    </w:p>
    <w:p>
      <w:pPr>
        <w:pStyle w:val="ListBullet"/>
        <w:spacing w:after="60"/>
        <w:ind w:left="288" w:hanging="144"/>
        <w:widowControl w:val="1"/>
      </w:pPr>
      <w:r>
        <w:rPr>
          <w:rFonts w:ascii="Noto Serif" w:hAnsi="Noto Serif"/>
          <w:sz w:val="21"/>
        </w:rPr>
        <w:t>Akın, Yiğit. “Altruistic Soldiers, Blood-Sucking Profiteers: Social Relations of Sacrifice in the Ottoman Empire during the First World War.” In Not All Quiet on the Ottoman Fronts: Neglected Perspectives on a Global War, 1914–1918, 2020, 33–48.</w:t>
      </w:r>
    </w:p>
    <w:p>
      <w:pPr>
        <w:pStyle w:val="ListBullet"/>
        <w:spacing w:after="60"/>
        <w:ind w:left="288" w:hanging="144"/>
        <w:widowControl w:val="1"/>
      </w:pPr>
      <w:r>
        <w:rPr>
          <w:rFonts w:ascii="Noto Serif" w:hAnsi="Noto Serif"/>
          <w:sz w:val="21"/>
        </w:rPr>
        <w:t>Bartov, Omer. The Eastern Front, 1941–45: German Troops and the Barbarisation of Warfare. Macmillan, 1985/1986; later edition Palgrave, 2001.</w:t>
      </w:r>
    </w:p>
    <w:p>
      <w:pPr>
        <w:pStyle w:val="ListBullet"/>
        <w:spacing w:after="60"/>
        <w:ind w:left="288" w:hanging="144"/>
        <w:widowControl w:val="1"/>
      </w:pPr>
      <w:r>
        <w:rPr>
          <w:rFonts w:ascii="Noto Serif" w:hAnsi="Noto Serif"/>
          <w:sz w:val="21"/>
        </w:rPr>
        <w:t>Bartov, Omer. Hitler’s Army: Soldiers, Nazis, and War in the Third Reich. Oxford University Press, 1991/1994 edition.</w:t>
      </w:r>
    </w:p>
    <w:p>
      <w:pPr>
        <w:pStyle w:val="ListBullet"/>
        <w:spacing w:after="60"/>
        <w:ind w:left="288" w:hanging="144"/>
        <w:widowControl w:val="1"/>
      </w:pPr>
      <w:r>
        <w:rPr>
          <w:rFonts w:ascii="Noto Serif" w:hAnsi="Noto Serif"/>
          <w:sz w:val="21"/>
        </w:rPr>
        <w:t>Bartov, Omer. Murder in Our Midst: The Holocaust, Industrial Killing, and Representation. Oxford University Press, 1996.</w:t>
      </w:r>
    </w:p>
    <w:p>
      <w:pPr>
        <w:pStyle w:val="ListBullet"/>
        <w:spacing w:after="60"/>
        <w:ind w:left="288" w:hanging="144"/>
        <w:widowControl w:val="1"/>
      </w:pPr>
      <w:r>
        <w:rPr>
          <w:rFonts w:ascii="Noto Serif" w:hAnsi="Noto Serif"/>
          <w:sz w:val="21"/>
        </w:rPr>
        <w:t>Burtin, Olivier. “Warfare and Welfare (20th–21st Centuries).” Oxford Research Encyclopedia of Military History, 2026. Useful for the “moral economy of sacrifice and deservingness.”</w:t>
      </w:r>
    </w:p>
    <w:p>
      <w:pPr>
        <w:pStyle w:val="ListBullet"/>
        <w:spacing w:after="60"/>
        <w:ind w:left="288" w:hanging="144"/>
        <w:widowControl w:val="1"/>
      </w:pPr>
      <w:r>
        <w:rPr>
          <w:rFonts w:ascii="Noto Serif" w:hAnsi="Noto Serif"/>
          <w:sz w:val="21"/>
        </w:rPr>
        <w:t>Friedländer, Saul. Nazi Germany and the Jews. Vol. 1, The Years of Persecution, 1933–1939. HarperCollins, 1997; and Vol. 2, The Years of Extermination, 1939–1945. HarperCollins, 2007.</w:t>
      </w:r>
    </w:p>
    <w:p>
      <w:pPr>
        <w:pStyle w:val="ListBullet"/>
        <w:spacing w:after="60"/>
        <w:ind w:left="288" w:hanging="144"/>
        <w:widowControl w:val="1"/>
      </w:pPr>
      <w:r>
        <w:rPr>
          <w:rFonts w:ascii="Noto Serif" w:hAnsi="Noto Serif"/>
          <w:sz w:val="21"/>
        </w:rPr>
        <w:t>Geheran, Michael. Comrades Betrayed: Jewish World War I Veterans under Hitler. Cornell University Press, 2020.</w:t>
      </w:r>
    </w:p>
    <w:p>
      <w:pPr>
        <w:pStyle w:val="ListBullet"/>
        <w:spacing w:after="60"/>
        <w:ind w:left="288" w:hanging="144"/>
        <w:widowControl w:val="1"/>
      </w:pPr>
      <w:r>
        <w:rPr>
          <w:rFonts w:ascii="Noto Serif" w:hAnsi="Noto Serif"/>
          <w:sz w:val="21"/>
        </w:rPr>
        <w:t>Geheran, Michael. “Judenzählung (Jewish Census).” 1914-1918-online: International Encyclopedia of the First World War.</w:t>
      </w:r>
    </w:p>
    <w:p>
      <w:pPr>
        <w:pStyle w:val="ListBullet"/>
        <w:spacing w:after="60"/>
        <w:ind w:left="288" w:hanging="144"/>
        <w:widowControl w:val="1"/>
      </w:pPr>
      <w:r>
        <w:rPr>
          <w:rFonts w:ascii="Noto Serif" w:hAnsi="Noto Serif"/>
          <w:sz w:val="21"/>
        </w:rPr>
        <w:t>Gerwarth, Robert. The Vanquished: Why the First World War Failed to End, 1917–1923. Farrar, Straus and Giroux / Allen Lane, 2016.</w:t>
      </w:r>
    </w:p>
    <w:p>
      <w:pPr>
        <w:pStyle w:val="ListBullet"/>
        <w:spacing w:after="60"/>
        <w:ind w:left="288" w:hanging="144"/>
        <w:widowControl w:val="1"/>
      </w:pPr>
      <w:r>
        <w:rPr>
          <w:rFonts w:ascii="Noto Serif" w:hAnsi="Noto Serif"/>
          <w:sz w:val="21"/>
        </w:rPr>
        <w:t>Kershaw, Ian. Hitler, 1889–1936: Hubris. Allen Lane, 1998; and Hitler, 1936–1945: Nemesis. Allen Lane, 2000.</w:t>
      </w:r>
    </w:p>
    <w:p>
      <w:pPr>
        <w:pStyle w:val="ListBullet"/>
        <w:spacing w:after="60"/>
        <w:ind w:left="288" w:hanging="144"/>
        <w:widowControl w:val="1"/>
      </w:pPr>
      <w:r>
        <w:rPr>
          <w:rFonts w:ascii="Noto Serif" w:hAnsi="Noto Serif"/>
          <w:sz w:val="21"/>
        </w:rPr>
        <w:t>Koenigsberg, Richard A. “The Sacrificial Meaning of the Holocaust.” Paper presented at the 20th Annual Holocaust Conference, Millersville University, 3 April 2000. Library of Social Science PDF.</w:t>
      </w:r>
    </w:p>
    <w:p>
      <w:pPr>
        <w:pStyle w:val="ListBullet"/>
        <w:spacing w:after="60"/>
        <w:ind w:left="288" w:hanging="144"/>
        <w:widowControl w:val="1"/>
      </w:pPr>
      <w:r>
        <w:rPr>
          <w:rFonts w:ascii="Noto Serif" w:hAnsi="Noto Serif"/>
          <w:sz w:val="21"/>
        </w:rPr>
        <w:t>Mosse, George L. Fallen Soldiers: Reshaping the Memory of the World Wars. Oxford University Press, 1990.</w:t>
      </w:r>
    </w:p>
    <w:p>
      <w:pPr>
        <w:pStyle w:val="ListBullet"/>
        <w:spacing w:after="60"/>
        <w:ind w:left="288" w:hanging="144"/>
        <w:widowControl w:val="1"/>
      </w:pPr>
      <w:r>
        <w:rPr>
          <w:rFonts w:ascii="Noto Serif" w:hAnsi="Noto Serif"/>
          <w:sz w:val="21"/>
        </w:rPr>
        <w:t>Traverso, Enzo. The Origins of Nazi Violence. The New Press, 2003.</w:t>
      </w:r>
    </w:p>
    <w:p>
      <w:pPr>
        <w:pStyle w:val="ListBullet"/>
        <w:spacing w:after="60"/>
        <w:ind w:left="288" w:hanging="144"/>
        <w:widowControl w:val="1"/>
      </w:pPr>
      <w:r>
        <w:rPr>
          <w:rFonts w:ascii="Noto Serif" w:hAnsi="Noto Serif"/>
          <w:sz w:val="21"/>
        </w:rPr>
        <w:t>“Social Conflict.” 1914-1918-online: International Encyclopedia of the First World War. Especially the section “The Social Relations of Sacrifice.”</w:t>
      </w:r>
    </w:p>
    <w:p>
      <w:pPr>
        <w:pStyle w:val="ListBullet"/>
        <w:spacing w:after="60"/>
        <w:ind w:left="288" w:hanging="144"/>
        <w:widowControl w:val="1"/>
      </w:pPr>
      <w:r>
        <w:rPr>
          <w:rFonts w:ascii="Noto Serif" w:hAnsi="Noto Serif"/>
          <w:sz w:val="21"/>
        </w:rPr>
        <w:t>“Conscription (Australia).” 1914-1918-online: International Encyclopedia of the First World War. Especially the discussion of equality of sacrifice and the question why one family’s son should die while another’s lives.</w:t>
      </w:r>
    </w:p>
    <w:p>
      <w:pPr>
        <w:pStyle w:val="ListBullet"/>
        <w:spacing w:after="60"/>
        <w:ind w:left="288" w:hanging="144"/>
        <w:widowControl w:val="1"/>
      </w:pPr>
      <w:r>
        <w:rPr>
          <w:rFonts w:ascii="Noto Serif" w:hAnsi="Noto Serif"/>
          <w:sz w:val="21"/>
        </w:rPr>
        <w:t>“Citizenship (Great Britain)” and “Social Conflict and Control, Protest and Repression (Great Britain and Ireland).” 1914-1918-online: International Encyclopedia of the First World War.</w:t>
      </w:r>
    </w:p>
    <w:p>
      <w:pPr>
        <w:pStyle w:val="ListBullet"/>
        <w:spacing w:after="60"/>
        <w:ind w:left="288" w:hanging="144"/>
        <w:widowControl w:val="1"/>
      </w:pPr>
      <w:r>
        <w:rPr>
          <w:rFonts w:ascii="Noto Serif" w:hAnsi="Noto Serif"/>
          <w:sz w:val="21"/>
        </w:rPr>
        <w:t>“Labour (France).” 1914-1918-online: International Encyclopedia of the First World War. Especially the “blood tax” and embusqué controversy.</w:t>
      </w:r>
    </w:p>
    <w:p>
      <w:pPr>
        <w:pStyle w:val="ListBullet"/>
      </w:pPr>
      <w:r>
        <w:t>Goertz, Gary. Social Science Concepts: A User’s Guide. Princeton University Press, 2006. Methodological guide for concept formation, dimensions, boundaries, and measurement.</w:t>
      </w:r>
    </w:p>
    <w:p>
      <w:pPr>
        <w:pStyle w:val="ListBullet"/>
      </w:pPr>
      <w:r>
        <w:t>Gerring, John, and Lee Cojocaru. “Selecting Cases for Intensive Analysis: A Diversity of Goals and Methods.” Sociological Methods &amp; Research, 2016. Useful for clarifying the distinct functions of mechanism-discovery and contrast cases.</w:t>
      </w:r>
    </w:p>
    <w:p>
      <w:pPr>
        <w:pStyle w:val="ListBullet"/>
      </w:pPr>
      <w:r>
        <w:t>Slater, Dan, and Daniel Ziblatt. “The Enduring Indispensability of the Controlled Comparison.” Comparative Political Studies, 2013. Relevant to the logic of structured historical comparison.</w:t>
      </w:r>
    </w:p>
    <w:p>
      <w:pPr>
        <w:pStyle w:val="Heading1"/>
        <w:widowControl w:val="1"/>
      </w:pPr>
      <w:r>
        <w:rPr>
          <w:rFonts w:ascii="Noto Serif" w:hAnsi="Noto Serif"/>
          <w:sz w:val="21"/>
        </w:rPr>
        <w:t>25. Preliminary Evidence Notes for the Proposal</w:t>
      </w:r>
    </w:p>
    <w:p>
      <w:pPr>
        <w:widowControl w:val="1"/>
      </w:pPr>
      <w:r>
        <w:rPr>
          <w:rFonts w:ascii="Noto Serif" w:hAnsi="Noto Serif"/>
          <w:sz w:val="21"/>
        </w:rPr>
        <w:t>Several sources are especially important because they establish that the project begins from documented historical patterns rather than from analogy alone:</w:t>
      </w:r>
    </w:p>
    <w:p>
      <w:pPr>
        <w:pStyle w:val="ListBullet"/>
        <w:spacing w:after="60"/>
        <w:widowControl w:val="1"/>
      </w:pPr>
      <w:r>
        <w:rPr>
          <w:rFonts w:ascii="Noto Serif" w:hAnsi="Noto Serif"/>
          <w:sz w:val="21"/>
        </w:rPr>
        <w:t>The International Encyclopedia of the First World War describes a wartime “community of sacrifice” that excluded shirkers and profiteers, and states that acceptance of hardship depended on its equal distribution.</w:t>
      </w:r>
    </w:p>
    <w:p>
      <w:pPr>
        <w:pStyle w:val="ListBullet"/>
        <w:spacing w:after="60"/>
        <w:widowControl w:val="1"/>
      </w:pPr>
      <w:r>
        <w:rPr>
          <w:rFonts w:ascii="Noto Serif" w:hAnsi="Noto Serif"/>
          <w:sz w:val="21"/>
        </w:rPr>
        <w:t>Its article on the German Judenzählung explains that the 1916 census was driven by unfounded accusations that Jews were evading frontline service and notes that stereotypes of Jewish unwillingness to self-sacrifice for the Fatherland were turned into a political weapon.</w:t>
      </w:r>
    </w:p>
    <w:p>
      <w:pPr>
        <w:pStyle w:val="ListBullet"/>
        <w:spacing w:after="60"/>
        <w:widowControl w:val="1"/>
      </w:pPr>
      <w:r>
        <w:rPr>
          <w:rFonts w:ascii="Noto Serif" w:hAnsi="Noto Serif"/>
          <w:sz w:val="21"/>
        </w:rPr>
        <w:t>The Australia conscription entry explicitly records the argument that the burden of war should be equitably shared and formulates the grievance as “why should my son, father or husband die while yours lives?”</w:t>
      </w:r>
    </w:p>
    <w:p>
      <w:pPr>
        <w:pStyle w:val="ListBullet"/>
        <w:spacing w:after="60"/>
        <w:widowControl w:val="1"/>
      </w:pPr>
      <w:r>
        <w:rPr>
          <w:rFonts w:ascii="Noto Serif" w:hAnsi="Noto Serif"/>
          <w:sz w:val="21"/>
        </w:rPr>
        <w:t>The British citizenship literature records intense public hostility toward men labeled shirkers and toward conscientious objectors, including public shaming.</w:t>
      </w:r>
    </w:p>
    <w:p>
      <w:pPr>
        <w:pStyle w:val="ListBullet"/>
        <w:spacing w:after="60"/>
        <w:widowControl w:val="1"/>
      </w:pPr>
      <w:r>
        <w:rPr>
          <w:rFonts w:ascii="Noto Serif" w:hAnsi="Noto Serif"/>
          <w:sz w:val="21"/>
        </w:rPr>
        <w:t>French labor history describes military service as an egalitarian “blood tax” and documents resentment toward embusqués who appeared to escape the front.</w:t>
      </w:r>
    </w:p>
    <w:p>
      <w:pPr>
        <w:pStyle w:val="ListBullet"/>
        <w:spacing w:after="60"/>
        <w:widowControl w:val="1"/>
      </w:pPr>
      <w:r>
        <w:rPr>
          <w:rFonts w:ascii="Noto Serif" w:hAnsi="Noto Serif"/>
          <w:sz w:val="21"/>
        </w:rPr>
        <w:t>Koenigsberg’s “Sacrificial Meaning of the Holocaust” explicitly argues that German soldiers were primary sacrificial victims for Hitler and quotes Hitler reasoning that a leader willing to send valuable German blood into war possessed the right to destroy allegedly inferior populations.</w:t>
      </w:r>
    </w:p>
    <w:p>
      <w:pPr>
        <w:pStyle w:val="ListBullet"/>
        <w:spacing w:after="60"/>
        <w:widowControl w:val="1"/>
      </w:pPr>
      <w:r>
        <w:rPr>
          <w:rFonts w:ascii="Noto Serif" w:hAnsi="Noto Serif"/>
          <w:sz w:val="21"/>
        </w:rPr>
        <w:t>Michael Geheran’s work on Jewish WWI veterans provides a direct empirical bridge between wartime sacrifice, claims to Germanness, and the later racial state.</w:t>
      </w:r>
    </w:p>
    <w:p>
      <w:pPr>
        <w:pStyle w:val="Heading1"/>
        <w:widowControl w:val="1"/>
      </w:pPr>
      <w:r>
        <w:rPr>
          <w:rFonts w:ascii="Noto Serif" w:hAnsi="Noto Serif"/>
          <w:sz w:val="21"/>
        </w:rPr>
        <w:t>26. Final Recommendation</w:t>
      </w:r>
    </w:p>
    <w:p>
      <w:pPr>
        <w:widowControl w:val="1"/>
      </w:pPr>
      <w:r>
        <w:rPr>
          <w:rFonts w:ascii="Noto Serif" w:hAnsi="Noto Serif"/>
          <w:sz w:val="21"/>
        </w:rPr>
        <w:t>Proceed with the project as a comparative theory-building research program rather than as a Holocaust-only validation exercise or a proposal for a single paper. The immediate objective should not be to prove that Koenigsberg was right. It should be to determine whether his observation reveals a general mechanism—sacrificial debt—that can be defined independently, detected in primary sources, distinguished from sacrificial asymmetry and rival explanations, falsified, and used to explain variation across political systems. Within that program, designate “When Survival Becomes Guilt: World War I, Jewish Military Service, and the Making of an Unpayable Debt” as the recommended postgraduate empirical paper because it subjects the non-dischargeability claim to a focused historical test.</w:t>
      </w:r>
    </w:p>
    <w:p>
      <w:pPr>
        <w:pStyle w:val="Quote"/>
        <w:spacing w:before="100" w:after="140"/>
        <w:ind w:left="504" w:right="504"/>
        <w:widowControl w:val="1"/>
      </w:pPr>
      <w:r>
        <w:rPr>
          <w:rFonts w:ascii="Noto Serif" w:hAnsi="Noto Serif"/>
          <w:i/>
          <w:sz w:val="21"/>
        </w:rPr>
        <w:t>Koenigsberg supplies the generative observation. The Foundation’s contribution should be to identify the mechanism, define its scope, explain its escalation, and show where it does not operate.</w:t>
      </w:r>
    </w:p>
    <w:p>
      <w:pPr>
        <w:pStyle w:val="Heading1"/>
        <w:widowControl w:val="1"/>
      </w:pPr>
      <w:r>
        <w:rPr>
          <w:rFonts w:ascii="Noto Serif" w:hAnsi="Noto Serif"/>
          <w:sz w:val="21"/>
        </w:rPr>
        <w:t>Appendix A. One-Page Research Charter</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2232"/>
            <w:shd w:fill="E6E9ED"/>
            <w:tcMar>
              <w:top w:w="90" w:type="dxa"/>
              <w:start w:w="100" w:type="dxa"/>
              <w:bottom w:w="90" w:type="dxa"/>
              <w:end w:w="100" w:type="dxa"/>
            </w:tcMar>
          </w:tcPr>
          <w:p>
            <w:pPr>
              <w:jc w:val="left"/>
            </w:pPr>
            <w:r>
              <w:rPr>
                <w:rFonts w:ascii="Lato" w:hAnsi="Lato"/>
                <w:b/>
                <w:sz w:val="17"/>
              </w:rPr>
              <w:t>Element</w:t>
            </w:r>
          </w:p>
        </w:tc>
        <w:tc>
          <w:tcPr>
            <w:tcW w:type="dxa" w:w="7776"/>
            <w:shd w:fill="E6E9ED"/>
            <w:tcMar>
              <w:top w:w="90" w:type="dxa"/>
              <w:start w:w="100" w:type="dxa"/>
              <w:bottom w:w="90" w:type="dxa"/>
              <w:end w:w="100" w:type="dxa"/>
            </w:tcMar>
          </w:tcPr>
          <w:p>
            <w:pPr>
              <w:jc w:val="left"/>
            </w:pPr>
            <w:r>
              <w:rPr>
                <w:rFonts w:ascii="Lato" w:hAnsi="Lato"/>
                <w:b/>
                <w:sz w:val="17"/>
              </w:rPr>
              <w:t>Working decision</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Project</w:t>
            </w:r>
          </w:p>
        </w:tc>
        <w:tc>
          <w:tcPr>
            <w:tcW w:type="dxa" w:w="7776"/>
            <w:tcMar>
              <w:top w:w="90" w:type="dxa"/>
              <w:start w:w="100" w:type="dxa"/>
              <w:bottom w:w="90" w:type="dxa"/>
              <w:end w:w="100" w:type="dxa"/>
            </w:tcMar>
            <w:vAlign w:val="top"/>
          </w:tcPr>
          <w:p>
            <w:r>
              <w:t>Sacrificial Debt: How Unequal Suffering Turns Survival into Political Guilt — comparative theory-building research program prospectus.</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Purpose</w:t>
            </w:r>
          </w:p>
        </w:tc>
        <w:tc>
          <w:tcPr>
            <w:tcW w:type="dxa" w:w="7776"/>
            <w:tcMar>
              <w:top w:w="90" w:type="dxa"/>
              <w:start w:w="100" w:type="dxa"/>
              <w:bottom w:w="90" w:type="dxa"/>
              <w:end w:w="100" w:type="dxa"/>
            </w:tcMar>
            <w:vAlign w:val="top"/>
          </w:tcPr>
          <w:p>
            <w:pPr>
              <w:spacing w:after="0"/>
            </w:pPr>
            <w:r>
              <w:rPr>
                <w:rFonts w:ascii="Noto Serif" w:hAnsi="Noto Serif"/>
                <w:sz w:val="17"/>
              </w:rPr>
              <w:t>Develop and test a comparative theory of how perceived exemption from collective sacrifice can become group guilt and coercive political debt.</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Central question</w:t>
            </w:r>
          </w:p>
        </w:tc>
        <w:tc>
          <w:tcPr>
            <w:tcW w:type="dxa" w:w="7776"/>
            <w:tcMar>
              <w:top w:w="90" w:type="dxa"/>
              <w:start w:w="100" w:type="dxa"/>
              <w:bottom w:w="90" w:type="dxa"/>
              <w:end w:w="100" w:type="dxa"/>
            </w:tcMar>
            <w:vAlign w:val="top"/>
          </w:tcPr>
          <w:p>
            <w:pPr>
              <w:spacing w:after="0"/>
            </w:pPr>
            <w:r>
              <w:rPr>
                <w:rFonts w:ascii="Noto Serif" w:hAnsi="Noto Serif"/>
                <w:sz w:val="17"/>
              </w:rPr>
              <w:t>Under what conditions does perceived exemption from collective sacrifice become an unpayable political debt that legitimates coercive suffering or death?</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Generative case</w:t>
            </w:r>
          </w:p>
        </w:tc>
        <w:tc>
          <w:tcPr>
            <w:tcW w:type="dxa" w:w="7776"/>
            <w:tcMar>
              <w:top w:w="90" w:type="dxa"/>
              <w:start w:w="100" w:type="dxa"/>
              <w:bottom w:w="90" w:type="dxa"/>
              <w:end w:w="100" w:type="dxa"/>
            </w:tcMar>
            <w:vAlign w:val="top"/>
          </w:tcPr>
          <w:p>
            <w:pPr>
              <w:spacing w:after="0"/>
            </w:pPr>
            <w:r>
              <w:rPr>
                <w:rFonts w:ascii="Noto Serif" w:hAnsi="Noto Serif"/>
                <w:sz w:val="17"/>
              </w:rPr>
              <w:t>Koenigsberg’s analysis of Hitler, German military sacrifice, and Jewish death.</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Primary mechanism</w:t>
            </w:r>
          </w:p>
        </w:tc>
        <w:tc>
          <w:tcPr>
            <w:tcW w:type="dxa" w:w="7776"/>
            <w:tcMar>
              <w:top w:w="90" w:type="dxa"/>
              <w:start w:w="100" w:type="dxa"/>
              <w:bottom w:w="90" w:type="dxa"/>
              <w:end w:w="100" w:type="dxa"/>
            </w:tcMar>
            <w:vAlign w:val="top"/>
          </w:tcPr>
          <w:p>
            <w:r>
              <w:t>Module A: sacrificial mobilization → Module B: asymmetry and moral comparison → Module C: essentialization and political activation → Module D: possible coercive equalization / closure.</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Initial cases</w:t>
            </w:r>
          </w:p>
        </w:tc>
        <w:tc>
          <w:tcPr>
            <w:tcW w:type="dxa" w:w="7776"/>
            <w:tcMar>
              <w:top w:w="90" w:type="dxa"/>
              <w:start w:w="100" w:type="dxa"/>
              <w:bottom w:w="90" w:type="dxa"/>
              <w:end w:w="100" w:type="dxa"/>
            </w:tcMar>
            <w:vAlign w:val="top"/>
          </w:tcPr>
          <w:p>
            <w:r>
              <w:t>Germany (mechanism discovery); Britain (individualized stigma contrast); Australia (explicit equality-of-sacrifice contrast); France (republican burden-sharing contrast).</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Primary method</w:t>
            </w:r>
          </w:p>
        </w:tc>
        <w:tc>
          <w:tcPr>
            <w:tcW w:type="dxa" w:w="7776"/>
            <w:tcMar>
              <w:top w:w="90" w:type="dxa"/>
              <w:start w:w="100" w:type="dxa"/>
              <w:bottom w:w="90" w:type="dxa"/>
              <w:end w:w="100" w:type="dxa"/>
            </w:tcMar>
            <w:vAlign w:val="top"/>
          </w:tcPr>
          <w:p>
            <w:r>
              <w:t>Manual proposition-level coding, process tracing, structured focused comparison, negative evidence, emic/etic distinction, and claim-role coding.</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Do not do</w:t>
            </w:r>
          </w:p>
        </w:tc>
        <w:tc>
          <w:tcPr>
            <w:tcW w:type="dxa" w:w="7776"/>
            <w:tcMar>
              <w:top w:w="90" w:type="dxa"/>
              <w:start w:w="100" w:type="dxa"/>
              <w:bottom w:w="90" w:type="dxa"/>
              <w:end w:w="100" w:type="dxa"/>
            </w:tcMar>
            <w:vAlign w:val="top"/>
          </w:tcPr>
          <w:p>
            <w:pPr>
              <w:spacing w:after="0"/>
            </w:pPr>
            <w:r>
              <w:rPr>
                <w:rFonts w:ascii="Noto Serif" w:hAnsi="Noto Serif"/>
                <w:sz w:val="17"/>
              </w:rPr>
              <w:t>Do not equate war deaths with genocide; do not code generic hatred as debt; do not automate before codebook stability; do not claim novelty before the audit.</w:t>
            </w:r>
          </w:p>
        </w:tc>
      </w:tr>
      <w:tr>
        <w:trPr>
          <w:cantSplit/>
        </w:trPr>
        <w:tc>
          <w:tcPr>
            <w:tcW w:type="dxa" w:w="2232"/>
            <w:tcMar>
              <w:top w:w="90" w:type="dxa"/>
              <w:start w:w="100" w:type="dxa"/>
              <w:bottom w:w="90" w:type="dxa"/>
              <w:end w:w="100" w:type="dxa"/>
            </w:tcMar>
            <w:vAlign w:val="top"/>
          </w:tcPr>
          <w:p>
            <w:pPr>
              <w:spacing w:after="0"/>
            </w:pPr>
            <w:r>
              <w:rPr>
                <w:rFonts w:ascii="Noto Serif" w:hAnsi="Noto Serif"/>
                <w:sz w:val="17"/>
              </w:rPr>
              <w:t>Pilot success</w:t>
            </w:r>
          </w:p>
        </w:tc>
        <w:tc>
          <w:tcPr>
            <w:tcW w:type="dxa" w:w="7776"/>
            <w:tcMar>
              <w:top w:w="90" w:type="dxa"/>
              <w:start w:w="100" w:type="dxa"/>
              <w:bottom w:w="90" w:type="dxa"/>
              <w:end w:w="100" w:type="dxa"/>
            </w:tcMar>
            <w:vAlign w:val="top"/>
          </w:tcPr>
          <w:p>
            <w:r>
              <w:t>Mechanism is codeable, recurrent, discriminates among cases, survives rival explanations, clarifies its causal role, and produces at least one falsified or revised hypothesis.</w:t>
            </w:r>
          </w:p>
        </w:tc>
      </w:tr>
      <w:tr>
        <w:trPr>
          <w:cantSplit/>
        </w:trPr>
        <w:tc>
          <w:tcPr>
            <w:tcW w:type="dxa" w:w="2232"/>
            <w:tcMar>
              <w:top w:w="90" w:type="dxa"/>
              <w:start w:w="100" w:type="dxa"/>
              <w:bottom w:w="90" w:type="dxa"/>
              <w:end w:w="100" w:type="dxa"/>
            </w:tcMar>
            <w:vAlign w:val="top"/>
          </w:tcPr>
          <w:p>
            <w:r>
              <w:t>Recommended postgraduate paper</w:t>
            </w:r>
          </w:p>
        </w:tc>
        <w:tc>
          <w:tcPr>
            <w:tcW w:type="dxa" w:w="7776"/>
            <w:tcMar>
              <w:top w:w="90" w:type="dxa"/>
              <w:start w:w="100" w:type="dxa"/>
              <w:bottom w:w="90" w:type="dxa"/>
              <w:end w:w="100" w:type="dxa"/>
            </w:tcMar>
            <w:vAlign w:val="top"/>
          </w:tcPr>
          <w:p>
            <w:r>
              <w:t>When Survival Becomes Guilt: World War I, Jewish Military Service, and the Making of an Unpayable Debt.</w:t>
            </w:r>
          </w:p>
        </w:tc>
      </w:tr>
    </w:tbl>
    <w:p>
      <w:pPr>
        <w:spacing w:after="0"/>
        <w:widowControl w:val="1"/>
      </w:pPr>
    </w:p>
    <w:p>
      <w:pPr>
        <w:pStyle w:val="Heading1"/>
        <w:widowControl w:val="1"/>
      </w:pPr>
      <w:r>
        <w:rPr>
          <w:rFonts w:ascii="Noto Serif" w:hAnsi="Noto Serif"/>
          <w:sz w:val="21"/>
        </w:rPr>
        <w:t>Appendix B. Core Diagnostic Questions for Any Case</w:t>
      </w:r>
    </w:p>
    <w:p>
      <w:pPr>
        <w:spacing w:after="60"/>
        <w:ind w:left="288" w:hanging="288"/>
        <w:widowControl w:val="1"/>
      </w:pPr>
      <w:r>
        <w:rPr>
          <w:rFonts w:ascii="Noto Serif" w:hAnsi="Noto Serif"/>
          <w:sz w:val="21"/>
        </w:rPr>
        <w:t>1. What must be preserved, redeemed, purified, or made real through sacrifice?</w:t>
      </w:r>
    </w:p>
    <w:p>
      <w:pPr>
        <w:spacing w:after="60"/>
        <w:ind w:left="288" w:hanging="288"/>
        <w:widowControl w:val="1"/>
      </w:pPr>
      <w:r>
        <w:rPr>
          <w:rFonts w:ascii="Noto Serif" w:hAnsi="Noto Serif"/>
          <w:sz w:val="21"/>
        </w:rPr>
        <w:t>2. Who is asked or compelled to give?</w:t>
      </w:r>
    </w:p>
    <w:p>
      <w:pPr>
        <w:spacing w:after="60"/>
        <w:ind w:left="288" w:hanging="288"/>
        <w:widowControl w:val="1"/>
      </w:pPr>
      <w:r>
        <w:rPr>
          <w:rFonts w:ascii="Noto Serif" w:hAnsi="Noto Serif"/>
          <w:sz w:val="21"/>
        </w:rPr>
        <w:t>3. What exactly is surrendered?</w:t>
      </w:r>
    </w:p>
    <w:p>
      <w:pPr>
        <w:spacing w:after="60"/>
        <w:ind w:left="288" w:hanging="288"/>
        <w:widowControl w:val="1"/>
      </w:pPr>
      <w:r>
        <w:rPr>
          <w:rFonts w:ascii="Noto Serif" w:hAnsi="Noto Serif"/>
          <w:sz w:val="21"/>
        </w:rPr>
        <w:t>4. Who interprets the surrender as sacrifice?</w:t>
      </w:r>
    </w:p>
    <w:p>
      <w:pPr>
        <w:spacing w:after="60"/>
        <w:ind w:left="288" w:hanging="288"/>
        <w:widowControl w:val="1"/>
      </w:pPr>
      <w:r>
        <w:rPr>
          <w:rFonts w:ascii="Noto Serif" w:hAnsi="Noto Serif"/>
          <w:sz w:val="21"/>
        </w:rPr>
        <w:t>5. Who is represented as having escaped the burden?</w:t>
      </w:r>
    </w:p>
    <w:p>
      <w:pPr>
        <w:spacing w:after="60"/>
        <w:ind w:left="288" w:hanging="288"/>
        <w:widowControl w:val="1"/>
      </w:pPr>
      <w:r>
        <w:rPr>
          <w:rFonts w:ascii="Noto Serif" w:hAnsi="Noto Serif"/>
          <w:sz w:val="21"/>
        </w:rPr>
        <w:t>6. Is the inequality factual, perceived, fabricated, or deliberately exaggerated?</w:t>
      </w:r>
    </w:p>
    <w:p>
      <w:pPr>
        <w:spacing w:after="60"/>
        <w:ind w:left="288" w:hanging="288"/>
        <w:widowControl w:val="1"/>
      </w:pPr>
      <w:r>
        <w:rPr>
          <w:rFonts w:ascii="Noto Serif" w:hAnsi="Noto Serif"/>
          <w:sz w:val="21"/>
        </w:rPr>
        <w:t>7. Is survival itself contrasted with the suffering of others?</w:t>
      </w:r>
    </w:p>
    <w:p>
      <w:pPr>
        <w:spacing w:after="60"/>
        <w:ind w:left="288" w:hanging="288"/>
        <w:widowControl w:val="1"/>
      </w:pPr>
      <w:r>
        <w:rPr>
          <w:rFonts w:ascii="Noto Serif" w:hAnsi="Noto Serif"/>
          <w:sz w:val="21"/>
        </w:rPr>
        <w:t>8. Does the sacrificer become morally superior because of the sacrifice?</w:t>
      </w:r>
    </w:p>
    <w:p>
      <w:pPr>
        <w:spacing w:after="60"/>
        <w:ind w:left="288" w:hanging="288"/>
        <w:widowControl w:val="1"/>
      </w:pPr>
      <w:r>
        <w:rPr>
          <w:rFonts w:ascii="Noto Serif" w:hAnsi="Noto Serif"/>
          <w:sz w:val="21"/>
        </w:rPr>
        <w:t>9. Does the survivor become morally inferior because of survival?</w:t>
      </w:r>
    </w:p>
    <w:p>
      <w:pPr>
        <w:spacing w:after="60"/>
        <w:ind w:left="288" w:hanging="288"/>
        <w:widowControl w:val="1"/>
      </w:pPr>
      <w:r>
        <w:rPr>
          <w:rFonts w:ascii="Noto Serif" w:hAnsi="Noto Serif"/>
          <w:sz w:val="21"/>
        </w:rPr>
        <w:t>10. Is an obligation of repayment stated or implied, and is the debt language emic (actor-stated) or etic (researcher-reconstructed)?</w:t>
      </w:r>
    </w:p>
    <w:p>
      <w:pPr>
        <w:spacing w:after="60"/>
        <w:ind w:left="288" w:hanging="288"/>
        <w:widowControl w:val="1"/>
      </w:pPr>
      <w:r>
        <w:rPr>
          <w:rFonts w:ascii="Noto Serif" w:hAnsi="Noto Serif"/>
          <w:sz w:val="21"/>
        </w:rPr>
        <w:t>11. Can the alleged debtor discharge the obligation through service or contribution?</w:t>
      </w:r>
    </w:p>
    <w:p>
      <w:pPr>
        <w:spacing w:after="60"/>
        <w:ind w:left="288" w:hanging="288"/>
        <w:widowControl w:val="1"/>
      </w:pPr>
      <w:r>
        <w:rPr>
          <w:rFonts w:ascii="Noto Serif" w:hAnsi="Noto Serif"/>
          <w:sz w:val="21"/>
        </w:rPr>
        <w:t>12. Does the debt attach to individuals or to an inherited/essentialized group identity?</w:t>
      </w:r>
    </w:p>
    <w:p>
      <w:pPr>
        <w:spacing w:after="60"/>
        <w:ind w:left="288" w:hanging="288"/>
        <w:widowControl w:val="1"/>
      </w:pPr>
      <w:r>
        <w:rPr>
          <w:rFonts w:ascii="Noto Serif" w:hAnsi="Noto Serif"/>
          <w:sz w:val="21"/>
        </w:rPr>
        <w:t>13. Who claims standing to collect the debt?</w:t>
      </w:r>
    </w:p>
    <w:p>
      <w:pPr>
        <w:spacing w:after="60"/>
        <w:ind w:left="288" w:hanging="288"/>
        <w:widowControl w:val="1"/>
      </w:pPr>
      <w:r>
        <w:rPr>
          <w:rFonts w:ascii="Noto Serif" w:hAnsi="Noto Serif"/>
          <w:sz w:val="21"/>
        </w:rPr>
        <w:t>14. What institutional mechanisms are available to impose payment?</w:t>
      </w:r>
    </w:p>
    <w:p>
      <w:pPr>
        <w:spacing w:after="60"/>
        <w:ind w:left="288" w:hanging="288"/>
        <w:widowControl w:val="1"/>
      </w:pPr>
      <w:r>
        <w:rPr>
          <w:rFonts w:ascii="Noto Serif" w:hAnsi="Noto Serif"/>
          <w:sz w:val="21"/>
        </w:rPr>
        <w:t>15. At what point does punishment become represented as justice, balance, redemption, purification, or equalization, and what role does that framing play: classificatory, motivational, legitimating, escalatory, or decision-causal?</w:t>
      </w:r>
    </w:p>
    <w:p>
      <w:pPr>
        <w:spacing w:after="60"/>
        <w:ind w:left="288" w:hanging="288"/>
        <w:widowControl w:val="1"/>
      </w:pPr>
      <w:r>
        <w:rPr>
          <w:rFonts w:ascii="Noto Serif" w:hAnsi="Noto Serif"/>
          <w:sz w:val="21"/>
        </w:rPr>
        <w:t>16. What evidence shows that the mechanism did not operate, stopped, or was resisted?</w:t>
      </w:r>
    </w:p>
    <w:sectPr w:rsidR="00FC693F" w:rsidRPr="0006063C" w:rsidSect="00034616">
      <w:footerReference w:type="default" r:id="rId9"/>
      <w:pgSz w:w="12240" w:h="15840"/>
      <w:pgMar w:top="1080" w:right="1224" w:bottom="1008"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064"/>
      <w:gridCol w:w="1728"/>
    </w:tblGrid>
    <w:tr>
      <w:tc>
        <w:tcPr>
          <w:tcW w:type="dxa" w:w="4896"/>
          <w:tcMar>
            <w:top w:w="0" w:type="dxa"/>
            <w:start w:w="0" w:type="dxa"/>
            <w:bottom w:w="0" w:type="dxa"/>
            <w:end w:w="0" w:type="dxa"/>
          </w:tcMar>
        </w:tcPr>
        <w:p>
          <w:r>
            <w:t>Foundation for the Study of Political Pathology | Research Program Prospectus</w:t>
          </w:r>
        </w:p>
      </w:tc>
      <w:tc>
        <w:tcPr>
          <w:tcW w:type="dxa" w:w="4896"/>
          <w:tcMar>
            <w:top w:w="0" w:type="dxa"/>
            <w:start w:w="0" w:type="dxa"/>
            <w:bottom w:w="0" w:type="dxa"/>
            <w:end w:w="0" w:type="dxa"/>
          </w:tcMar>
        </w:tcPr>
        <w:p>
          <w:pPr>
            <w:jc w:val="right"/>
          </w:pPr>
          <w:r>
            <w:rPr>
              <w:rFonts w:ascii="Lato" w:hAnsi="Lato"/>
              <w:color w:val="646464"/>
              <w:sz w:val="16"/>
            </w:rPr>
            <w:t xml:space="preserve">Page </w:t>
          </w:r>
          <w:r>
            <w:rPr>
              <w:rFonts w:ascii="Lato" w:hAnsi="Lato"/>
              <w:color w:val="646464"/>
              <w:sz w:val="16"/>
            </w:rP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Noto Serif" w:hAnsi="Noto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ato" w:hAnsi="Lato"/>
      <w:b/>
      <w:bCs/>
      <w:color w:val="202934"/>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ato" w:hAnsi="Lato"/>
      <w:b/>
      <w:bCs/>
      <w:color w:val="37415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ato" w:hAnsi="Lato"/>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ato" w:hAnsi="Lato"/>
      <w:b/>
      <w:color w:val="20293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erif" w:hAnsi="Noto Serif"/>
      <w:sz w:val="21"/>
    </w:rPr>
  </w:style>
  <w:style w:type="paragraph" w:styleId="ListBullet2">
    <w:name w:val="List Bullet 2"/>
    <w:basedOn w:val="Normal"/>
    <w:uiPriority w:val="99"/>
    <w:unhideWhenUsed/>
    <w:rsid w:val="00326F90"/>
    <w:pPr>
      <w:numPr>
        <w:numId w:val="2"/>
      </w:numPr>
      <w:contextualSpacing/>
    </w:pPr>
    <w:rPr>
      <w:rFonts w:ascii="Noto Serif" w:hAnsi="Noto Serif"/>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erif" w:hAnsi="Noto Seri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Noto Serif" w:hAnsi="Noto Serif"/>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Sacrificial Debt: How Unequal Suffering Turns Survival into Political Guilt</dc:title>
  <dc:subject>Comparative research proposal for the Foundation for the Study of Political Pathology</dc:subject>
  <dc:creator>Foundation for the Study of Political Pathology</dc:creator>
  <cp:keywords>sacrifice, political pathology, sacrificial debt, Holocaust, First World War, comparative history</cp:keywords>
  <dc:description>generated by python-docx</dc:description>
  <cp:lastModifiedBy/>
  <cp:revision>1</cp:revision>
  <dcterms:created xsi:type="dcterms:W3CDTF">2013-12-23T23:15:00Z</dcterms:created>
  <dcterms:modified xsi:type="dcterms:W3CDTF">2013-12-23T23:15:00Z</dcterms:modified>
  <cp:category/>
</cp:coreProperties>
</file>