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 INTERNSHIP</w:t>
      </w:r>
    </w:p>
    <w:p>
      <w:pPr>
        <w:jc w:val="center"/>
      </w:pPr>
      <w:r>
        <w:rPr>
          <w:b/>
          <w:sz w:val="24"/>
        </w:rPr>
        <w:t>Telecom Data Science Analyst</w:t>
      </w:r>
    </w:p>
    <w:p/>
    <w:p>
      <w:pPr>
        <w:jc w:val="center"/>
      </w:pPr>
      <w:r>
        <w:rPr>
          <w:b/>
          <w:sz w:val="56"/>
        </w:rPr>
        <w:t>WEEK 1 TASK</w:t>
      </w:r>
    </w:p>
    <w:p>
      <w:pPr>
        <w:jc w:val="center"/>
      </w:pPr>
      <w:r>
        <w:rPr>
          <w:b/>
          <w:sz w:val="44"/>
        </w:rPr>
        <w:t>Data Acquisition and Strategic Blueprint</w:t>
        <w:br/>
        <w:t>for Telecom Analysis</w:t>
      </w:r>
    </w:p>
    <w:p/>
    <w:p>
      <w:pPr>
        <w:jc w:val="center"/>
      </w:pPr>
      <w:r>
        <w:rPr>
          <w:sz w:val="22"/>
        </w:rPr>
        <w:t>Prepared as a strategic planning report for a Python-based telecom data science project</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Report Detail</w:t>
            </w:r>
          </w:p>
        </w:tc>
        <w:tc>
          <w:tcPr>
            <w:tcW w:type="dxa" w:w="4968"/>
            <w:vAlign w:val="center"/>
            <w:shd w:fill="D9EAF7"/>
          </w:tcPr>
          <w:p>
            <w:r/>
            <w:r>
              <w:rPr>
                <w:b/>
                <w:sz w:val="18"/>
              </w:rPr>
              <w:t>Value</w:t>
            </w:r>
          </w:p>
        </w:tc>
      </w:tr>
      <w:tr>
        <w:tc>
          <w:tcPr>
            <w:tcW w:type="dxa" w:w="4968"/>
            <w:vAlign w:val="center"/>
          </w:tcPr>
          <w:p>
            <w:r/>
            <w:r>
              <w:rPr>
                <w:b w:val="0"/>
                <w:sz w:val="18"/>
              </w:rPr>
              <w:t>Internship Track</w:t>
            </w:r>
          </w:p>
        </w:tc>
        <w:tc>
          <w:tcPr>
            <w:tcW w:type="dxa" w:w="4968"/>
            <w:vAlign w:val="center"/>
          </w:tcPr>
          <w:p>
            <w:r/>
            <w:r>
              <w:rPr>
                <w:b w:val="0"/>
                <w:sz w:val="18"/>
              </w:rPr>
              <w:t>Telecom Data Science Analyst</w:t>
            </w:r>
          </w:p>
        </w:tc>
      </w:tr>
      <w:tr>
        <w:tc>
          <w:tcPr>
            <w:tcW w:type="dxa" w:w="4968"/>
            <w:vAlign w:val="center"/>
          </w:tcPr>
          <w:p>
            <w:r/>
            <w:r>
              <w:rPr>
                <w:b w:val="0"/>
                <w:sz w:val="18"/>
              </w:rPr>
              <w:t>Task</w:t>
            </w:r>
          </w:p>
        </w:tc>
        <w:tc>
          <w:tcPr>
            <w:tcW w:type="dxa" w:w="4968"/>
            <w:vAlign w:val="center"/>
          </w:tcPr>
          <w:p>
            <w:r/>
            <w:r>
              <w:rPr>
                <w:b w:val="0"/>
                <w:sz w:val="18"/>
              </w:rPr>
              <w:t>Week 1 – Data Acquisition and Strategic Blueprint</w:t>
            </w:r>
          </w:p>
        </w:tc>
      </w:tr>
      <w:tr>
        <w:tc>
          <w:tcPr>
            <w:tcW w:type="dxa" w:w="4968"/>
            <w:vAlign w:val="center"/>
          </w:tcPr>
          <w:p>
            <w:r/>
            <w:r>
              <w:rPr>
                <w:b w:val="0"/>
                <w:sz w:val="18"/>
              </w:rPr>
              <w:t>Primary Focus</w:t>
            </w:r>
          </w:p>
        </w:tc>
        <w:tc>
          <w:tcPr>
            <w:tcW w:type="dxa" w:w="4968"/>
            <w:vAlign w:val="center"/>
          </w:tcPr>
          <w:p>
            <w:r/>
            <w:r>
              <w:rPr>
                <w:b w:val="0"/>
                <w:sz w:val="18"/>
              </w:rPr>
              <w:t>Public telecom data, acquisition strategy, analysis objectives, hypothesis, and roadmap</w:t>
            </w:r>
          </w:p>
        </w:tc>
      </w:tr>
      <w:tr>
        <w:tc>
          <w:tcPr>
            <w:tcW w:type="dxa" w:w="4968"/>
            <w:vAlign w:val="center"/>
          </w:tcPr>
          <w:p>
            <w:r/>
            <w:r>
              <w:rPr>
                <w:b w:val="0"/>
                <w:sz w:val="18"/>
              </w:rPr>
              <w:t>Technology Focus</w:t>
            </w:r>
          </w:p>
        </w:tc>
        <w:tc>
          <w:tcPr>
            <w:tcW w:type="dxa" w:w="4968"/>
            <w:vAlign w:val="center"/>
          </w:tcPr>
          <w:p>
            <w:r/>
            <w:r>
              <w:rPr>
                <w:b w:val="0"/>
                <w:sz w:val="18"/>
              </w:rPr>
              <w:t>Python, Pandas, NumPy, Matplotlib, Seaborn, SciPy, Scikit-learn, Jupyter</w:t>
            </w:r>
          </w:p>
        </w:tc>
      </w:tr>
      <w:tr>
        <w:tc>
          <w:tcPr>
            <w:tcW w:type="dxa" w:w="4968"/>
            <w:vAlign w:val="center"/>
          </w:tcPr>
          <w:p>
            <w:r/>
            <w:r>
              <w:rPr>
                <w:b w:val="0"/>
                <w:sz w:val="18"/>
              </w:rPr>
              <w:t>Report Type</w:t>
            </w:r>
          </w:p>
        </w:tc>
        <w:tc>
          <w:tcPr>
            <w:tcW w:type="dxa" w:w="4968"/>
            <w:vAlign w:val="center"/>
          </w:tcPr>
          <w:p>
            <w:r/>
            <w:r>
              <w:rPr>
                <w:b w:val="0"/>
                <w:sz w:val="18"/>
              </w:rPr>
              <w:t>Strategic / technical planning document</w:t>
            </w:r>
          </w:p>
        </w:tc>
      </w:tr>
    </w:tbl>
    <w:p/>
    <w:p>
      <w:pPr>
        <w:jc w:val="center"/>
      </w:pPr>
      <w:r>
        <w:rPr>
          <w:b/>
        </w:rPr>
        <w:t>Prepared: September 2026</w:t>
      </w:r>
    </w:p>
    <w:p>
      <w:r>
        <w:br w:type="page"/>
      </w:r>
    </w:p>
    <w:p>
      <w:pPr>
        <w:pStyle w:val="Heading1"/>
      </w:pPr>
      <w:r>
        <w:t>1. Executive Summary</w:t>
      </w:r>
    </w:p>
    <w:p>
      <w:r>
        <w:t>This report presents a strategic blueprint for a telecom data science project focused on acquiring, organizing, validating, and preparing telecom-related datasets for analysis using Python. The purpose of Week 1 is not to produce final predictive results, but to establish a technically sound foundation that can be executed during the following internship weeks.</w:t>
      </w:r>
    </w:p>
    <w:p>
      <w:r>
        <w:t>The proposed project combines public Indian telecom information with a suitable public customer-level telecom dataset. Priority is given to official and reproducible sources, particularly the Telecom Regulatory Authority of India (TRAI), supplemented where appropriate by reputable open datasets. TRAI publishes recurring telecom subscription reports and maintains quality-of-service resources, making it a strong source for industry context and time-series indicators. A public customer churn dataset can provide record-level variables for exploratory analysis and model development.</w:t>
      </w:r>
    </w:p>
    <w:p>
      <w:r>
        <w:t>The central analytical hypothesis is that customer retention and telecom service outcomes are associated with a combination of customer tenure, service configuration, contract characteristics, payment behavior, and service quality. The blueprint therefore proposes a staged workflow: source discovery → acquisition → raw-data preservation → data profiling → cleaning → integration → exploratory data analysis → feature engineering → statistical testing → baseline machine learning → interpretation and recommendations.</w:t>
      </w:r>
    </w:p>
    <w:p>
      <w:r>
        <w:t>The plan emphasizes reproducibility, data quality, responsible handling of sensitive information, version control, documentation, and clear separation between raw, processed, and analytical datasets. Python will be used throughout the workflow, with Pandas and NumPy for data handling, Matplotlib/Seaborn for visualization, SciPy for statistical analysis, and Scikit-learn for baseline machine-learning experiments.</w:t>
      </w:r>
    </w:p>
    <w:p>
      <w:pPr>
        <w:pStyle w:val="Heading1"/>
      </w:pPr>
      <w:r>
        <w:t>2. Project Objective</w:t>
      </w:r>
    </w:p>
    <w:p>
      <w:r>
        <w:t>The primary objective is to design a practical and reproducible telecom analytics pipeline that can transform publicly accessible telecom data into reliable analytical inputs and ultimately support business questions around customer retention, service quality, subscriber trends, and telecom performance.</w:t>
      </w:r>
    </w:p>
    <w:p>
      <w:pPr>
        <w:pStyle w:val="Heading2"/>
      </w:pPr>
      <w:r>
        <w:t>2.1 Specific Objectives</w:t>
      </w:r>
    </w:p>
    <w:p>
      <w:pPr>
        <w:pStyle w:val="ListBullet"/>
        <w:spacing w:after="40"/>
      </w:pPr>
      <w:r>
        <w:t>Identify reliable public telecom datasets and document their ownership, coverage, format, frequency, and licensing/access conditions.</w:t>
      </w:r>
    </w:p>
    <w:p>
      <w:pPr>
        <w:pStyle w:val="ListBullet"/>
        <w:spacing w:after="40"/>
      </w:pPr>
      <w:r>
        <w:t>Acquire data through direct downloads, structured web resources, APIs where permitted, and carefully documented manual extraction when necessary.</w:t>
      </w:r>
    </w:p>
    <w:p>
      <w:pPr>
        <w:pStyle w:val="ListBullet"/>
        <w:spacing w:after="40"/>
      </w:pPr>
      <w:r>
        <w:t>Create a standardized folder and naming structure for raw, cleaned, processed, and analysis-ready datasets.</w:t>
      </w:r>
    </w:p>
    <w:p>
      <w:pPr>
        <w:pStyle w:val="ListBullet"/>
        <w:spacing w:after="40"/>
      </w:pPr>
      <w:r>
        <w:t>Profile datasets for missing values, duplicate records, inconsistent categories, invalid ranges, datatype problems, and outliers.</w:t>
      </w:r>
    </w:p>
    <w:p>
      <w:pPr>
        <w:pStyle w:val="ListBullet"/>
        <w:spacing w:after="40"/>
      </w:pPr>
      <w:r>
        <w:t>Define an initial data dictionary and identify candidate variables for telecom performance and churn analysis.</w:t>
      </w:r>
    </w:p>
    <w:p>
      <w:pPr>
        <w:pStyle w:val="ListBullet"/>
        <w:spacing w:after="40"/>
      </w:pPr>
      <w:r>
        <w:t>Develop a hypothesis-driven exploratory analysis plan rather than performing random visualization.</w:t>
      </w:r>
    </w:p>
    <w:p>
      <w:pPr>
        <w:pStyle w:val="ListBullet"/>
        <w:spacing w:after="40"/>
      </w:pPr>
      <w:r>
        <w:t>Prepare a roadmap for statistical analysis and baseline machine-learning models in later weeks.</w:t>
      </w:r>
    </w:p>
    <w:p>
      <w:pPr>
        <w:pStyle w:val="ListBullet"/>
        <w:spacing w:after="40"/>
      </w:pPr>
      <w:r>
        <w:t>Address privacy, security, licensing, reproducibility, and ethical considerations before analysis begins.</w:t>
      </w:r>
    </w:p>
    <w:p>
      <w:pPr>
        <w:pStyle w:val="Heading1"/>
      </w:pPr>
      <w:r>
        <w:t>3. Telecom Data Landscape and Research Findings</w:t>
      </w:r>
    </w:p>
    <w:p>
      <w:r>
        <w:t>Telecom analytics can involve several layers of data. At the industry level, datasets may describe subscriber counts, market shares, wireless and broadband indicators, quality-of-service performance, and geographic connectivity. At the customer level, datasets may describe tenure, subscribed services, contract type, billing method, charges, and churn status. Network-level datasets can additionally contain coverage, signal, speed, latency, traffic, or cell-location information.</w:t>
      </w:r>
    </w:p>
    <w:p>
      <w:r>
        <w:t>For an India-focused internship, TRAI is a particularly important primary reference. TRAI's telecom subscription report series currently includes monthly releases, including July 2026, June 2026, and earlier months. This provides a reproducible source for building time-series indicators and understanding the Indian telecom market.</w:t>
      </w:r>
    </w:p>
    <w:p>
      <w:r>
        <w:t>TRAI also maintains a dedicated Quality of Service section and publishes regulatory material covering wireline, wireless, and broadband quality-of-service standards. Its resources therefore provide a useful foundation for defining service-quality variables and understanding the regulatory context of telecom metrics.</w:t>
      </w:r>
    </w:p>
    <w:p>
      <w:pPr>
        <w:pStyle w:val="Heading1"/>
      </w:pPr>
      <w:r>
        <w:t>4. Proposed Public Data Sources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Source</w:t>
            </w:r>
          </w:p>
        </w:tc>
        <w:tc>
          <w:tcPr>
            <w:tcW w:type="dxa" w:w="1987"/>
            <w:vAlign w:val="center"/>
            <w:shd w:fill="D9EAF7"/>
          </w:tcPr>
          <w:p>
            <w:r/>
            <w:r>
              <w:rPr>
                <w:b/>
                <w:sz w:val="18"/>
              </w:rPr>
              <w:t>Data Type</w:t>
            </w:r>
          </w:p>
        </w:tc>
        <w:tc>
          <w:tcPr>
            <w:tcW w:type="dxa" w:w="1987"/>
            <w:vAlign w:val="center"/>
            <w:shd w:fill="D9EAF7"/>
          </w:tcPr>
          <w:p>
            <w:r/>
            <w:r>
              <w:rPr>
                <w:b/>
                <w:sz w:val="18"/>
              </w:rPr>
              <w:t>Potential Use</w:t>
            </w:r>
          </w:p>
        </w:tc>
        <w:tc>
          <w:tcPr>
            <w:tcW w:type="dxa" w:w="1987"/>
            <w:vAlign w:val="center"/>
            <w:shd w:fill="D9EAF7"/>
          </w:tcPr>
          <w:p>
            <w:r/>
            <w:r>
              <w:rPr>
                <w:b/>
                <w:sz w:val="18"/>
              </w:rPr>
              <w:t>Acquisition Method</w:t>
            </w:r>
          </w:p>
        </w:tc>
        <w:tc>
          <w:tcPr>
            <w:tcW w:type="dxa" w:w="1987"/>
            <w:vAlign w:val="center"/>
            <w:shd w:fill="D9EAF7"/>
          </w:tcPr>
          <w:p>
            <w:r/>
            <w:r>
              <w:rPr>
                <w:b/>
                <w:sz w:val="18"/>
              </w:rPr>
              <w:t>Priority</w:t>
            </w:r>
          </w:p>
        </w:tc>
      </w:tr>
      <w:tr>
        <w:tc>
          <w:tcPr>
            <w:tcW w:type="dxa" w:w="1987"/>
            <w:vAlign w:val="center"/>
          </w:tcPr>
          <w:p>
            <w:r/>
            <w:r>
              <w:rPr>
                <w:b w:val="0"/>
                <w:sz w:val="18"/>
              </w:rPr>
              <w:t>TRAI Telecom Subscription Reports</w:t>
            </w:r>
          </w:p>
        </w:tc>
        <w:tc>
          <w:tcPr>
            <w:tcW w:type="dxa" w:w="1987"/>
            <w:vAlign w:val="center"/>
          </w:tcPr>
          <w:p>
            <w:r/>
            <w:r>
              <w:rPr>
                <w:b w:val="0"/>
                <w:sz w:val="18"/>
              </w:rPr>
              <w:t>Subscriber / operator / circle-level indicators</w:t>
            </w:r>
          </w:p>
        </w:tc>
        <w:tc>
          <w:tcPr>
            <w:tcW w:type="dxa" w:w="1987"/>
            <w:vAlign w:val="center"/>
          </w:tcPr>
          <w:p>
            <w:r/>
            <w:r>
              <w:rPr>
                <w:b w:val="0"/>
                <w:sz w:val="18"/>
              </w:rPr>
              <w:t>Subscriber trends, operator comparison, market structure</w:t>
            </w:r>
          </w:p>
        </w:tc>
        <w:tc>
          <w:tcPr>
            <w:tcW w:type="dxa" w:w="1987"/>
            <w:vAlign w:val="center"/>
          </w:tcPr>
          <w:p>
            <w:r/>
            <w:r>
              <w:rPr>
                <w:b w:val="0"/>
                <w:sz w:val="18"/>
              </w:rPr>
              <w:t>Official report download; manual or scripted extraction after format inspection</w:t>
            </w:r>
          </w:p>
        </w:tc>
        <w:tc>
          <w:tcPr>
            <w:tcW w:type="dxa" w:w="1987"/>
            <w:vAlign w:val="center"/>
          </w:tcPr>
          <w:p>
            <w:r/>
            <w:r>
              <w:rPr>
                <w:b w:val="0"/>
                <w:sz w:val="18"/>
              </w:rPr>
              <w:t>High</w:t>
            </w:r>
          </w:p>
        </w:tc>
      </w:tr>
      <w:tr>
        <w:tc>
          <w:tcPr>
            <w:tcW w:type="dxa" w:w="1987"/>
            <w:vAlign w:val="center"/>
          </w:tcPr>
          <w:p>
            <w:r/>
            <w:r>
              <w:rPr>
                <w:b w:val="0"/>
                <w:sz w:val="18"/>
              </w:rPr>
              <w:t>TRAI Quality of Service Resources</w:t>
            </w:r>
          </w:p>
        </w:tc>
        <w:tc>
          <w:tcPr>
            <w:tcW w:type="dxa" w:w="1987"/>
            <w:vAlign w:val="center"/>
          </w:tcPr>
          <w:p>
            <w:r/>
            <w:r>
              <w:rPr>
                <w:b w:val="0"/>
                <w:sz w:val="18"/>
              </w:rPr>
              <w:t>QoS and regulatory performance information</w:t>
            </w:r>
          </w:p>
        </w:tc>
        <w:tc>
          <w:tcPr>
            <w:tcW w:type="dxa" w:w="1987"/>
            <w:vAlign w:val="center"/>
          </w:tcPr>
          <w:p>
            <w:r/>
            <w:r>
              <w:rPr>
                <w:b w:val="0"/>
                <w:sz w:val="18"/>
              </w:rPr>
              <w:t>Service-quality benchmarking and KPI context</w:t>
            </w:r>
          </w:p>
        </w:tc>
        <w:tc>
          <w:tcPr>
            <w:tcW w:type="dxa" w:w="1987"/>
            <w:vAlign w:val="center"/>
          </w:tcPr>
          <w:p>
            <w:r/>
            <w:r>
              <w:rPr>
                <w:b w:val="0"/>
                <w:sz w:val="18"/>
              </w:rPr>
              <w:t>Official reports / published tables</w:t>
            </w:r>
          </w:p>
        </w:tc>
        <w:tc>
          <w:tcPr>
            <w:tcW w:type="dxa" w:w="1987"/>
            <w:vAlign w:val="center"/>
          </w:tcPr>
          <w:p>
            <w:r/>
            <w:r>
              <w:rPr>
                <w:b w:val="0"/>
                <w:sz w:val="18"/>
              </w:rPr>
              <w:t>High</w:t>
            </w:r>
          </w:p>
        </w:tc>
      </w:tr>
      <w:tr>
        <w:tc>
          <w:tcPr>
            <w:tcW w:type="dxa" w:w="1987"/>
            <w:vAlign w:val="center"/>
          </w:tcPr>
          <w:p>
            <w:r/>
            <w:r>
              <w:rPr>
                <w:b w:val="0"/>
                <w:sz w:val="18"/>
              </w:rPr>
              <w:t>TRAI regulations and directions</w:t>
            </w:r>
          </w:p>
        </w:tc>
        <w:tc>
          <w:tcPr>
            <w:tcW w:type="dxa" w:w="1987"/>
            <w:vAlign w:val="center"/>
          </w:tcPr>
          <w:p>
            <w:r/>
            <w:r>
              <w:rPr>
                <w:b w:val="0"/>
                <w:sz w:val="18"/>
              </w:rPr>
              <w:t>Definitions, benchmarks, reporting requirements</w:t>
            </w:r>
          </w:p>
        </w:tc>
        <w:tc>
          <w:tcPr>
            <w:tcW w:type="dxa" w:w="1987"/>
            <w:vAlign w:val="center"/>
          </w:tcPr>
          <w:p>
            <w:r/>
            <w:r>
              <w:rPr>
                <w:b w:val="0"/>
                <w:sz w:val="18"/>
              </w:rPr>
              <w:t>Metric definitions, validation rules, regulatory context</w:t>
            </w:r>
          </w:p>
        </w:tc>
        <w:tc>
          <w:tcPr>
            <w:tcW w:type="dxa" w:w="1987"/>
            <w:vAlign w:val="center"/>
          </w:tcPr>
          <w:p>
            <w:r/>
            <w:r>
              <w:rPr>
                <w:b w:val="0"/>
                <w:sz w:val="18"/>
              </w:rPr>
              <w:t>Official web pages / PDF documents</w:t>
            </w:r>
          </w:p>
        </w:tc>
        <w:tc>
          <w:tcPr>
            <w:tcW w:type="dxa" w:w="1987"/>
            <w:vAlign w:val="center"/>
          </w:tcPr>
          <w:p>
            <w:r/>
            <w:r>
              <w:rPr>
                <w:b w:val="0"/>
                <w:sz w:val="18"/>
              </w:rPr>
              <w:t>High</w:t>
            </w:r>
          </w:p>
        </w:tc>
      </w:tr>
      <w:tr>
        <w:tc>
          <w:tcPr>
            <w:tcW w:type="dxa" w:w="1987"/>
            <w:vAlign w:val="center"/>
          </w:tcPr>
          <w:p>
            <w:r/>
            <w:r>
              <w:rPr>
                <w:b w:val="0"/>
                <w:sz w:val="18"/>
              </w:rPr>
              <w:t>Kaggle – IBM Telco Customer Churn dataset</w:t>
            </w:r>
          </w:p>
        </w:tc>
        <w:tc>
          <w:tcPr>
            <w:tcW w:type="dxa" w:w="1987"/>
            <w:vAlign w:val="center"/>
          </w:tcPr>
          <w:p>
            <w:r/>
            <w:r>
              <w:rPr>
                <w:b w:val="0"/>
                <w:sz w:val="18"/>
              </w:rPr>
              <w:t>Customer-level synthetic/fictitious telecom records</w:t>
            </w:r>
          </w:p>
        </w:tc>
        <w:tc>
          <w:tcPr>
            <w:tcW w:type="dxa" w:w="1987"/>
            <w:vAlign w:val="center"/>
          </w:tcPr>
          <w:p>
            <w:r/>
            <w:r>
              <w:rPr>
                <w:b w:val="0"/>
                <w:sz w:val="18"/>
              </w:rPr>
              <w:t>EDA, churn hypothesis testing, feature engineering, baseline ML</w:t>
            </w:r>
          </w:p>
        </w:tc>
        <w:tc>
          <w:tcPr>
            <w:tcW w:type="dxa" w:w="1987"/>
            <w:vAlign w:val="center"/>
          </w:tcPr>
          <w:p>
            <w:r/>
            <w:r>
              <w:rPr>
                <w:b w:val="0"/>
                <w:sz w:val="18"/>
              </w:rPr>
              <w:t>CSV/XLSX download</w:t>
            </w:r>
          </w:p>
        </w:tc>
        <w:tc>
          <w:tcPr>
            <w:tcW w:type="dxa" w:w="1987"/>
            <w:vAlign w:val="center"/>
          </w:tcPr>
          <w:p>
            <w:r/>
            <w:r>
              <w:rPr>
                <w:b w:val="0"/>
                <w:sz w:val="18"/>
              </w:rPr>
              <w:t>High</w:t>
            </w:r>
          </w:p>
        </w:tc>
      </w:tr>
      <w:tr>
        <w:tc>
          <w:tcPr>
            <w:tcW w:type="dxa" w:w="1987"/>
            <w:vAlign w:val="center"/>
          </w:tcPr>
          <w:p>
            <w:r/>
            <w:r>
              <w:rPr>
                <w:b w:val="0"/>
                <w:sz w:val="18"/>
              </w:rPr>
              <w:t>FCC Broadband Data Collection resources</w:t>
            </w:r>
          </w:p>
        </w:tc>
        <w:tc>
          <w:tcPr>
            <w:tcW w:type="dxa" w:w="1987"/>
            <w:vAlign w:val="center"/>
          </w:tcPr>
          <w:p>
            <w:r/>
            <w:r>
              <w:rPr>
                <w:b w:val="0"/>
                <w:sz w:val="18"/>
              </w:rPr>
              <w:t>Broadband availability / speed / geographic data</w:t>
            </w:r>
          </w:p>
        </w:tc>
        <w:tc>
          <w:tcPr>
            <w:tcW w:type="dxa" w:w="1987"/>
            <w:vAlign w:val="center"/>
          </w:tcPr>
          <w:p>
            <w:r/>
            <w:r>
              <w:rPr>
                <w:b w:val="0"/>
                <w:sz w:val="18"/>
              </w:rPr>
              <w:t>Optional international benchmark and geospatial context</w:t>
            </w:r>
          </w:p>
        </w:tc>
        <w:tc>
          <w:tcPr>
            <w:tcW w:type="dxa" w:w="1987"/>
            <w:vAlign w:val="center"/>
          </w:tcPr>
          <w:p>
            <w:r/>
            <w:r>
              <w:rPr>
                <w:b w:val="0"/>
                <w:sz w:val="18"/>
              </w:rPr>
              <w:t>Public data/API resources</w:t>
            </w:r>
          </w:p>
        </w:tc>
        <w:tc>
          <w:tcPr>
            <w:tcW w:type="dxa" w:w="1987"/>
            <w:vAlign w:val="center"/>
          </w:tcPr>
          <w:p>
            <w:r/>
            <w:r>
              <w:rPr>
                <w:b w:val="0"/>
                <w:sz w:val="18"/>
              </w:rPr>
              <w:t>Medium</w:t>
            </w:r>
          </w:p>
        </w:tc>
      </w:tr>
      <w:tr>
        <w:tc>
          <w:tcPr>
            <w:tcW w:type="dxa" w:w="1987"/>
            <w:vAlign w:val="center"/>
          </w:tcPr>
          <w:p>
            <w:r/>
            <w:r>
              <w:rPr>
                <w:b w:val="0"/>
                <w:sz w:val="18"/>
              </w:rPr>
              <w:t>OpenCelliD / open cell-location resources</w:t>
            </w:r>
          </w:p>
        </w:tc>
        <w:tc>
          <w:tcPr>
            <w:tcW w:type="dxa" w:w="1987"/>
            <w:vAlign w:val="center"/>
          </w:tcPr>
          <w:p>
            <w:r/>
            <w:r>
              <w:rPr>
                <w:b w:val="0"/>
                <w:sz w:val="18"/>
              </w:rPr>
              <w:t>Crowdsourced cell and network-location information</w:t>
            </w:r>
          </w:p>
        </w:tc>
        <w:tc>
          <w:tcPr>
            <w:tcW w:type="dxa" w:w="1987"/>
            <w:vAlign w:val="center"/>
          </w:tcPr>
          <w:p>
            <w:r/>
            <w:r>
              <w:rPr>
                <w:b w:val="0"/>
                <w:sz w:val="18"/>
              </w:rPr>
              <w:t>Optional network/geospatial exploration</w:t>
            </w:r>
          </w:p>
        </w:tc>
        <w:tc>
          <w:tcPr>
            <w:tcW w:type="dxa" w:w="1987"/>
            <w:vAlign w:val="center"/>
          </w:tcPr>
          <w:p>
            <w:r/>
            <w:r>
              <w:rPr>
                <w:b w:val="0"/>
                <w:sz w:val="18"/>
              </w:rPr>
              <w:t>Public project resources/API subject to terms</w:t>
            </w:r>
          </w:p>
        </w:tc>
        <w:tc>
          <w:tcPr>
            <w:tcW w:type="dxa" w:w="1987"/>
            <w:vAlign w:val="center"/>
          </w:tcPr>
          <w:p>
            <w:r/>
            <w:r>
              <w:rPr>
                <w:b w:val="0"/>
                <w:sz w:val="18"/>
              </w:rPr>
              <w:t>Low/Optional</w:t>
            </w:r>
          </w:p>
        </w:tc>
      </w:tr>
    </w:tbl>
    <w:p/>
    <w:p>
      <w:r>
        <w:t>The customer churn dataset is useful for learning and modelling, but it should not be presented as real customer data from an Indian telecom operator. The dataset describes a fictional telecom company. It is therefore appropriate for methodology development and hypothesis testing, while official TRAI data should be used for India-specific industry context.</w:t>
      </w:r>
    </w:p>
    <w:p>
      <w:pPr>
        <w:pStyle w:val="Heading1"/>
      </w:pPr>
      <w:r>
        <w:t>5. Data Source Evaluation Framework</w:t>
      </w:r>
    </w:p>
    <w:p>
      <w:r>
        <w:t>Every candidate dataset will be evaluated using the following checklist before being included:</w:t>
      </w:r>
    </w:p>
    <w:p>
      <w:pPr>
        <w:pStyle w:val="ListBullet"/>
        <w:spacing w:after="40"/>
      </w:pPr>
      <w:r>
        <w:t>Authority: Is the publisher identifiable and credible?</w:t>
      </w:r>
    </w:p>
    <w:p>
      <w:pPr>
        <w:pStyle w:val="ListBullet"/>
        <w:spacing w:after="40"/>
      </w:pPr>
      <w:r>
        <w:t>Relevance: Does the dataset contain variables that answer the project objective?</w:t>
      </w:r>
    </w:p>
    <w:p>
      <w:pPr>
        <w:pStyle w:val="ListBullet"/>
        <w:spacing w:after="40"/>
      </w:pPr>
      <w:r>
        <w:t>Recency: What is the latest available observation and how frequently is it updated?</w:t>
      </w:r>
    </w:p>
    <w:p>
      <w:pPr>
        <w:pStyle w:val="ListBullet"/>
        <w:spacing w:after="40"/>
      </w:pPr>
      <w:r>
        <w:t>Coverage: What geography, population, telecom technology, and time period are represented?</w:t>
      </w:r>
    </w:p>
    <w:p>
      <w:pPr>
        <w:pStyle w:val="ListBullet"/>
        <w:spacing w:after="40"/>
      </w:pPr>
      <w:r>
        <w:t>Granularity: Is the data customer-level, operator-level, circle-level, network-level, or aggregate?</w:t>
      </w:r>
    </w:p>
    <w:p>
      <w:pPr>
        <w:pStyle w:val="ListBullet"/>
        <w:spacing w:after="40"/>
      </w:pPr>
      <w:r>
        <w:t>Format: CSV, XLSX, PDF, JSON, API, or another format?</w:t>
      </w:r>
    </w:p>
    <w:p>
      <w:pPr>
        <w:pStyle w:val="ListBullet"/>
        <w:spacing w:after="40"/>
      </w:pPr>
      <w:r>
        <w:t>Completeness: Are key fields missing or unavailable?</w:t>
      </w:r>
    </w:p>
    <w:p>
      <w:pPr>
        <w:pStyle w:val="ListBullet"/>
        <w:spacing w:after="40"/>
      </w:pPr>
      <w:r>
        <w:t>Consistency: Are units, categories, dates, and identifiers standardized?</w:t>
      </w:r>
    </w:p>
    <w:p>
      <w:pPr>
        <w:pStyle w:val="ListBullet"/>
        <w:spacing w:after="40"/>
      </w:pPr>
      <w:r>
        <w:t>Licensing/access: Are the data and derived outputs permitted for educational use?</w:t>
      </w:r>
    </w:p>
    <w:p>
      <w:pPr>
        <w:pStyle w:val="ListBullet"/>
        <w:spacing w:after="40"/>
      </w:pPr>
      <w:r>
        <w:t>Reproducibility: Can another student repeat the acquisition process from documented steps?</w:t>
      </w:r>
    </w:p>
    <w:p>
      <w:pPr>
        <w:pStyle w:val="Heading1"/>
      </w:pPr>
      <w:r>
        <w:t>6. Detailed Data Acquisition Process</w:t>
      </w:r>
    </w:p>
    <w:p>
      <w:pPr>
        <w:pStyle w:val="ListNumber"/>
        <w:spacing w:after="40"/>
      </w:pPr>
      <w:r>
        <w:t>Define the analytical question and required variables before collecting data.</w:t>
      </w:r>
    </w:p>
    <w:p>
      <w:pPr>
        <w:pStyle w:val="ListNumber"/>
        <w:spacing w:after="40"/>
      </w:pPr>
      <w:r>
        <w:t>Create a source register containing source name, URL, publisher, date accessed, file name, format, coverage, and notes.</w:t>
      </w:r>
    </w:p>
    <w:p>
      <w:pPr>
        <w:pStyle w:val="ListNumber"/>
        <w:spacing w:after="40"/>
      </w:pPr>
      <w:r>
        <w:t>Download original source files without editing them and store them in a read-only/raw-data area.</w:t>
      </w:r>
    </w:p>
    <w:p>
      <w:pPr>
        <w:pStyle w:val="ListNumber"/>
        <w:spacing w:after="40"/>
      </w:pPr>
      <w:r>
        <w:t>Record metadata such as source date, report period, file size, and acquisition timestamp.</w:t>
      </w:r>
    </w:p>
    <w:p>
      <w:pPr>
        <w:pStyle w:val="ListNumber"/>
        <w:spacing w:after="40"/>
      </w:pPr>
      <w:r>
        <w:t>Inspect each file before processing using Python tools such as pandas.read_csv(), pandas.read_excel(), and PDF/table extraction where appropriate.</w:t>
      </w:r>
    </w:p>
    <w:p>
      <w:pPr>
        <w:pStyle w:val="ListNumber"/>
        <w:spacing w:after="40"/>
      </w:pPr>
      <w:r>
        <w:t>Create a data dictionary containing field name, description, type, unit, allowed values, missing-value meaning, and source.</w:t>
      </w:r>
    </w:p>
    <w:p>
      <w:pPr>
        <w:pStyle w:val="ListNumber"/>
        <w:spacing w:after="40"/>
      </w:pPr>
      <w:r>
        <w:t>Run an automated data-quality profile covering row count, column count, datatypes, null counts, unique counts, duplicates, and basic descriptive statistics.</w:t>
      </w:r>
    </w:p>
    <w:p>
      <w:pPr>
        <w:pStyle w:val="ListNumber"/>
        <w:spacing w:after="40"/>
      </w:pPr>
      <w:r>
        <w:t>Standardize column names, date formats, categorical labels, units, and numeric representations in a processed copy.</w:t>
      </w:r>
    </w:p>
    <w:p>
      <w:pPr>
        <w:pStyle w:val="ListNumber"/>
        <w:spacing w:after="40"/>
      </w:pPr>
      <w:r>
        <w:t>Separate raw data from cleaned data so that original evidence is preserved.</w:t>
      </w:r>
    </w:p>
    <w:p>
      <w:pPr>
        <w:pStyle w:val="ListNumber"/>
        <w:spacing w:after="40"/>
      </w:pPr>
      <w:r>
        <w:t>Where multiple sources are combined, define join keys and validate whether they are unique and logically compatible.</w:t>
      </w:r>
    </w:p>
    <w:p>
      <w:pPr>
        <w:pStyle w:val="ListNumber"/>
        <w:spacing w:after="40"/>
      </w:pPr>
      <w:r>
        <w:t>Create a final analysis-ready dataset only after validation rules pass.</w:t>
      </w:r>
    </w:p>
    <w:p>
      <w:pPr>
        <w:pStyle w:val="ListNumber"/>
        <w:spacing w:after="40"/>
      </w:pPr>
      <w:r>
        <w:t>Document all transformations in Python scripts or notebooks and maintain version history in GitHub.</w:t>
      </w:r>
    </w:p>
    <w:p>
      <w:pPr>
        <w:pStyle w:val="Heading2"/>
      </w:pPr>
      <w:r>
        <w:t>6.1 Proposed Project Folder Structure</w:t>
      </w:r>
    </w:p>
    <w:p>
      <w:pPr>
        <w:pStyle w:val="NoSpacing"/>
      </w:pPr>
      <w:r>
        <w:rPr>
          <w:rFonts w:ascii="Consolas" w:hAnsi="Consolas"/>
          <w:sz w:val="18"/>
        </w:rPr>
        <w:t>telecom-data-science/</w:t>
        <w:br/>
        <w:t>├── data/</w:t>
        <w:br/>
        <w:t>│   ├── raw/</w:t>
        <w:br/>
        <w:t>│   ├── processed/</w:t>
        <w:br/>
        <w:t>│   └── external/</w:t>
        <w:br/>
        <w:t>├── notebooks/</w:t>
        <w:br/>
        <w:t>│   ├── 01_source_review.ipynb</w:t>
        <w:br/>
        <w:t>│   ├── 02_data_profiling.ipynb</w:t>
        <w:br/>
        <w:t>│   └── 03_initial_eda.ipynb</w:t>
        <w:br/>
        <w:t>├── src/</w:t>
        <w:br/>
        <w:t>│   ├── acquisition.py</w:t>
        <w:br/>
        <w:t>│   ├── cleaning.py</w:t>
        <w:br/>
        <w:t>│   ├── validation.py</w:t>
        <w:br/>
        <w:t>│   └── features.py</w:t>
        <w:br/>
        <w:t>├── reports/</w:t>
        <w:br/>
        <w:t>│   └── week1_strategic_blueprint.docx</w:t>
        <w:br/>
        <w:t>├── figures/</w:t>
        <w:br/>
        <w:t>├── requirements.txt</w:t>
        <w:br/>
        <w:t>├── README.md</w:t>
        <w:br/>
        <w:t>└── .gitignore</w:t>
      </w:r>
    </w:p>
    <w:p>
      <w:pPr>
        <w:pStyle w:val="Heading1"/>
      </w:pPr>
      <w:r>
        <w:t>7. Initial Analysis Objectives</w:t>
      </w:r>
    </w:p>
    <w:p>
      <w:pPr>
        <w:pStyle w:val="ListBullet"/>
        <w:spacing w:after="40"/>
      </w:pPr>
      <w:r>
        <w:t>Understand how telecom subscription indicators change over time.</w:t>
      </w:r>
    </w:p>
    <w:p>
      <w:pPr>
        <w:pStyle w:val="ListBullet"/>
        <w:spacing w:after="40"/>
      </w:pPr>
      <w:r>
        <w:t>Compare selected operators or service categories using consistent metrics.</w:t>
      </w:r>
    </w:p>
    <w:p>
      <w:pPr>
        <w:pStyle w:val="ListBullet"/>
        <w:spacing w:after="40"/>
      </w:pPr>
      <w:r>
        <w:t>Identify customer characteristics associated with churn in the customer-level dataset.</w:t>
      </w:r>
    </w:p>
    <w:p>
      <w:pPr>
        <w:pStyle w:val="ListBullet"/>
        <w:spacing w:after="40"/>
      </w:pPr>
      <w:r>
        <w:t>Measure whether contract, tenure, service adoption, payment method, and recurring charges show meaningful relationships with churn.</w:t>
      </w:r>
    </w:p>
    <w:p>
      <w:pPr>
        <w:pStyle w:val="ListBullet"/>
        <w:spacing w:after="40"/>
      </w:pPr>
      <w:r>
        <w:t>Explore whether service-quality indicators can be compared across geography/operator categories when compatible data is available.</w:t>
      </w:r>
    </w:p>
    <w:p>
      <w:pPr>
        <w:pStyle w:val="ListBullet"/>
        <w:spacing w:after="40"/>
      </w:pPr>
      <w:r>
        <w:t>Develop a small set of actionable KPIs for future reporting.</w:t>
      </w:r>
    </w:p>
    <w:p>
      <w:pPr>
        <w:pStyle w:val="Heading1"/>
      </w:pPr>
      <w:r>
        <w:t>8. Initial Hypotheses</w:t>
      </w:r>
    </w:p>
    <w:p>
      <w:r>
        <w:t>H1 – Customer retention hypothesis:</w:t>
      </w:r>
    </w:p>
    <w:p>
      <w:r>
        <w:t>Customers with longer tenure and more stable contractual arrangements are expected to have a lower probability of churn than customers with short tenure or flexible month-to-month arrangements.</w:t>
      </w:r>
    </w:p>
    <w:p>
      <w:r>
        <w:t>H2 – Service configuration hypothesis:</w:t>
      </w:r>
    </w:p>
    <w:p>
      <w:r>
        <w:t>Customers using a broader bundle of telecom services may show different churn behavior from customers using only basic services; the direction and magnitude of the relationship should be tested rather than assumed.</w:t>
      </w:r>
    </w:p>
    <w:p>
      <w:r>
        <w:t>H3 – Billing hypothesis:</w:t>
      </w:r>
    </w:p>
    <w:p>
      <w:r>
        <w:t>Monthly charges, total charges, payment method, and billing-related characteristics may be associated with churn. These variables should be analyzed together because individual correlations may be misleading.</w:t>
      </w:r>
    </w:p>
    <w:p>
      <w:r>
        <w:t>H4 – Service quality hypothesis:</w:t>
      </w:r>
    </w:p>
    <w:p>
      <w:r>
        <w:t>Lower quality-of-service performance is expected to be associated with weaker customer outcomes where compatible geographic and time-based data can be obtained. This hypothesis requires careful matching of geography, time period, and metric definitions.</w:t>
      </w:r>
    </w:p>
    <w:p>
      <w:r>
        <w:t>H5 – Subscriber trend hypothesis:</w:t>
      </w:r>
    </w:p>
    <w:p>
      <w:r>
        <w:t>Telecom subscriber indicators show time-dependent patterns and may differ across operators, service categories, and geographic circles. Trend analysis can identify periods of growth, decline, or structural change.</w:t>
      </w:r>
    </w:p>
    <w:p>
      <w:pPr>
        <w:pStyle w:val="Heading1"/>
      </w:pPr>
      <w:r>
        <w:t>9. Candidate Variables and Data Dictionary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Variable Group</w:t>
            </w:r>
          </w:p>
        </w:tc>
        <w:tc>
          <w:tcPr>
            <w:tcW w:type="dxa" w:w="3312"/>
            <w:vAlign w:val="center"/>
            <w:shd w:fill="D9EAF7"/>
          </w:tcPr>
          <w:p>
            <w:r/>
            <w:r>
              <w:rPr>
                <w:b/>
                <w:sz w:val="18"/>
              </w:rPr>
              <w:t>Example Variables</w:t>
            </w:r>
          </w:p>
        </w:tc>
        <w:tc>
          <w:tcPr>
            <w:tcW w:type="dxa" w:w="3312"/>
            <w:vAlign w:val="center"/>
            <w:shd w:fill="D9EAF7"/>
          </w:tcPr>
          <w:p>
            <w:r/>
            <w:r>
              <w:rPr>
                <w:b/>
                <w:sz w:val="18"/>
              </w:rPr>
              <w:t>Role in Analysis</w:t>
            </w:r>
          </w:p>
        </w:tc>
      </w:tr>
      <w:tr>
        <w:tc>
          <w:tcPr>
            <w:tcW w:type="dxa" w:w="3312"/>
            <w:vAlign w:val="center"/>
          </w:tcPr>
          <w:p>
            <w:r/>
            <w:r>
              <w:rPr>
                <w:b w:val="0"/>
                <w:sz w:val="18"/>
              </w:rPr>
              <w:t>Customer profile</w:t>
            </w:r>
          </w:p>
        </w:tc>
        <w:tc>
          <w:tcPr>
            <w:tcW w:type="dxa" w:w="3312"/>
            <w:vAlign w:val="center"/>
          </w:tcPr>
          <w:p>
            <w:r/>
            <w:r>
              <w:rPr>
                <w:b w:val="0"/>
                <w:sz w:val="18"/>
              </w:rPr>
              <w:t>Senior citizen indicator, dependents, partner</w:t>
            </w:r>
          </w:p>
        </w:tc>
        <w:tc>
          <w:tcPr>
            <w:tcW w:type="dxa" w:w="3312"/>
            <w:vAlign w:val="center"/>
          </w:tcPr>
          <w:p>
            <w:r/>
            <w:r>
              <w:rPr>
                <w:b w:val="0"/>
                <w:sz w:val="18"/>
              </w:rPr>
              <w:t>Segmentation / explanatory features</w:t>
            </w:r>
          </w:p>
        </w:tc>
      </w:tr>
      <w:tr>
        <w:tc>
          <w:tcPr>
            <w:tcW w:type="dxa" w:w="3312"/>
            <w:vAlign w:val="center"/>
          </w:tcPr>
          <w:p>
            <w:r/>
            <w:r>
              <w:rPr>
                <w:b w:val="0"/>
                <w:sz w:val="18"/>
              </w:rPr>
              <w:t>Tenure</w:t>
            </w:r>
          </w:p>
        </w:tc>
        <w:tc>
          <w:tcPr>
            <w:tcW w:type="dxa" w:w="3312"/>
            <w:vAlign w:val="center"/>
          </w:tcPr>
          <w:p>
            <w:r/>
            <w:r>
              <w:rPr>
                <w:b w:val="0"/>
                <w:sz w:val="18"/>
              </w:rPr>
              <w:t>Tenure in months</w:t>
            </w:r>
          </w:p>
        </w:tc>
        <w:tc>
          <w:tcPr>
            <w:tcW w:type="dxa" w:w="3312"/>
            <w:vAlign w:val="center"/>
          </w:tcPr>
          <w:p>
            <w:r/>
            <w:r>
              <w:rPr>
                <w:b w:val="0"/>
                <w:sz w:val="18"/>
              </w:rPr>
              <w:t>Retention/churn predictor</w:t>
            </w:r>
          </w:p>
        </w:tc>
      </w:tr>
      <w:tr>
        <w:tc>
          <w:tcPr>
            <w:tcW w:type="dxa" w:w="3312"/>
            <w:vAlign w:val="center"/>
          </w:tcPr>
          <w:p>
            <w:r/>
            <w:r>
              <w:rPr>
                <w:b w:val="0"/>
                <w:sz w:val="18"/>
              </w:rPr>
              <w:t>Services</w:t>
            </w:r>
          </w:p>
        </w:tc>
        <w:tc>
          <w:tcPr>
            <w:tcW w:type="dxa" w:w="3312"/>
            <w:vAlign w:val="center"/>
          </w:tcPr>
          <w:p>
            <w:r/>
            <w:r>
              <w:rPr>
                <w:b w:val="0"/>
                <w:sz w:val="18"/>
              </w:rPr>
              <w:t>Phone service, internet service, streaming, security, backup</w:t>
            </w:r>
          </w:p>
        </w:tc>
        <w:tc>
          <w:tcPr>
            <w:tcW w:type="dxa" w:w="3312"/>
            <w:vAlign w:val="center"/>
          </w:tcPr>
          <w:p>
            <w:r/>
            <w:r>
              <w:rPr>
                <w:b w:val="0"/>
                <w:sz w:val="18"/>
              </w:rPr>
              <w:t>Service adoption analysis</w:t>
            </w:r>
          </w:p>
        </w:tc>
      </w:tr>
      <w:tr>
        <w:tc>
          <w:tcPr>
            <w:tcW w:type="dxa" w:w="3312"/>
            <w:vAlign w:val="center"/>
          </w:tcPr>
          <w:p>
            <w:r/>
            <w:r>
              <w:rPr>
                <w:b w:val="0"/>
                <w:sz w:val="18"/>
              </w:rPr>
              <w:t>Contract</w:t>
            </w:r>
          </w:p>
        </w:tc>
        <w:tc>
          <w:tcPr>
            <w:tcW w:type="dxa" w:w="3312"/>
            <w:vAlign w:val="center"/>
          </w:tcPr>
          <w:p>
            <w:r/>
            <w:r>
              <w:rPr>
                <w:b w:val="0"/>
                <w:sz w:val="18"/>
              </w:rPr>
              <w:t>Month-to-month, one-year, two-year</w:t>
            </w:r>
          </w:p>
        </w:tc>
        <w:tc>
          <w:tcPr>
            <w:tcW w:type="dxa" w:w="3312"/>
            <w:vAlign w:val="center"/>
          </w:tcPr>
          <w:p>
            <w:r/>
            <w:r>
              <w:rPr>
                <w:b w:val="0"/>
                <w:sz w:val="18"/>
              </w:rPr>
              <w:t>Key churn hypothesis variable</w:t>
            </w:r>
          </w:p>
        </w:tc>
      </w:tr>
      <w:tr>
        <w:tc>
          <w:tcPr>
            <w:tcW w:type="dxa" w:w="3312"/>
            <w:vAlign w:val="center"/>
          </w:tcPr>
          <w:p>
            <w:r/>
            <w:r>
              <w:rPr>
                <w:b w:val="0"/>
                <w:sz w:val="18"/>
              </w:rPr>
              <w:t>Billing</w:t>
            </w:r>
          </w:p>
        </w:tc>
        <w:tc>
          <w:tcPr>
            <w:tcW w:type="dxa" w:w="3312"/>
            <w:vAlign w:val="center"/>
          </w:tcPr>
          <w:p>
            <w:r/>
            <w:r>
              <w:rPr>
                <w:b w:val="0"/>
                <w:sz w:val="18"/>
              </w:rPr>
              <w:t>Monthly charges, total charges, payment method</w:t>
            </w:r>
          </w:p>
        </w:tc>
        <w:tc>
          <w:tcPr>
            <w:tcW w:type="dxa" w:w="3312"/>
            <w:vAlign w:val="center"/>
          </w:tcPr>
          <w:p>
            <w:r/>
            <w:r>
              <w:rPr>
                <w:b w:val="0"/>
                <w:sz w:val="18"/>
              </w:rPr>
              <w:t>Revenue/retention analysis</w:t>
            </w:r>
          </w:p>
        </w:tc>
      </w:tr>
      <w:tr>
        <w:tc>
          <w:tcPr>
            <w:tcW w:type="dxa" w:w="3312"/>
            <w:vAlign w:val="center"/>
          </w:tcPr>
          <w:p>
            <w:r/>
            <w:r>
              <w:rPr>
                <w:b w:val="0"/>
                <w:sz w:val="18"/>
              </w:rPr>
              <w:t>Target</w:t>
            </w:r>
          </w:p>
        </w:tc>
        <w:tc>
          <w:tcPr>
            <w:tcW w:type="dxa" w:w="3312"/>
            <w:vAlign w:val="center"/>
          </w:tcPr>
          <w:p>
            <w:r/>
            <w:r>
              <w:rPr>
                <w:b w:val="0"/>
                <w:sz w:val="18"/>
              </w:rPr>
              <w:t>Churn status</w:t>
            </w:r>
          </w:p>
        </w:tc>
        <w:tc>
          <w:tcPr>
            <w:tcW w:type="dxa" w:w="3312"/>
            <w:vAlign w:val="center"/>
          </w:tcPr>
          <w:p>
            <w:r/>
            <w:r>
              <w:rPr>
                <w:b w:val="0"/>
                <w:sz w:val="18"/>
              </w:rPr>
              <w:t>Classification target</w:t>
            </w:r>
          </w:p>
        </w:tc>
      </w:tr>
      <w:tr>
        <w:tc>
          <w:tcPr>
            <w:tcW w:type="dxa" w:w="3312"/>
            <w:vAlign w:val="center"/>
          </w:tcPr>
          <w:p>
            <w:r/>
            <w:r>
              <w:rPr>
                <w:b w:val="0"/>
                <w:sz w:val="18"/>
              </w:rPr>
              <w:t>Industry time series</w:t>
            </w:r>
          </w:p>
        </w:tc>
        <w:tc>
          <w:tcPr>
            <w:tcW w:type="dxa" w:w="3312"/>
            <w:vAlign w:val="center"/>
          </w:tcPr>
          <w:p>
            <w:r/>
            <w:r>
              <w:rPr>
                <w:b w:val="0"/>
                <w:sz w:val="18"/>
              </w:rPr>
              <w:t>Subscriber count, additions, reductions, operator indicators</w:t>
            </w:r>
          </w:p>
        </w:tc>
        <w:tc>
          <w:tcPr>
            <w:tcW w:type="dxa" w:w="3312"/>
            <w:vAlign w:val="center"/>
          </w:tcPr>
          <w:p>
            <w:r/>
            <w:r>
              <w:rPr>
                <w:b w:val="0"/>
                <w:sz w:val="18"/>
              </w:rPr>
              <w:t>Trend and market analysis</w:t>
            </w:r>
          </w:p>
        </w:tc>
      </w:tr>
      <w:tr>
        <w:tc>
          <w:tcPr>
            <w:tcW w:type="dxa" w:w="3312"/>
            <w:vAlign w:val="center"/>
          </w:tcPr>
          <w:p>
            <w:r/>
            <w:r>
              <w:rPr>
                <w:b w:val="0"/>
                <w:sz w:val="18"/>
              </w:rPr>
              <w:t>QoS</w:t>
            </w:r>
          </w:p>
        </w:tc>
        <w:tc>
          <w:tcPr>
            <w:tcW w:type="dxa" w:w="3312"/>
            <w:vAlign w:val="center"/>
          </w:tcPr>
          <w:p>
            <w:r/>
            <w:r>
              <w:rPr>
                <w:b w:val="0"/>
                <w:sz w:val="18"/>
              </w:rPr>
              <w:t>Published quality/performance measures</w:t>
            </w:r>
          </w:p>
        </w:tc>
        <w:tc>
          <w:tcPr>
            <w:tcW w:type="dxa" w:w="3312"/>
            <w:vAlign w:val="center"/>
          </w:tcPr>
          <w:p>
            <w:r/>
            <w:r>
              <w:rPr>
                <w:b w:val="0"/>
                <w:sz w:val="18"/>
              </w:rPr>
              <w:t>Service-quality benchmarking where compatible</w:t>
            </w:r>
          </w:p>
        </w:tc>
      </w:tr>
    </w:tbl>
    <w:p/>
    <w:p>
      <w:pPr>
        <w:pStyle w:val="Heading1"/>
      </w:pPr>
      <w:r>
        <w:t>10. Python-Based Technical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Tool / Library</w:t>
            </w:r>
          </w:p>
        </w:tc>
        <w:tc>
          <w:tcPr>
            <w:tcW w:type="dxa" w:w="3312"/>
            <w:vAlign w:val="center"/>
            <w:shd w:fill="D9EAF7"/>
          </w:tcPr>
          <w:p>
            <w:r/>
            <w:r>
              <w:rPr>
                <w:b/>
                <w:sz w:val="18"/>
              </w:rPr>
              <w:t>Purpose</w:t>
            </w:r>
          </w:p>
        </w:tc>
        <w:tc>
          <w:tcPr>
            <w:tcW w:type="dxa" w:w="3312"/>
            <w:vAlign w:val="center"/>
            <w:shd w:fill="D9EAF7"/>
          </w:tcPr>
          <w:p>
            <w:r/>
            <w:r>
              <w:rPr>
                <w:b/>
                <w:sz w:val="18"/>
              </w:rPr>
              <w:t>Planned Technique</w:t>
            </w:r>
          </w:p>
        </w:tc>
      </w:tr>
      <w:tr>
        <w:tc>
          <w:tcPr>
            <w:tcW w:type="dxa" w:w="3312"/>
            <w:vAlign w:val="center"/>
          </w:tcPr>
          <w:p>
            <w:r/>
            <w:r>
              <w:rPr>
                <w:b w:val="0"/>
                <w:sz w:val="18"/>
              </w:rPr>
              <w:t>Python 3</w:t>
            </w:r>
          </w:p>
        </w:tc>
        <w:tc>
          <w:tcPr>
            <w:tcW w:type="dxa" w:w="3312"/>
            <w:vAlign w:val="center"/>
          </w:tcPr>
          <w:p>
            <w:r/>
            <w:r>
              <w:rPr>
                <w:b w:val="0"/>
                <w:sz w:val="18"/>
              </w:rPr>
              <w:t>Primary programming environment</w:t>
            </w:r>
          </w:p>
        </w:tc>
        <w:tc>
          <w:tcPr>
            <w:tcW w:type="dxa" w:w="3312"/>
            <w:vAlign w:val="center"/>
          </w:tcPr>
          <w:p>
            <w:r/>
            <w:r>
              <w:rPr>
                <w:b w:val="0"/>
                <w:sz w:val="18"/>
              </w:rPr>
              <w:t>Modular scripts and notebooks</w:t>
            </w:r>
          </w:p>
        </w:tc>
      </w:tr>
      <w:tr>
        <w:tc>
          <w:tcPr>
            <w:tcW w:type="dxa" w:w="3312"/>
            <w:vAlign w:val="center"/>
          </w:tcPr>
          <w:p>
            <w:r/>
            <w:r>
              <w:rPr>
                <w:b w:val="0"/>
                <w:sz w:val="18"/>
              </w:rPr>
              <w:t>Pandas</w:t>
            </w:r>
          </w:p>
        </w:tc>
        <w:tc>
          <w:tcPr>
            <w:tcW w:type="dxa" w:w="3312"/>
            <w:vAlign w:val="center"/>
          </w:tcPr>
          <w:p>
            <w:r/>
            <w:r>
              <w:rPr>
                <w:b w:val="0"/>
                <w:sz w:val="18"/>
              </w:rPr>
              <w:t>Data ingestion and manipulation</w:t>
            </w:r>
          </w:p>
        </w:tc>
        <w:tc>
          <w:tcPr>
            <w:tcW w:type="dxa" w:w="3312"/>
            <w:vAlign w:val="center"/>
          </w:tcPr>
          <w:p>
            <w:r/>
            <w:r>
              <w:rPr>
                <w:b w:val="0"/>
                <w:sz w:val="18"/>
              </w:rPr>
              <w:t>read_csv, read_excel, merge, groupby, pivot_table</w:t>
            </w:r>
          </w:p>
        </w:tc>
      </w:tr>
      <w:tr>
        <w:tc>
          <w:tcPr>
            <w:tcW w:type="dxa" w:w="3312"/>
            <w:vAlign w:val="center"/>
          </w:tcPr>
          <w:p>
            <w:r/>
            <w:r>
              <w:rPr>
                <w:b w:val="0"/>
                <w:sz w:val="18"/>
              </w:rPr>
              <w:t>NumPy</w:t>
            </w:r>
          </w:p>
        </w:tc>
        <w:tc>
          <w:tcPr>
            <w:tcW w:type="dxa" w:w="3312"/>
            <w:vAlign w:val="center"/>
          </w:tcPr>
          <w:p>
            <w:r/>
            <w:r>
              <w:rPr>
                <w:b w:val="0"/>
                <w:sz w:val="18"/>
              </w:rPr>
              <w:t>Numerical operations</w:t>
            </w:r>
          </w:p>
        </w:tc>
        <w:tc>
          <w:tcPr>
            <w:tcW w:type="dxa" w:w="3312"/>
            <w:vAlign w:val="center"/>
          </w:tcPr>
          <w:p>
            <w:r/>
            <w:r>
              <w:rPr>
                <w:b w:val="0"/>
                <w:sz w:val="18"/>
              </w:rPr>
              <w:t>Arrays, missing-value handling, transformations</w:t>
            </w:r>
          </w:p>
        </w:tc>
      </w:tr>
      <w:tr>
        <w:tc>
          <w:tcPr>
            <w:tcW w:type="dxa" w:w="3312"/>
            <w:vAlign w:val="center"/>
          </w:tcPr>
          <w:p>
            <w:r/>
            <w:r>
              <w:rPr>
                <w:b w:val="0"/>
                <w:sz w:val="18"/>
              </w:rPr>
              <w:t>Matplotlib</w:t>
            </w:r>
          </w:p>
        </w:tc>
        <w:tc>
          <w:tcPr>
            <w:tcW w:type="dxa" w:w="3312"/>
            <w:vAlign w:val="center"/>
          </w:tcPr>
          <w:p>
            <w:r/>
            <w:r>
              <w:rPr>
                <w:b w:val="0"/>
                <w:sz w:val="18"/>
              </w:rPr>
              <w:t>Core visualization</w:t>
            </w:r>
          </w:p>
        </w:tc>
        <w:tc>
          <w:tcPr>
            <w:tcW w:type="dxa" w:w="3312"/>
            <w:vAlign w:val="center"/>
          </w:tcPr>
          <w:p>
            <w:r/>
            <w:r>
              <w:rPr>
                <w:b w:val="0"/>
                <w:sz w:val="18"/>
              </w:rPr>
              <w:t>Line, bar, histogram, box, scatter plots</w:t>
            </w:r>
          </w:p>
        </w:tc>
      </w:tr>
      <w:tr>
        <w:tc>
          <w:tcPr>
            <w:tcW w:type="dxa" w:w="3312"/>
            <w:vAlign w:val="center"/>
          </w:tcPr>
          <w:p>
            <w:r/>
            <w:r>
              <w:rPr>
                <w:b w:val="0"/>
                <w:sz w:val="18"/>
              </w:rPr>
              <w:t>Seaborn</w:t>
            </w:r>
          </w:p>
        </w:tc>
        <w:tc>
          <w:tcPr>
            <w:tcW w:type="dxa" w:w="3312"/>
            <w:vAlign w:val="center"/>
          </w:tcPr>
          <w:p>
            <w:r/>
            <w:r>
              <w:rPr>
                <w:b w:val="0"/>
                <w:sz w:val="18"/>
              </w:rPr>
              <w:t>Statistical visualization</w:t>
            </w:r>
          </w:p>
        </w:tc>
        <w:tc>
          <w:tcPr>
            <w:tcW w:type="dxa" w:w="3312"/>
            <w:vAlign w:val="center"/>
          </w:tcPr>
          <w:p>
            <w:r/>
            <w:r>
              <w:rPr>
                <w:b w:val="0"/>
                <w:sz w:val="18"/>
              </w:rPr>
              <w:t>Count plots, heatmaps, distributions, categorical comparisons</w:t>
            </w:r>
          </w:p>
        </w:tc>
      </w:tr>
      <w:tr>
        <w:tc>
          <w:tcPr>
            <w:tcW w:type="dxa" w:w="3312"/>
            <w:vAlign w:val="center"/>
          </w:tcPr>
          <w:p>
            <w:r/>
            <w:r>
              <w:rPr>
                <w:b w:val="0"/>
                <w:sz w:val="18"/>
              </w:rPr>
              <w:t>SciPy</w:t>
            </w:r>
          </w:p>
        </w:tc>
        <w:tc>
          <w:tcPr>
            <w:tcW w:type="dxa" w:w="3312"/>
            <w:vAlign w:val="center"/>
          </w:tcPr>
          <w:p>
            <w:r/>
            <w:r>
              <w:rPr>
                <w:b w:val="0"/>
                <w:sz w:val="18"/>
              </w:rPr>
              <w:t>Statistical analysis</w:t>
            </w:r>
          </w:p>
        </w:tc>
        <w:tc>
          <w:tcPr>
            <w:tcW w:type="dxa" w:w="3312"/>
            <w:vAlign w:val="center"/>
          </w:tcPr>
          <w:p>
            <w:r/>
            <w:r>
              <w:rPr>
                <w:b w:val="0"/>
                <w:sz w:val="18"/>
              </w:rPr>
              <w:t>Correlation and hypothesis tests where appropriate</w:t>
            </w:r>
          </w:p>
        </w:tc>
      </w:tr>
      <w:tr>
        <w:tc>
          <w:tcPr>
            <w:tcW w:type="dxa" w:w="3312"/>
            <w:vAlign w:val="center"/>
          </w:tcPr>
          <w:p>
            <w:r/>
            <w:r>
              <w:rPr>
                <w:b w:val="0"/>
                <w:sz w:val="18"/>
              </w:rPr>
              <w:t>Scikit-learn</w:t>
            </w:r>
          </w:p>
        </w:tc>
        <w:tc>
          <w:tcPr>
            <w:tcW w:type="dxa" w:w="3312"/>
            <w:vAlign w:val="center"/>
          </w:tcPr>
          <w:p>
            <w:r/>
            <w:r>
              <w:rPr>
                <w:b w:val="0"/>
                <w:sz w:val="18"/>
              </w:rPr>
              <w:t>Baseline ML</w:t>
            </w:r>
          </w:p>
        </w:tc>
        <w:tc>
          <w:tcPr>
            <w:tcW w:type="dxa" w:w="3312"/>
            <w:vAlign w:val="center"/>
          </w:tcPr>
          <w:p>
            <w:r/>
            <w:r>
              <w:rPr>
                <w:b w:val="0"/>
                <w:sz w:val="18"/>
              </w:rPr>
              <w:t>Train/test split, preprocessing, logistic regression, tree-based baseline</w:t>
            </w:r>
          </w:p>
        </w:tc>
      </w:tr>
      <w:tr>
        <w:tc>
          <w:tcPr>
            <w:tcW w:type="dxa" w:w="3312"/>
            <w:vAlign w:val="center"/>
          </w:tcPr>
          <w:p>
            <w:r/>
            <w:r>
              <w:rPr>
                <w:b w:val="0"/>
                <w:sz w:val="18"/>
              </w:rPr>
              <w:t>Jupyter Notebook</w:t>
            </w:r>
          </w:p>
        </w:tc>
        <w:tc>
          <w:tcPr>
            <w:tcW w:type="dxa" w:w="3312"/>
            <w:vAlign w:val="center"/>
          </w:tcPr>
          <w:p>
            <w:r/>
            <w:r>
              <w:rPr>
                <w:b w:val="0"/>
                <w:sz w:val="18"/>
              </w:rPr>
              <w:t>Exploration and documentation</w:t>
            </w:r>
          </w:p>
        </w:tc>
        <w:tc>
          <w:tcPr>
            <w:tcW w:type="dxa" w:w="3312"/>
            <w:vAlign w:val="center"/>
          </w:tcPr>
          <w:p>
            <w:r/>
            <w:r>
              <w:rPr>
                <w:b w:val="0"/>
                <w:sz w:val="18"/>
              </w:rPr>
              <w:t>Reproducible analytical narrative</w:t>
            </w:r>
          </w:p>
        </w:tc>
      </w:tr>
      <w:tr>
        <w:tc>
          <w:tcPr>
            <w:tcW w:type="dxa" w:w="3312"/>
            <w:vAlign w:val="center"/>
          </w:tcPr>
          <w:p>
            <w:r/>
            <w:r>
              <w:rPr>
                <w:b w:val="0"/>
                <w:sz w:val="18"/>
              </w:rPr>
              <w:t>OpenPyXL</w:t>
            </w:r>
          </w:p>
        </w:tc>
        <w:tc>
          <w:tcPr>
            <w:tcW w:type="dxa" w:w="3312"/>
            <w:vAlign w:val="center"/>
          </w:tcPr>
          <w:p>
            <w:r/>
            <w:r>
              <w:rPr>
                <w:b w:val="0"/>
                <w:sz w:val="18"/>
              </w:rPr>
              <w:t>Excel support</w:t>
            </w:r>
          </w:p>
        </w:tc>
        <w:tc>
          <w:tcPr>
            <w:tcW w:type="dxa" w:w="3312"/>
            <w:vAlign w:val="center"/>
          </w:tcPr>
          <w:p>
            <w:r/>
            <w:r>
              <w:rPr>
                <w:b w:val="0"/>
                <w:sz w:val="18"/>
              </w:rPr>
              <w:t>Workbook inspection/processing where required</w:t>
            </w:r>
          </w:p>
        </w:tc>
      </w:tr>
      <w:tr>
        <w:tc>
          <w:tcPr>
            <w:tcW w:type="dxa" w:w="3312"/>
            <w:vAlign w:val="center"/>
          </w:tcPr>
          <w:p>
            <w:r/>
            <w:r>
              <w:rPr>
                <w:b w:val="0"/>
                <w:sz w:val="18"/>
              </w:rPr>
              <w:t>Git/GitHub</w:t>
            </w:r>
          </w:p>
        </w:tc>
        <w:tc>
          <w:tcPr>
            <w:tcW w:type="dxa" w:w="3312"/>
            <w:vAlign w:val="center"/>
          </w:tcPr>
          <w:p>
            <w:r/>
            <w:r>
              <w:rPr>
                <w:b w:val="0"/>
                <w:sz w:val="18"/>
              </w:rPr>
              <w:t>Version control</w:t>
            </w:r>
          </w:p>
        </w:tc>
        <w:tc>
          <w:tcPr>
            <w:tcW w:type="dxa" w:w="3312"/>
            <w:vAlign w:val="center"/>
          </w:tcPr>
          <w:p>
            <w:r/>
            <w:r>
              <w:rPr>
                <w:b w:val="0"/>
                <w:sz w:val="18"/>
              </w:rPr>
              <w:t>Track scripts, notebooks, README and project milestones</w:t>
            </w:r>
          </w:p>
        </w:tc>
      </w:tr>
    </w:tbl>
    <w:p/>
    <w:p>
      <w:pPr>
        <w:pStyle w:val="Heading1"/>
      </w:pPr>
      <w:r>
        <w:t>11. Data Quality and Validation Plan</w:t>
      </w:r>
    </w:p>
    <w:p>
      <w:r>
        <w:t>Data quality is a major risk in telecom analytics because reports may be published in different formats and aggregation levels. Validation will be performed before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Issue</w:t>
            </w:r>
          </w:p>
        </w:tc>
        <w:tc>
          <w:tcPr>
            <w:tcW w:type="dxa" w:w="3312"/>
            <w:vAlign w:val="center"/>
            <w:shd w:fill="D9EAF7"/>
          </w:tcPr>
          <w:p>
            <w:r/>
            <w:r>
              <w:rPr>
                <w:b/>
                <w:sz w:val="18"/>
              </w:rPr>
              <w:t>Detection</w:t>
            </w:r>
          </w:p>
        </w:tc>
        <w:tc>
          <w:tcPr>
            <w:tcW w:type="dxa" w:w="3312"/>
            <w:vAlign w:val="center"/>
            <w:shd w:fill="D9EAF7"/>
          </w:tcPr>
          <w:p>
            <w:r/>
            <w:r>
              <w:rPr>
                <w:b/>
                <w:sz w:val="18"/>
              </w:rPr>
              <w:t>Mitigation</w:t>
            </w:r>
          </w:p>
        </w:tc>
      </w:tr>
      <w:tr>
        <w:tc>
          <w:tcPr>
            <w:tcW w:type="dxa" w:w="3312"/>
            <w:vAlign w:val="center"/>
          </w:tcPr>
          <w:p>
            <w:r/>
            <w:r>
              <w:rPr>
                <w:b w:val="0"/>
                <w:sz w:val="18"/>
              </w:rPr>
              <w:t>Missing values</w:t>
            </w:r>
          </w:p>
        </w:tc>
        <w:tc>
          <w:tcPr>
            <w:tcW w:type="dxa" w:w="3312"/>
            <w:vAlign w:val="center"/>
          </w:tcPr>
          <w:p>
            <w:r/>
            <w:r>
              <w:rPr>
                <w:b w:val="0"/>
                <w:sz w:val="18"/>
              </w:rPr>
              <w:t>isna().sum(), missingness percentages</w:t>
            </w:r>
          </w:p>
        </w:tc>
        <w:tc>
          <w:tcPr>
            <w:tcW w:type="dxa" w:w="3312"/>
            <w:vAlign w:val="center"/>
          </w:tcPr>
          <w:p>
            <w:r/>
            <w:r>
              <w:rPr>
                <w:b w:val="0"/>
                <w:sz w:val="18"/>
              </w:rPr>
              <w:t>Remove, impute, or flag based on variable meaning</w:t>
            </w:r>
          </w:p>
        </w:tc>
      </w:tr>
      <w:tr>
        <w:tc>
          <w:tcPr>
            <w:tcW w:type="dxa" w:w="3312"/>
            <w:vAlign w:val="center"/>
          </w:tcPr>
          <w:p>
            <w:r/>
            <w:r>
              <w:rPr>
                <w:b w:val="0"/>
                <w:sz w:val="18"/>
              </w:rPr>
              <w:t>Duplicates</w:t>
            </w:r>
          </w:p>
        </w:tc>
        <w:tc>
          <w:tcPr>
            <w:tcW w:type="dxa" w:w="3312"/>
            <w:vAlign w:val="center"/>
          </w:tcPr>
          <w:p>
            <w:r/>
            <w:r>
              <w:rPr>
                <w:b w:val="0"/>
                <w:sz w:val="18"/>
              </w:rPr>
              <w:t>duplicated() and key-level uniqueness checks</w:t>
            </w:r>
          </w:p>
        </w:tc>
        <w:tc>
          <w:tcPr>
            <w:tcW w:type="dxa" w:w="3312"/>
            <w:vAlign w:val="center"/>
          </w:tcPr>
          <w:p>
            <w:r/>
            <w:r>
              <w:rPr>
                <w:b w:val="0"/>
                <w:sz w:val="18"/>
              </w:rPr>
              <w:t>Remove only after confirming they are unintended</w:t>
            </w:r>
          </w:p>
        </w:tc>
      </w:tr>
      <w:tr>
        <w:tc>
          <w:tcPr>
            <w:tcW w:type="dxa" w:w="3312"/>
            <w:vAlign w:val="center"/>
          </w:tcPr>
          <w:p>
            <w:r/>
            <w:r>
              <w:rPr>
                <w:b w:val="0"/>
                <w:sz w:val="18"/>
              </w:rPr>
              <w:t>Invalid numeric values</w:t>
            </w:r>
          </w:p>
        </w:tc>
        <w:tc>
          <w:tcPr>
            <w:tcW w:type="dxa" w:w="3312"/>
            <w:vAlign w:val="center"/>
          </w:tcPr>
          <w:p>
            <w:r/>
            <w:r>
              <w:rPr>
                <w:b w:val="0"/>
                <w:sz w:val="18"/>
              </w:rPr>
              <w:t>Range checks and domain rules</w:t>
            </w:r>
          </w:p>
        </w:tc>
        <w:tc>
          <w:tcPr>
            <w:tcW w:type="dxa" w:w="3312"/>
            <w:vAlign w:val="center"/>
          </w:tcPr>
          <w:p>
            <w:r/>
            <w:r>
              <w:rPr>
                <w:b w:val="0"/>
                <w:sz w:val="18"/>
              </w:rPr>
              <w:t>Correct from source or flag as invalid</w:t>
            </w:r>
          </w:p>
        </w:tc>
      </w:tr>
      <w:tr>
        <w:tc>
          <w:tcPr>
            <w:tcW w:type="dxa" w:w="3312"/>
            <w:vAlign w:val="center"/>
          </w:tcPr>
          <w:p>
            <w:r/>
            <w:r>
              <w:rPr>
                <w:b w:val="0"/>
                <w:sz w:val="18"/>
              </w:rPr>
              <w:t>Inconsistent categories</w:t>
            </w:r>
          </w:p>
        </w:tc>
        <w:tc>
          <w:tcPr>
            <w:tcW w:type="dxa" w:w="3312"/>
            <w:vAlign w:val="center"/>
          </w:tcPr>
          <w:p>
            <w:r/>
            <w:r>
              <w:rPr>
                <w:b w:val="0"/>
                <w:sz w:val="18"/>
              </w:rPr>
              <w:t>value_counts(), category comparison</w:t>
            </w:r>
          </w:p>
        </w:tc>
        <w:tc>
          <w:tcPr>
            <w:tcW w:type="dxa" w:w="3312"/>
            <w:vAlign w:val="center"/>
          </w:tcPr>
          <w:p>
            <w:r/>
            <w:r>
              <w:rPr>
                <w:b w:val="0"/>
                <w:sz w:val="18"/>
              </w:rPr>
              <w:t>Map labels to a controlled vocabulary</w:t>
            </w:r>
          </w:p>
        </w:tc>
      </w:tr>
      <w:tr>
        <w:tc>
          <w:tcPr>
            <w:tcW w:type="dxa" w:w="3312"/>
            <w:vAlign w:val="center"/>
          </w:tcPr>
          <w:p>
            <w:r/>
            <w:r>
              <w:rPr>
                <w:b w:val="0"/>
                <w:sz w:val="18"/>
              </w:rPr>
              <w:t>Date inconsistencies</w:t>
            </w:r>
          </w:p>
        </w:tc>
        <w:tc>
          <w:tcPr>
            <w:tcW w:type="dxa" w:w="3312"/>
            <w:vAlign w:val="center"/>
          </w:tcPr>
          <w:p>
            <w:r/>
            <w:r>
              <w:rPr>
                <w:b w:val="0"/>
                <w:sz w:val="18"/>
              </w:rPr>
              <w:t>Datetime parsing and period checks</w:t>
            </w:r>
          </w:p>
        </w:tc>
        <w:tc>
          <w:tcPr>
            <w:tcW w:type="dxa" w:w="3312"/>
            <w:vAlign w:val="center"/>
          </w:tcPr>
          <w:p>
            <w:r/>
            <w:r>
              <w:rPr>
                <w:b w:val="0"/>
                <w:sz w:val="18"/>
              </w:rPr>
              <w:t>Standardize to ISO-style dates/periods</w:t>
            </w:r>
          </w:p>
        </w:tc>
      </w:tr>
      <w:tr>
        <w:tc>
          <w:tcPr>
            <w:tcW w:type="dxa" w:w="3312"/>
            <w:vAlign w:val="center"/>
          </w:tcPr>
          <w:p>
            <w:r/>
            <w:r>
              <w:rPr>
                <w:b w:val="0"/>
                <w:sz w:val="18"/>
              </w:rPr>
              <w:t>Unit mismatch</w:t>
            </w:r>
          </w:p>
        </w:tc>
        <w:tc>
          <w:tcPr>
            <w:tcW w:type="dxa" w:w="3312"/>
            <w:vAlign w:val="center"/>
          </w:tcPr>
          <w:p>
            <w:r/>
            <w:r>
              <w:rPr>
                <w:b w:val="0"/>
                <w:sz w:val="18"/>
              </w:rPr>
              <w:t>Data dictionary and source documentation</w:t>
            </w:r>
          </w:p>
        </w:tc>
        <w:tc>
          <w:tcPr>
            <w:tcW w:type="dxa" w:w="3312"/>
            <w:vAlign w:val="center"/>
          </w:tcPr>
          <w:p>
            <w:r/>
            <w:r>
              <w:rPr>
                <w:b w:val="0"/>
                <w:sz w:val="18"/>
              </w:rPr>
              <w:t>Convert to common units before comparison</w:t>
            </w:r>
          </w:p>
        </w:tc>
      </w:tr>
      <w:tr>
        <w:tc>
          <w:tcPr>
            <w:tcW w:type="dxa" w:w="3312"/>
            <w:vAlign w:val="center"/>
          </w:tcPr>
          <w:p>
            <w:r/>
            <w:r>
              <w:rPr>
                <w:b w:val="0"/>
                <w:sz w:val="18"/>
              </w:rPr>
              <w:t>Outliers</w:t>
            </w:r>
          </w:p>
        </w:tc>
        <w:tc>
          <w:tcPr>
            <w:tcW w:type="dxa" w:w="3312"/>
            <w:vAlign w:val="center"/>
          </w:tcPr>
          <w:p>
            <w:r/>
            <w:r>
              <w:rPr>
                <w:b w:val="0"/>
                <w:sz w:val="18"/>
              </w:rPr>
              <w:t>IQR, z-score, domain review</w:t>
            </w:r>
          </w:p>
        </w:tc>
        <w:tc>
          <w:tcPr>
            <w:tcW w:type="dxa" w:w="3312"/>
            <w:vAlign w:val="center"/>
          </w:tcPr>
          <w:p>
            <w:r/>
            <w:r>
              <w:rPr>
                <w:b w:val="0"/>
                <w:sz w:val="18"/>
              </w:rPr>
              <w:t>Investigate before deleting; retain legitimate extremes</w:t>
            </w:r>
          </w:p>
        </w:tc>
      </w:tr>
      <w:tr>
        <w:tc>
          <w:tcPr>
            <w:tcW w:type="dxa" w:w="3312"/>
            <w:vAlign w:val="center"/>
          </w:tcPr>
          <w:p>
            <w:r/>
            <w:r>
              <w:rPr>
                <w:b w:val="0"/>
                <w:sz w:val="18"/>
              </w:rPr>
              <w:t>PDF/table extraction errors</w:t>
            </w:r>
          </w:p>
        </w:tc>
        <w:tc>
          <w:tcPr>
            <w:tcW w:type="dxa" w:w="3312"/>
            <w:vAlign w:val="center"/>
          </w:tcPr>
          <w:p>
            <w:r/>
            <w:r>
              <w:rPr>
                <w:b w:val="0"/>
                <w:sz w:val="18"/>
              </w:rPr>
              <w:t>Row/column totals and spot checks</w:t>
            </w:r>
          </w:p>
        </w:tc>
        <w:tc>
          <w:tcPr>
            <w:tcW w:type="dxa" w:w="3312"/>
            <w:vAlign w:val="center"/>
          </w:tcPr>
          <w:p>
            <w:r/>
            <w:r>
              <w:rPr>
                <w:b w:val="0"/>
                <w:sz w:val="18"/>
              </w:rPr>
              <w:t>Manually verify critical extracted values</w:t>
            </w:r>
          </w:p>
        </w:tc>
      </w:tr>
      <w:tr>
        <w:tc>
          <w:tcPr>
            <w:tcW w:type="dxa" w:w="3312"/>
            <w:vAlign w:val="center"/>
          </w:tcPr>
          <w:p>
            <w:r/>
            <w:r>
              <w:rPr>
                <w:b w:val="0"/>
                <w:sz w:val="18"/>
              </w:rPr>
              <w:t>Join errors</w:t>
            </w:r>
          </w:p>
        </w:tc>
        <w:tc>
          <w:tcPr>
            <w:tcW w:type="dxa" w:w="3312"/>
            <w:vAlign w:val="center"/>
          </w:tcPr>
          <w:p>
            <w:r/>
            <w:r>
              <w:rPr>
                <w:b w:val="0"/>
                <w:sz w:val="18"/>
              </w:rPr>
              <w:t>Row counts and key uniqueness before/after merge</w:t>
            </w:r>
          </w:p>
        </w:tc>
        <w:tc>
          <w:tcPr>
            <w:tcW w:type="dxa" w:w="3312"/>
            <w:vAlign w:val="center"/>
          </w:tcPr>
          <w:p>
            <w:r/>
            <w:r>
              <w:rPr>
                <w:b w:val="0"/>
                <w:sz w:val="18"/>
              </w:rPr>
              <w:t>Use validated keys and reconciliation checks</w:t>
            </w:r>
          </w:p>
        </w:tc>
      </w:tr>
      <w:tr>
        <w:tc>
          <w:tcPr>
            <w:tcW w:type="dxa" w:w="3312"/>
            <w:vAlign w:val="center"/>
          </w:tcPr>
          <w:p>
            <w:r/>
            <w:r>
              <w:rPr>
                <w:b w:val="0"/>
                <w:sz w:val="18"/>
              </w:rPr>
              <w:t>Source changes</w:t>
            </w:r>
          </w:p>
        </w:tc>
        <w:tc>
          <w:tcPr>
            <w:tcW w:type="dxa" w:w="3312"/>
            <w:vAlign w:val="center"/>
          </w:tcPr>
          <w:p>
            <w:r/>
            <w:r>
              <w:rPr>
                <w:b w:val="0"/>
                <w:sz w:val="18"/>
              </w:rPr>
              <w:t>Metadata and file version tracking</w:t>
            </w:r>
          </w:p>
        </w:tc>
        <w:tc>
          <w:tcPr>
            <w:tcW w:type="dxa" w:w="3312"/>
            <w:vAlign w:val="center"/>
          </w:tcPr>
          <w:p>
            <w:r/>
            <w:r>
              <w:rPr>
                <w:b w:val="0"/>
                <w:sz w:val="18"/>
              </w:rPr>
              <w:t>Preserve original files and record access dates</w:t>
            </w:r>
          </w:p>
        </w:tc>
      </w:tr>
    </w:tbl>
    <w:p/>
    <w:p>
      <w:pPr>
        <w:pStyle w:val="Heading1"/>
      </w:pPr>
      <w:r>
        <w:t>12. Privacy, Security and Ethical Considerations</w:t>
      </w:r>
    </w:p>
    <w:p>
      <w:r>
        <w:t>Telecom data can contain sensitive information such as identifiers, location information, usage patterns, billing details, or communications metadata. The proposed project will use public, aggregated, or explicitly educational datasets and will not attempt to obtain private subscriber records.</w:t>
      </w:r>
    </w:p>
    <w:p>
      <w:pPr>
        <w:pStyle w:val="ListBullet"/>
        <w:spacing w:after="40"/>
      </w:pPr>
      <w:r>
        <w:t>Do not collect phone numbers, email addresses, precise personal locations, or other direct identifiers unless they are explicitly required and lawfully available for the project.</w:t>
      </w:r>
    </w:p>
    <w:p>
      <w:pPr>
        <w:pStyle w:val="ListBullet"/>
        <w:spacing w:after="40"/>
      </w:pPr>
      <w:r>
        <w:t>Do not attempt to bypass access controls, authentication, paywalls, or technical restrictions on data sources.</w:t>
      </w:r>
    </w:p>
    <w:p>
      <w:pPr>
        <w:pStyle w:val="ListBullet"/>
        <w:spacing w:after="40"/>
      </w:pPr>
      <w:r>
        <w:t>Use only datasets whose educational use and redistribution conditions are understood.</w:t>
      </w:r>
    </w:p>
    <w:p>
      <w:pPr>
        <w:pStyle w:val="ListBullet"/>
        <w:spacing w:after="40"/>
      </w:pPr>
      <w:r>
        <w:t>If an identifier is present in a dataset, exclude it from analysis when it is not required.</w:t>
      </w:r>
    </w:p>
    <w:p>
      <w:pPr>
        <w:pStyle w:val="ListBullet"/>
        <w:spacing w:after="40"/>
      </w:pPr>
      <w:r>
        <w:t>Do not publish sensitive raw records to GitHub. Use .gitignore and sanitized/sample data where necessary.</w:t>
      </w:r>
    </w:p>
    <w:p>
      <w:pPr>
        <w:pStyle w:val="ListBullet"/>
        <w:spacing w:after="40"/>
      </w:pPr>
      <w:r>
        <w:t>Store credentials or API keys outside notebooks and repositories; use environment variables if an API is legitimately required.</w:t>
      </w:r>
    </w:p>
    <w:p>
      <w:pPr>
        <w:pStyle w:val="ListBullet"/>
        <w:spacing w:after="40"/>
      </w:pPr>
      <w:r>
        <w:t>Treat the IBM/Kaggle churn dataset as fictional/educational data and clearly label it as such.</w:t>
      </w:r>
    </w:p>
    <w:p>
      <w:pPr>
        <w:pStyle w:val="ListBullet"/>
        <w:spacing w:after="40"/>
      </w:pPr>
      <w:r>
        <w:t>Report limitations honestly and avoid claiming causal relationships from observational data without appropriate evidence.</w:t>
      </w:r>
    </w:p>
    <w:p>
      <w:pPr>
        <w:pStyle w:val="Heading1"/>
      </w:pPr>
      <w:r>
        <w:t>13. Potential Challenges and Mitigation Strategies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Challenge</w:t>
            </w:r>
          </w:p>
        </w:tc>
        <w:tc>
          <w:tcPr>
            <w:tcW w:type="dxa" w:w="3312"/>
            <w:vAlign w:val="center"/>
            <w:shd w:fill="D9EAF7"/>
          </w:tcPr>
          <w:p>
            <w:r/>
            <w:r>
              <w:rPr>
                <w:b/>
                <w:sz w:val="18"/>
              </w:rPr>
              <w:t>Potential Impact</w:t>
            </w:r>
          </w:p>
        </w:tc>
        <w:tc>
          <w:tcPr>
            <w:tcW w:type="dxa" w:w="3312"/>
            <w:vAlign w:val="center"/>
            <w:shd w:fill="D9EAF7"/>
          </w:tcPr>
          <w:p>
            <w:r/>
            <w:r>
              <w:rPr>
                <w:b/>
                <w:sz w:val="18"/>
              </w:rPr>
              <w:t>Proposed Response</w:t>
            </w:r>
          </w:p>
        </w:tc>
      </w:tr>
      <w:tr>
        <w:tc>
          <w:tcPr>
            <w:tcW w:type="dxa" w:w="3312"/>
            <w:vAlign w:val="center"/>
          </w:tcPr>
          <w:p>
            <w:r/>
            <w:r>
              <w:rPr>
                <w:b w:val="0"/>
                <w:sz w:val="18"/>
              </w:rPr>
              <w:t>Data distributed across reports</w:t>
            </w:r>
          </w:p>
        </w:tc>
        <w:tc>
          <w:tcPr>
            <w:tcW w:type="dxa" w:w="3312"/>
            <w:vAlign w:val="center"/>
          </w:tcPr>
          <w:p>
            <w:r/>
            <w:r>
              <w:rPr>
                <w:b w:val="0"/>
                <w:sz w:val="18"/>
              </w:rPr>
              <w:t>Slower acquisition and extraction</w:t>
            </w:r>
          </w:p>
        </w:tc>
        <w:tc>
          <w:tcPr>
            <w:tcW w:type="dxa" w:w="3312"/>
            <w:vAlign w:val="center"/>
          </w:tcPr>
          <w:p>
            <w:r/>
            <w:r>
              <w:rPr>
                <w:b w:val="0"/>
                <w:sz w:val="18"/>
              </w:rPr>
              <w:t>Build a source register and reusable extraction scripts</w:t>
            </w:r>
          </w:p>
        </w:tc>
      </w:tr>
      <w:tr>
        <w:tc>
          <w:tcPr>
            <w:tcW w:type="dxa" w:w="3312"/>
            <w:vAlign w:val="center"/>
          </w:tcPr>
          <w:p>
            <w:r/>
            <w:r>
              <w:rPr>
                <w:b w:val="0"/>
                <w:sz w:val="18"/>
              </w:rPr>
              <w:t>PDF-heavy sources</w:t>
            </w:r>
          </w:p>
        </w:tc>
        <w:tc>
          <w:tcPr>
            <w:tcW w:type="dxa" w:w="3312"/>
            <w:vAlign w:val="center"/>
          </w:tcPr>
          <w:p>
            <w:r/>
            <w:r>
              <w:rPr>
                <w:b w:val="0"/>
                <w:sz w:val="18"/>
              </w:rPr>
              <w:t>Extraction mistakes</w:t>
            </w:r>
          </w:p>
        </w:tc>
        <w:tc>
          <w:tcPr>
            <w:tcW w:type="dxa" w:w="3312"/>
            <w:vAlign w:val="center"/>
          </w:tcPr>
          <w:p>
            <w:r/>
            <w:r>
              <w:rPr>
                <w:b w:val="0"/>
                <w:sz w:val="18"/>
              </w:rPr>
              <w:t>Prefer structured tables; validate totals against source reports</w:t>
            </w:r>
          </w:p>
        </w:tc>
      </w:tr>
      <w:tr>
        <w:tc>
          <w:tcPr>
            <w:tcW w:type="dxa" w:w="3312"/>
            <w:vAlign w:val="center"/>
          </w:tcPr>
          <w:p>
            <w:r/>
            <w:r>
              <w:rPr>
                <w:b w:val="0"/>
                <w:sz w:val="18"/>
              </w:rPr>
              <w:t>Different aggregation levels</w:t>
            </w:r>
          </w:p>
        </w:tc>
        <w:tc>
          <w:tcPr>
            <w:tcW w:type="dxa" w:w="3312"/>
            <w:vAlign w:val="center"/>
          </w:tcPr>
          <w:p>
            <w:r/>
            <w:r>
              <w:rPr>
                <w:b w:val="0"/>
                <w:sz w:val="18"/>
              </w:rPr>
              <w:t>Invalid comparisons</w:t>
            </w:r>
          </w:p>
        </w:tc>
        <w:tc>
          <w:tcPr>
            <w:tcW w:type="dxa" w:w="3312"/>
            <w:vAlign w:val="center"/>
          </w:tcPr>
          <w:p>
            <w:r/>
            <w:r>
              <w:rPr>
                <w:b w:val="0"/>
                <w:sz w:val="18"/>
              </w:rPr>
              <w:t>Define granularity before integration</w:t>
            </w:r>
          </w:p>
        </w:tc>
      </w:tr>
      <w:tr>
        <w:tc>
          <w:tcPr>
            <w:tcW w:type="dxa" w:w="3312"/>
            <w:vAlign w:val="center"/>
          </w:tcPr>
          <w:p>
            <w:r/>
            <w:r>
              <w:rPr>
                <w:b w:val="0"/>
                <w:sz w:val="18"/>
              </w:rPr>
              <w:t>Missing or changing fields</w:t>
            </w:r>
          </w:p>
        </w:tc>
        <w:tc>
          <w:tcPr>
            <w:tcW w:type="dxa" w:w="3312"/>
            <w:vAlign w:val="center"/>
          </w:tcPr>
          <w:p>
            <w:r/>
            <w:r>
              <w:rPr>
                <w:b w:val="0"/>
                <w:sz w:val="18"/>
              </w:rPr>
              <w:t>Model instability</w:t>
            </w:r>
          </w:p>
        </w:tc>
        <w:tc>
          <w:tcPr>
            <w:tcW w:type="dxa" w:w="3312"/>
            <w:vAlign w:val="center"/>
          </w:tcPr>
          <w:p>
            <w:r/>
            <w:r>
              <w:rPr>
                <w:b w:val="0"/>
                <w:sz w:val="18"/>
              </w:rPr>
              <w:t>Profile every release and maintain a data dictionary</w:t>
            </w:r>
          </w:p>
        </w:tc>
      </w:tr>
      <w:tr>
        <w:tc>
          <w:tcPr>
            <w:tcW w:type="dxa" w:w="3312"/>
            <w:vAlign w:val="center"/>
          </w:tcPr>
          <w:p>
            <w:r/>
            <w:r>
              <w:rPr>
                <w:b w:val="0"/>
                <w:sz w:val="18"/>
              </w:rPr>
              <w:t>Limited customer-level Indian data</w:t>
            </w:r>
          </w:p>
        </w:tc>
        <w:tc>
          <w:tcPr>
            <w:tcW w:type="dxa" w:w="3312"/>
            <w:vAlign w:val="center"/>
          </w:tcPr>
          <w:p>
            <w:r/>
            <w:r>
              <w:rPr>
                <w:b w:val="0"/>
                <w:sz w:val="18"/>
              </w:rPr>
              <w:t>Restricted churn analysis</w:t>
            </w:r>
          </w:p>
        </w:tc>
        <w:tc>
          <w:tcPr>
            <w:tcW w:type="dxa" w:w="3312"/>
            <w:vAlign w:val="center"/>
          </w:tcPr>
          <w:p>
            <w:r/>
            <w:r>
              <w:rPr>
                <w:b w:val="0"/>
                <w:sz w:val="18"/>
              </w:rPr>
              <w:t>Use public educational churn data for methodology and TRAI for industry context</w:t>
            </w:r>
          </w:p>
        </w:tc>
      </w:tr>
      <w:tr>
        <w:tc>
          <w:tcPr>
            <w:tcW w:type="dxa" w:w="3312"/>
            <w:vAlign w:val="center"/>
          </w:tcPr>
          <w:p>
            <w:r/>
            <w:r>
              <w:rPr>
                <w:b w:val="0"/>
                <w:sz w:val="18"/>
              </w:rPr>
              <w:t>Licensing uncertainty</w:t>
            </w:r>
          </w:p>
        </w:tc>
        <w:tc>
          <w:tcPr>
            <w:tcW w:type="dxa" w:w="3312"/>
            <w:vAlign w:val="center"/>
          </w:tcPr>
          <w:p>
            <w:r/>
            <w:r>
              <w:rPr>
                <w:b w:val="0"/>
                <w:sz w:val="18"/>
              </w:rPr>
              <w:t>Publication risk</w:t>
            </w:r>
          </w:p>
        </w:tc>
        <w:tc>
          <w:tcPr>
            <w:tcW w:type="dxa" w:w="3312"/>
            <w:vAlign w:val="center"/>
          </w:tcPr>
          <w:p>
            <w:r/>
            <w:r>
              <w:rPr>
                <w:b w:val="0"/>
                <w:sz w:val="18"/>
              </w:rPr>
              <w:t>Review source terms and publish only permitted derivatives</w:t>
            </w:r>
          </w:p>
        </w:tc>
      </w:tr>
      <w:tr>
        <w:tc>
          <w:tcPr>
            <w:tcW w:type="dxa" w:w="3312"/>
            <w:vAlign w:val="center"/>
          </w:tcPr>
          <w:p>
            <w:r/>
            <w:r>
              <w:rPr>
                <w:b w:val="0"/>
                <w:sz w:val="18"/>
              </w:rPr>
              <w:t>Class imbalance in churn</w:t>
            </w:r>
          </w:p>
        </w:tc>
        <w:tc>
          <w:tcPr>
            <w:tcW w:type="dxa" w:w="3312"/>
            <w:vAlign w:val="center"/>
          </w:tcPr>
          <w:p>
            <w:r/>
            <w:r>
              <w:rPr>
                <w:b w:val="0"/>
                <w:sz w:val="18"/>
              </w:rPr>
              <w:t>Biased classifier</w:t>
            </w:r>
          </w:p>
        </w:tc>
        <w:tc>
          <w:tcPr>
            <w:tcW w:type="dxa" w:w="3312"/>
            <w:vAlign w:val="center"/>
          </w:tcPr>
          <w:p>
            <w:r/>
            <w:r>
              <w:rPr>
                <w:b w:val="0"/>
                <w:sz w:val="18"/>
              </w:rPr>
              <w:t>Use stratified splits, class metrics, and suitable evaluation</w:t>
            </w:r>
          </w:p>
        </w:tc>
      </w:tr>
      <w:tr>
        <w:tc>
          <w:tcPr>
            <w:tcW w:type="dxa" w:w="3312"/>
            <w:vAlign w:val="center"/>
          </w:tcPr>
          <w:p>
            <w:r/>
            <w:r>
              <w:rPr>
                <w:b w:val="0"/>
                <w:sz w:val="18"/>
              </w:rPr>
              <w:t>Correlation mistaken for causation</w:t>
            </w:r>
          </w:p>
        </w:tc>
        <w:tc>
          <w:tcPr>
            <w:tcW w:type="dxa" w:w="3312"/>
            <w:vAlign w:val="center"/>
          </w:tcPr>
          <w:p>
            <w:r/>
            <w:r>
              <w:rPr>
                <w:b w:val="0"/>
                <w:sz w:val="18"/>
              </w:rPr>
              <w:t>Incorrect business conclusions</w:t>
            </w:r>
          </w:p>
        </w:tc>
        <w:tc>
          <w:tcPr>
            <w:tcW w:type="dxa" w:w="3312"/>
            <w:vAlign w:val="center"/>
          </w:tcPr>
          <w:p>
            <w:r/>
            <w:r>
              <w:rPr>
                <w:b w:val="0"/>
                <w:sz w:val="18"/>
              </w:rPr>
              <w:t>Use cautious language and statistical validation</w:t>
            </w:r>
          </w:p>
        </w:tc>
      </w:tr>
      <w:tr>
        <w:tc>
          <w:tcPr>
            <w:tcW w:type="dxa" w:w="3312"/>
            <w:vAlign w:val="center"/>
          </w:tcPr>
          <w:p>
            <w:r/>
            <w:r>
              <w:rPr>
                <w:b w:val="0"/>
                <w:sz w:val="18"/>
              </w:rPr>
              <w:t>Reproducibility problems</w:t>
            </w:r>
          </w:p>
        </w:tc>
        <w:tc>
          <w:tcPr>
            <w:tcW w:type="dxa" w:w="3312"/>
            <w:vAlign w:val="center"/>
          </w:tcPr>
          <w:p>
            <w:r/>
            <w:r>
              <w:rPr>
                <w:b w:val="0"/>
                <w:sz w:val="18"/>
              </w:rPr>
              <w:t>Difficult evaluation</w:t>
            </w:r>
          </w:p>
        </w:tc>
        <w:tc>
          <w:tcPr>
            <w:tcW w:type="dxa" w:w="3312"/>
            <w:vAlign w:val="center"/>
          </w:tcPr>
          <w:p>
            <w:r/>
            <w:r>
              <w:rPr>
                <w:b w:val="0"/>
                <w:sz w:val="18"/>
              </w:rPr>
              <w:t>Pin dependencies, document steps, preserve raw inputs</w:t>
            </w:r>
          </w:p>
        </w:tc>
      </w:tr>
      <w:tr>
        <w:tc>
          <w:tcPr>
            <w:tcW w:type="dxa" w:w="3312"/>
            <w:vAlign w:val="center"/>
          </w:tcPr>
          <w:p>
            <w:r/>
            <w:r>
              <w:rPr>
                <w:b w:val="0"/>
                <w:sz w:val="18"/>
              </w:rPr>
              <w:t>Privacy risk</w:t>
            </w:r>
          </w:p>
        </w:tc>
        <w:tc>
          <w:tcPr>
            <w:tcW w:type="dxa" w:w="3312"/>
            <w:vAlign w:val="center"/>
          </w:tcPr>
          <w:p>
            <w:r/>
            <w:r>
              <w:rPr>
                <w:b w:val="0"/>
                <w:sz w:val="18"/>
              </w:rPr>
              <w:t>Potential harm or policy violation</w:t>
            </w:r>
          </w:p>
        </w:tc>
        <w:tc>
          <w:tcPr>
            <w:tcW w:type="dxa" w:w="3312"/>
            <w:vAlign w:val="center"/>
          </w:tcPr>
          <w:p>
            <w:r/>
            <w:r>
              <w:rPr>
                <w:b w:val="0"/>
                <w:sz w:val="18"/>
              </w:rPr>
              <w:t>Use aggregated/public data and minimize identifiers</w:t>
            </w:r>
          </w:p>
        </w:tc>
      </w:tr>
    </w:tbl>
    <w:p/>
    <w:p>
      <w:pPr>
        <w:pStyle w:val="Heading1"/>
      </w:pPr>
      <w:r>
        <w:t>14. Four-Week Strategic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Week</w:t>
            </w:r>
          </w:p>
        </w:tc>
        <w:tc>
          <w:tcPr>
            <w:tcW w:type="dxa" w:w="2484"/>
            <w:vAlign w:val="center"/>
            <w:shd w:fill="D9EAF7"/>
          </w:tcPr>
          <w:p>
            <w:r/>
            <w:r>
              <w:rPr>
                <w:b/>
                <w:sz w:val="18"/>
              </w:rPr>
              <w:t>Focus</w:t>
            </w:r>
          </w:p>
        </w:tc>
        <w:tc>
          <w:tcPr>
            <w:tcW w:type="dxa" w:w="2484"/>
            <w:vAlign w:val="center"/>
            <w:shd w:fill="D9EAF7"/>
          </w:tcPr>
          <w:p>
            <w:r/>
            <w:r>
              <w:rPr>
                <w:b/>
                <w:sz w:val="18"/>
              </w:rPr>
              <w:t>Main Activities</w:t>
            </w:r>
          </w:p>
        </w:tc>
        <w:tc>
          <w:tcPr>
            <w:tcW w:type="dxa" w:w="2484"/>
            <w:vAlign w:val="center"/>
            <w:shd w:fill="D9EAF7"/>
          </w:tcPr>
          <w:p>
            <w:r/>
            <w:r>
              <w:rPr>
                <w:b/>
                <w:sz w:val="18"/>
              </w:rPr>
              <w:t>Expected Output</w:t>
            </w:r>
          </w:p>
        </w:tc>
      </w:tr>
      <w:tr>
        <w:tc>
          <w:tcPr>
            <w:tcW w:type="dxa" w:w="2484"/>
            <w:vAlign w:val="center"/>
          </w:tcPr>
          <w:p>
            <w:r/>
            <w:r>
              <w:rPr>
                <w:b w:val="0"/>
                <w:sz w:val="18"/>
              </w:rPr>
              <w:t>Week 1</w:t>
            </w:r>
          </w:p>
        </w:tc>
        <w:tc>
          <w:tcPr>
            <w:tcW w:type="dxa" w:w="2484"/>
            <w:vAlign w:val="center"/>
          </w:tcPr>
          <w:p>
            <w:r/>
            <w:r>
              <w:rPr>
                <w:b w:val="0"/>
                <w:sz w:val="18"/>
              </w:rPr>
              <w:t>Data acquisition &amp; blueprint</w:t>
            </w:r>
          </w:p>
        </w:tc>
        <w:tc>
          <w:tcPr>
            <w:tcW w:type="dxa" w:w="2484"/>
            <w:vAlign w:val="center"/>
          </w:tcPr>
          <w:p>
            <w:r/>
            <w:r>
              <w:rPr>
                <w:b w:val="0"/>
                <w:sz w:val="18"/>
              </w:rPr>
              <w:t>Source research, objectives, hypotheses, acquisition plan, quality/privacy strategy</w:t>
            </w:r>
          </w:p>
        </w:tc>
        <w:tc>
          <w:tcPr>
            <w:tcW w:type="dxa" w:w="2484"/>
            <w:vAlign w:val="center"/>
          </w:tcPr>
          <w:p>
            <w:r/>
            <w:r>
              <w:rPr>
                <w:b w:val="0"/>
                <w:sz w:val="18"/>
              </w:rPr>
              <w:t>Strategic blueprint report</w:t>
            </w:r>
          </w:p>
        </w:tc>
      </w:tr>
      <w:tr>
        <w:tc>
          <w:tcPr>
            <w:tcW w:type="dxa" w:w="2484"/>
            <w:vAlign w:val="center"/>
          </w:tcPr>
          <w:p>
            <w:r/>
            <w:r>
              <w:rPr>
                <w:b w:val="0"/>
                <w:sz w:val="18"/>
              </w:rPr>
              <w:t>Week 2</w:t>
            </w:r>
          </w:p>
        </w:tc>
        <w:tc>
          <w:tcPr>
            <w:tcW w:type="dxa" w:w="2484"/>
            <w:vAlign w:val="center"/>
          </w:tcPr>
          <w:p>
            <w:r/>
            <w:r>
              <w:rPr>
                <w:b w:val="0"/>
                <w:sz w:val="18"/>
              </w:rPr>
              <w:t>Data preparation &amp; EDA</w:t>
            </w:r>
          </w:p>
        </w:tc>
        <w:tc>
          <w:tcPr>
            <w:tcW w:type="dxa" w:w="2484"/>
            <w:vAlign w:val="center"/>
          </w:tcPr>
          <w:p>
            <w:r/>
            <w:r>
              <w:rPr>
                <w:b w:val="0"/>
                <w:sz w:val="18"/>
              </w:rPr>
              <w:t>Acquire datasets, clean data, profile quality, visualize trends and distributions</w:t>
            </w:r>
          </w:p>
        </w:tc>
        <w:tc>
          <w:tcPr>
            <w:tcW w:type="dxa" w:w="2484"/>
            <w:vAlign w:val="center"/>
          </w:tcPr>
          <w:p>
            <w:r/>
            <w:r>
              <w:rPr>
                <w:b w:val="0"/>
                <w:sz w:val="18"/>
              </w:rPr>
              <w:t>Clean datasets + EDA notebook</w:t>
            </w:r>
          </w:p>
        </w:tc>
      </w:tr>
      <w:tr>
        <w:tc>
          <w:tcPr>
            <w:tcW w:type="dxa" w:w="2484"/>
            <w:vAlign w:val="center"/>
          </w:tcPr>
          <w:p>
            <w:r/>
            <w:r>
              <w:rPr>
                <w:b w:val="0"/>
                <w:sz w:val="18"/>
              </w:rPr>
              <w:t>Week 3</w:t>
            </w:r>
          </w:p>
        </w:tc>
        <w:tc>
          <w:tcPr>
            <w:tcW w:type="dxa" w:w="2484"/>
            <w:vAlign w:val="center"/>
          </w:tcPr>
          <w:p>
            <w:r/>
            <w:r>
              <w:rPr>
                <w:b w:val="0"/>
                <w:sz w:val="18"/>
              </w:rPr>
              <w:t>Feature engineering &amp; modelling</w:t>
            </w:r>
          </w:p>
        </w:tc>
        <w:tc>
          <w:tcPr>
            <w:tcW w:type="dxa" w:w="2484"/>
            <w:vAlign w:val="center"/>
          </w:tcPr>
          <w:p>
            <w:r/>
            <w:r>
              <w:rPr>
                <w:b w:val="0"/>
                <w:sz w:val="18"/>
              </w:rPr>
              <w:t>Create features, test hypotheses, train baseline models, evaluate metrics</w:t>
            </w:r>
          </w:p>
        </w:tc>
        <w:tc>
          <w:tcPr>
            <w:tcW w:type="dxa" w:w="2484"/>
            <w:vAlign w:val="center"/>
          </w:tcPr>
          <w:p>
            <w:r/>
            <w:r>
              <w:rPr>
                <w:b w:val="0"/>
                <w:sz w:val="18"/>
              </w:rPr>
              <w:t>Model notebook + evaluation results</w:t>
            </w:r>
          </w:p>
        </w:tc>
      </w:tr>
      <w:tr>
        <w:tc>
          <w:tcPr>
            <w:tcW w:type="dxa" w:w="2484"/>
            <w:vAlign w:val="center"/>
          </w:tcPr>
          <w:p>
            <w:r/>
            <w:r>
              <w:rPr>
                <w:b w:val="0"/>
                <w:sz w:val="18"/>
              </w:rPr>
              <w:t>Week 4</w:t>
            </w:r>
          </w:p>
        </w:tc>
        <w:tc>
          <w:tcPr>
            <w:tcW w:type="dxa" w:w="2484"/>
            <w:vAlign w:val="center"/>
          </w:tcPr>
          <w:p>
            <w:r/>
            <w:r>
              <w:rPr>
                <w:b w:val="0"/>
                <w:sz w:val="18"/>
              </w:rPr>
              <w:t>Insights &amp; final delivery</w:t>
            </w:r>
          </w:p>
        </w:tc>
        <w:tc>
          <w:tcPr>
            <w:tcW w:type="dxa" w:w="2484"/>
            <w:vAlign w:val="center"/>
          </w:tcPr>
          <w:p>
            <w:r/>
            <w:r>
              <w:rPr>
                <w:b w:val="0"/>
                <w:sz w:val="18"/>
              </w:rPr>
              <w:t>Interpret results, create visual dashboard/report, recommendations, documentation</w:t>
            </w:r>
          </w:p>
        </w:tc>
        <w:tc>
          <w:tcPr>
            <w:tcW w:type="dxa" w:w="2484"/>
            <w:vAlign w:val="center"/>
          </w:tcPr>
          <w:p>
            <w:r/>
            <w:r>
              <w:rPr>
                <w:b w:val="0"/>
                <w:sz w:val="18"/>
              </w:rPr>
              <w:t>Final analysis report + GitHub project</w:t>
            </w:r>
          </w:p>
        </w:tc>
      </w:tr>
    </w:tbl>
    <w:p/>
    <w:p>
      <w:pPr>
        <w:pStyle w:val="Heading2"/>
      </w:pPr>
      <w:r>
        <w:t>14.1 Week 1 – 30 to 35 Hour Work Plan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Activity</w:t>
            </w:r>
          </w:p>
        </w:tc>
        <w:tc>
          <w:tcPr>
            <w:tcW w:type="dxa" w:w="4968"/>
            <w:vAlign w:val="center"/>
            <w:shd w:fill="D9EAF7"/>
          </w:tcPr>
          <w:p>
            <w:r/>
            <w:r>
              <w:rPr>
                <w:b/>
                <w:sz w:val="18"/>
              </w:rPr>
              <w:t>Estimated Hours</w:t>
            </w:r>
          </w:p>
        </w:tc>
      </w:tr>
      <w:tr>
        <w:tc>
          <w:tcPr>
            <w:tcW w:type="dxa" w:w="4968"/>
            <w:vAlign w:val="center"/>
          </w:tcPr>
          <w:p>
            <w:r/>
            <w:r>
              <w:rPr>
                <w:b w:val="0"/>
                <w:sz w:val="18"/>
              </w:rPr>
              <w:t>Telecom industry and source research</w:t>
            </w:r>
          </w:p>
        </w:tc>
        <w:tc>
          <w:tcPr>
            <w:tcW w:type="dxa" w:w="4968"/>
            <w:vAlign w:val="center"/>
          </w:tcPr>
          <w:p>
            <w:r/>
            <w:r>
              <w:rPr>
                <w:b w:val="0"/>
                <w:sz w:val="18"/>
              </w:rPr>
              <w:t>5 hours</w:t>
            </w:r>
          </w:p>
        </w:tc>
      </w:tr>
      <w:tr>
        <w:tc>
          <w:tcPr>
            <w:tcW w:type="dxa" w:w="4968"/>
            <w:vAlign w:val="center"/>
          </w:tcPr>
          <w:p>
            <w:r/>
            <w:r>
              <w:rPr>
                <w:b w:val="0"/>
                <w:sz w:val="18"/>
              </w:rPr>
              <w:t>Dataset discovery and source evaluation</w:t>
            </w:r>
          </w:p>
        </w:tc>
        <w:tc>
          <w:tcPr>
            <w:tcW w:type="dxa" w:w="4968"/>
            <w:vAlign w:val="center"/>
          </w:tcPr>
          <w:p>
            <w:r/>
            <w:r>
              <w:rPr>
                <w:b w:val="0"/>
                <w:sz w:val="18"/>
              </w:rPr>
              <w:t>5 hours</w:t>
            </w:r>
          </w:p>
        </w:tc>
      </w:tr>
      <w:tr>
        <w:tc>
          <w:tcPr>
            <w:tcW w:type="dxa" w:w="4968"/>
            <w:vAlign w:val="center"/>
          </w:tcPr>
          <w:p>
            <w:r/>
            <w:r>
              <w:rPr>
                <w:b w:val="0"/>
                <w:sz w:val="18"/>
              </w:rPr>
              <w:t>Acquisition workflow design</w:t>
            </w:r>
          </w:p>
        </w:tc>
        <w:tc>
          <w:tcPr>
            <w:tcW w:type="dxa" w:w="4968"/>
            <w:vAlign w:val="center"/>
          </w:tcPr>
          <w:p>
            <w:r/>
            <w:r>
              <w:rPr>
                <w:b w:val="0"/>
                <w:sz w:val="18"/>
              </w:rPr>
              <w:t>4 hours</w:t>
            </w:r>
          </w:p>
        </w:tc>
      </w:tr>
      <w:tr>
        <w:tc>
          <w:tcPr>
            <w:tcW w:type="dxa" w:w="4968"/>
            <w:vAlign w:val="center"/>
          </w:tcPr>
          <w:p>
            <w:r/>
            <w:r>
              <w:rPr>
                <w:b w:val="0"/>
                <w:sz w:val="18"/>
              </w:rPr>
              <w:t>Data dictionary and variable planning</w:t>
            </w:r>
          </w:p>
        </w:tc>
        <w:tc>
          <w:tcPr>
            <w:tcW w:type="dxa" w:w="4968"/>
            <w:vAlign w:val="center"/>
          </w:tcPr>
          <w:p>
            <w:r/>
            <w:r>
              <w:rPr>
                <w:b w:val="0"/>
                <w:sz w:val="18"/>
              </w:rPr>
              <w:t>3 hours</w:t>
            </w:r>
          </w:p>
        </w:tc>
      </w:tr>
      <w:tr>
        <w:tc>
          <w:tcPr>
            <w:tcW w:type="dxa" w:w="4968"/>
            <w:vAlign w:val="center"/>
          </w:tcPr>
          <w:p>
            <w:r/>
            <w:r>
              <w:rPr>
                <w:b w:val="0"/>
                <w:sz w:val="18"/>
              </w:rPr>
              <w:t>Hypothesis and analysis objective design</w:t>
            </w:r>
          </w:p>
        </w:tc>
        <w:tc>
          <w:tcPr>
            <w:tcW w:type="dxa" w:w="4968"/>
            <w:vAlign w:val="center"/>
          </w:tcPr>
          <w:p>
            <w:r/>
            <w:r>
              <w:rPr>
                <w:b w:val="0"/>
                <w:sz w:val="18"/>
              </w:rPr>
              <w:t>3 hours</w:t>
            </w:r>
          </w:p>
        </w:tc>
      </w:tr>
      <w:tr>
        <w:tc>
          <w:tcPr>
            <w:tcW w:type="dxa" w:w="4968"/>
            <w:vAlign w:val="center"/>
          </w:tcPr>
          <w:p>
            <w:r/>
            <w:r>
              <w:rPr>
                <w:b w:val="0"/>
                <w:sz w:val="18"/>
              </w:rPr>
              <w:t>Python tooling and repository planning</w:t>
            </w:r>
          </w:p>
        </w:tc>
        <w:tc>
          <w:tcPr>
            <w:tcW w:type="dxa" w:w="4968"/>
            <w:vAlign w:val="center"/>
          </w:tcPr>
          <w:p>
            <w:r/>
            <w:r>
              <w:rPr>
                <w:b w:val="0"/>
                <w:sz w:val="18"/>
              </w:rPr>
              <w:t>3 hours</w:t>
            </w:r>
          </w:p>
        </w:tc>
      </w:tr>
      <w:tr>
        <w:tc>
          <w:tcPr>
            <w:tcW w:type="dxa" w:w="4968"/>
            <w:vAlign w:val="center"/>
          </w:tcPr>
          <w:p>
            <w:r/>
            <w:r>
              <w:rPr>
                <w:b w:val="0"/>
                <w:sz w:val="18"/>
              </w:rPr>
              <w:t>Data quality, privacy and risk planning</w:t>
            </w:r>
          </w:p>
        </w:tc>
        <w:tc>
          <w:tcPr>
            <w:tcW w:type="dxa" w:w="4968"/>
            <w:vAlign w:val="center"/>
          </w:tcPr>
          <w:p>
            <w:r/>
            <w:r>
              <w:rPr>
                <w:b w:val="0"/>
                <w:sz w:val="18"/>
              </w:rPr>
              <w:t>4 hours</w:t>
            </w:r>
          </w:p>
        </w:tc>
      </w:tr>
      <w:tr>
        <w:tc>
          <w:tcPr>
            <w:tcW w:type="dxa" w:w="4968"/>
            <w:vAlign w:val="center"/>
          </w:tcPr>
          <w:p>
            <w:r/>
            <w:r>
              <w:rPr>
                <w:b w:val="0"/>
                <w:sz w:val="18"/>
              </w:rPr>
              <w:t>Report writing, formatting, review and final checks</w:t>
            </w:r>
          </w:p>
        </w:tc>
        <w:tc>
          <w:tcPr>
            <w:tcW w:type="dxa" w:w="4968"/>
            <w:vAlign w:val="center"/>
          </w:tcPr>
          <w:p>
            <w:r/>
            <w:r>
              <w:rPr>
                <w:b w:val="0"/>
                <w:sz w:val="18"/>
              </w:rPr>
              <w:t>5–8 hours</w:t>
            </w:r>
          </w:p>
        </w:tc>
      </w:tr>
      <w:tr>
        <w:tc>
          <w:tcPr>
            <w:tcW w:type="dxa" w:w="4968"/>
            <w:vAlign w:val="center"/>
          </w:tcPr>
          <w:p>
            <w:r/>
            <w:r>
              <w:rPr>
                <w:b w:val="0"/>
                <w:sz w:val="18"/>
              </w:rPr>
              <w:t>Total</w:t>
            </w:r>
          </w:p>
        </w:tc>
        <w:tc>
          <w:tcPr>
            <w:tcW w:type="dxa" w:w="4968"/>
            <w:vAlign w:val="center"/>
          </w:tcPr>
          <w:p>
            <w:r/>
            <w:r>
              <w:rPr>
                <w:b w:val="0"/>
                <w:sz w:val="18"/>
              </w:rPr>
              <w:t>32–35 hours</w:t>
            </w:r>
          </w:p>
        </w:tc>
      </w:tr>
    </w:tbl>
    <w:p/>
    <w:p>
      <w:pPr>
        <w:pStyle w:val="Heading1"/>
      </w:pPr>
      <w:r>
        <w:t>15. Week 1 Deliverables and Acceptance Criteria</w:t>
      </w:r>
    </w:p>
    <w:p>
      <w:pPr>
        <w:pStyle w:val="ListBullet"/>
        <w:spacing w:after="40"/>
      </w:pPr>
      <w:r>
        <w:t>A structured Word report containing objective, hypotheses, public data sources, acquisition methods, tools, timeline, challenges, and mitigation.</w:t>
      </w:r>
    </w:p>
    <w:p>
      <w:pPr>
        <w:pStyle w:val="ListBullet"/>
        <w:spacing w:after="40"/>
      </w:pPr>
      <w:r>
        <w:t>A documented source register with official links and access notes.</w:t>
      </w:r>
    </w:p>
    <w:p>
      <w:pPr>
        <w:pStyle w:val="ListBullet"/>
        <w:spacing w:after="40"/>
      </w:pPr>
      <w:r>
        <w:t>A clear data-acquisition workflow that another student can reproduce.</w:t>
      </w:r>
    </w:p>
    <w:p>
      <w:pPr>
        <w:pStyle w:val="ListBullet"/>
        <w:spacing w:after="40"/>
      </w:pPr>
      <w:r>
        <w:t>A candidate data dictionary and list of analytical variables.</w:t>
      </w:r>
    </w:p>
    <w:p>
      <w:pPr>
        <w:pStyle w:val="ListBullet"/>
        <w:spacing w:after="40"/>
      </w:pPr>
      <w:r>
        <w:t>A four-week roadmap connecting Week 1 planning to later technical work.</w:t>
      </w:r>
    </w:p>
    <w:p>
      <w:pPr>
        <w:pStyle w:val="ListBullet"/>
        <w:spacing w:after="40"/>
      </w:pPr>
      <w:r>
        <w:t>A privacy and ethical handling plan.</w:t>
      </w:r>
    </w:p>
    <w:p>
      <w:pPr>
        <w:pStyle w:val="ListBullet"/>
        <w:spacing w:after="40"/>
      </w:pPr>
      <w:r>
        <w:t>A proposed GitHub structure suitable for a technical internship project.</w:t>
      </w:r>
    </w:p>
    <w:p>
      <w:pPr>
        <w:pStyle w:val="Heading1"/>
      </w:pPr>
      <w:r>
        <w:t>16. GitHub Project Plan</w:t>
      </w:r>
    </w:p>
    <w:p>
      <w:r>
        <w:t>Because the internship instructions state that a GitHub URL is compulsory for technical/software-related work, the project should maintain a public or appropriately shareable repository containing the reproducible technical work. The repository should not contain restricted datasets, personal data, API keys, or copyrighted files that cannot legally be redistributed.</w:t>
      </w:r>
    </w:p>
    <w:p>
      <w:pPr>
        <w:pStyle w:val="ListBullet"/>
        <w:spacing w:after="40"/>
      </w:pPr>
      <w:r>
        <w:t>README.md – project objective, datasets, methodology, setup and results.</w:t>
      </w:r>
    </w:p>
    <w:p>
      <w:pPr>
        <w:pStyle w:val="ListBullet"/>
        <w:spacing w:after="40"/>
      </w:pPr>
      <w:r>
        <w:t>data/ – only permitted sample/derived data; keep restricted raw files out of the repository.</w:t>
      </w:r>
    </w:p>
    <w:p>
      <w:pPr>
        <w:pStyle w:val="ListBullet"/>
        <w:spacing w:after="40"/>
      </w:pPr>
      <w:r>
        <w:t>notebooks/ – acquisition notes, data profiling, EDA and modelling notebooks.</w:t>
      </w:r>
    </w:p>
    <w:p>
      <w:pPr>
        <w:pStyle w:val="ListBullet"/>
        <w:spacing w:after="40"/>
      </w:pPr>
      <w:r>
        <w:t>src/ – reusable Python scripts.</w:t>
      </w:r>
    </w:p>
    <w:p>
      <w:pPr>
        <w:pStyle w:val="ListBullet"/>
        <w:spacing w:after="40"/>
      </w:pPr>
      <w:r>
        <w:t>figures/ – final charts.</w:t>
      </w:r>
    </w:p>
    <w:p>
      <w:pPr>
        <w:pStyle w:val="ListBullet"/>
        <w:spacing w:after="40"/>
      </w:pPr>
      <w:r>
        <w:t>reports/ – internship reports.</w:t>
      </w:r>
    </w:p>
    <w:p>
      <w:pPr>
        <w:pStyle w:val="ListBullet"/>
        <w:spacing w:after="40"/>
      </w:pPr>
      <w:r>
        <w:t>requirements.txt – Python dependencies.</w:t>
      </w:r>
    </w:p>
    <w:p>
      <w:pPr>
        <w:pStyle w:val="ListBullet"/>
        <w:spacing w:after="40"/>
      </w:pPr>
      <w:r>
        <w:t>.gitignore – prevent accidental upload of sensitive/local files.</w:t>
      </w:r>
    </w:p>
    <w:p>
      <w:pPr>
        <w:pStyle w:val="Heading1"/>
      </w:pPr>
      <w:r>
        <w:t>17. Proposed Initial KPIs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KPI</w:t>
            </w:r>
          </w:p>
        </w:tc>
        <w:tc>
          <w:tcPr>
            <w:tcW w:type="dxa" w:w="3312"/>
            <w:vAlign w:val="center"/>
            <w:shd w:fill="D9EAF7"/>
          </w:tcPr>
          <w:p>
            <w:r/>
            <w:r>
              <w:rPr>
                <w:b/>
                <w:sz w:val="18"/>
              </w:rPr>
              <w:t>Definition / Direction</w:t>
            </w:r>
          </w:p>
        </w:tc>
        <w:tc>
          <w:tcPr>
            <w:tcW w:type="dxa" w:w="3312"/>
            <w:vAlign w:val="center"/>
            <w:shd w:fill="D9EAF7"/>
          </w:tcPr>
          <w:p>
            <w:r/>
            <w:r>
              <w:rPr>
                <w:b/>
                <w:sz w:val="18"/>
              </w:rPr>
              <w:t>Purpose</w:t>
            </w:r>
          </w:p>
        </w:tc>
      </w:tr>
      <w:tr>
        <w:tc>
          <w:tcPr>
            <w:tcW w:type="dxa" w:w="3312"/>
            <w:vAlign w:val="center"/>
          </w:tcPr>
          <w:p>
            <w:r/>
            <w:r>
              <w:rPr>
                <w:b w:val="0"/>
                <w:sz w:val="18"/>
              </w:rPr>
              <w:t>Subscriber growth rate</w:t>
            </w:r>
          </w:p>
        </w:tc>
        <w:tc>
          <w:tcPr>
            <w:tcW w:type="dxa" w:w="3312"/>
            <w:vAlign w:val="center"/>
          </w:tcPr>
          <w:p>
            <w:r/>
            <w:r>
              <w:rPr>
                <w:b w:val="0"/>
                <w:sz w:val="18"/>
              </w:rPr>
              <w:t>Change in subscribers over a defined period</w:t>
            </w:r>
          </w:p>
        </w:tc>
        <w:tc>
          <w:tcPr>
            <w:tcW w:type="dxa" w:w="3312"/>
            <w:vAlign w:val="center"/>
          </w:tcPr>
          <w:p>
            <w:r/>
            <w:r>
              <w:rPr>
                <w:b w:val="0"/>
                <w:sz w:val="18"/>
              </w:rPr>
              <w:t>Track market expansion/contraction</w:t>
            </w:r>
          </w:p>
        </w:tc>
      </w:tr>
      <w:tr>
        <w:tc>
          <w:tcPr>
            <w:tcW w:type="dxa" w:w="3312"/>
            <w:vAlign w:val="center"/>
          </w:tcPr>
          <w:p>
            <w:r/>
            <w:r>
              <w:rPr>
                <w:b w:val="0"/>
                <w:sz w:val="18"/>
              </w:rPr>
              <w:t>Churn rate</w:t>
            </w:r>
          </w:p>
        </w:tc>
        <w:tc>
          <w:tcPr>
            <w:tcW w:type="dxa" w:w="3312"/>
            <w:vAlign w:val="center"/>
          </w:tcPr>
          <w:p>
            <w:r/>
            <w:r>
              <w:rPr>
                <w:b w:val="0"/>
                <w:sz w:val="18"/>
              </w:rPr>
              <w:t>Churned customers / relevant customer base</w:t>
            </w:r>
          </w:p>
        </w:tc>
        <w:tc>
          <w:tcPr>
            <w:tcW w:type="dxa" w:w="3312"/>
            <w:vAlign w:val="center"/>
          </w:tcPr>
          <w:p>
            <w:r/>
            <w:r>
              <w:rPr>
                <w:b w:val="0"/>
                <w:sz w:val="18"/>
              </w:rPr>
              <w:t>Measure retention outcome</w:t>
            </w:r>
          </w:p>
        </w:tc>
      </w:tr>
      <w:tr>
        <w:tc>
          <w:tcPr>
            <w:tcW w:type="dxa" w:w="3312"/>
            <w:vAlign w:val="center"/>
          </w:tcPr>
          <w:p>
            <w:r/>
            <w:r>
              <w:rPr>
                <w:b w:val="0"/>
                <w:sz w:val="18"/>
              </w:rPr>
              <w:t>Average tenure</w:t>
            </w:r>
          </w:p>
        </w:tc>
        <w:tc>
          <w:tcPr>
            <w:tcW w:type="dxa" w:w="3312"/>
            <w:vAlign w:val="center"/>
          </w:tcPr>
          <w:p>
            <w:r/>
            <w:r>
              <w:rPr>
                <w:b w:val="0"/>
                <w:sz w:val="18"/>
              </w:rPr>
              <w:t>Mean customer tenure</w:t>
            </w:r>
          </w:p>
        </w:tc>
        <w:tc>
          <w:tcPr>
            <w:tcW w:type="dxa" w:w="3312"/>
            <w:vAlign w:val="center"/>
          </w:tcPr>
          <w:p>
            <w:r/>
            <w:r>
              <w:rPr>
                <w:b w:val="0"/>
                <w:sz w:val="18"/>
              </w:rPr>
              <w:t>Understand customer lifecycle</w:t>
            </w:r>
          </w:p>
        </w:tc>
      </w:tr>
      <w:tr>
        <w:tc>
          <w:tcPr>
            <w:tcW w:type="dxa" w:w="3312"/>
            <w:vAlign w:val="center"/>
          </w:tcPr>
          <w:p>
            <w:r/>
            <w:r>
              <w:rPr>
                <w:b w:val="0"/>
                <w:sz w:val="18"/>
              </w:rPr>
              <w:t>Average monthly charge</w:t>
            </w:r>
          </w:p>
        </w:tc>
        <w:tc>
          <w:tcPr>
            <w:tcW w:type="dxa" w:w="3312"/>
            <w:vAlign w:val="center"/>
          </w:tcPr>
          <w:p>
            <w:r/>
            <w:r>
              <w:rPr>
                <w:b w:val="0"/>
                <w:sz w:val="18"/>
              </w:rPr>
              <w:t>Mean recurring monthly charge</w:t>
            </w:r>
          </w:p>
        </w:tc>
        <w:tc>
          <w:tcPr>
            <w:tcW w:type="dxa" w:w="3312"/>
            <w:vAlign w:val="center"/>
          </w:tcPr>
          <w:p>
            <w:r/>
            <w:r>
              <w:rPr>
                <w:b w:val="0"/>
                <w:sz w:val="18"/>
              </w:rPr>
              <w:t>Revenue/customer profile</w:t>
            </w:r>
          </w:p>
        </w:tc>
      </w:tr>
      <w:tr>
        <w:tc>
          <w:tcPr>
            <w:tcW w:type="dxa" w:w="3312"/>
            <w:vAlign w:val="center"/>
          </w:tcPr>
          <w:p>
            <w:r/>
            <w:r>
              <w:rPr>
                <w:b w:val="0"/>
                <w:sz w:val="18"/>
              </w:rPr>
              <w:t>Contract-wise churn rate</w:t>
            </w:r>
          </w:p>
        </w:tc>
        <w:tc>
          <w:tcPr>
            <w:tcW w:type="dxa" w:w="3312"/>
            <w:vAlign w:val="center"/>
          </w:tcPr>
          <w:p>
            <w:r/>
            <w:r>
              <w:rPr>
                <w:b w:val="0"/>
                <w:sz w:val="18"/>
              </w:rPr>
              <w:t>Churn by contract category</w:t>
            </w:r>
          </w:p>
        </w:tc>
        <w:tc>
          <w:tcPr>
            <w:tcW w:type="dxa" w:w="3312"/>
            <w:vAlign w:val="center"/>
          </w:tcPr>
          <w:p>
            <w:r/>
            <w:r>
              <w:rPr>
                <w:b w:val="0"/>
                <w:sz w:val="18"/>
              </w:rPr>
              <w:t>Test H1</w:t>
            </w:r>
          </w:p>
        </w:tc>
      </w:tr>
      <w:tr>
        <w:tc>
          <w:tcPr>
            <w:tcW w:type="dxa" w:w="3312"/>
            <w:vAlign w:val="center"/>
          </w:tcPr>
          <w:p>
            <w:r/>
            <w:r>
              <w:rPr>
                <w:b w:val="0"/>
                <w:sz w:val="18"/>
              </w:rPr>
              <w:t>Service-wise churn rate</w:t>
            </w:r>
          </w:p>
        </w:tc>
        <w:tc>
          <w:tcPr>
            <w:tcW w:type="dxa" w:w="3312"/>
            <w:vAlign w:val="center"/>
          </w:tcPr>
          <w:p>
            <w:r/>
            <w:r>
              <w:rPr>
                <w:b w:val="0"/>
                <w:sz w:val="18"/>
              </w:rPr>
              <w:t>Churn by service adoption</w:t>
            </w:r>
          </w:p>
        </w:tc>
        <w:tc>
          <w:tcPr>
            <w:tcW w:type="dxa" w:w="3312"/>
            <w:vAlign w:val="center"/>
          </w:tcPr>
          <w:p>
            <w:r/>
            <w:r>
              <w:rPr>
                <w:b w:val="0"/>
                <w:sz w:val="18"/>
              </w:rPr>
              <w:t>Test H2</w:t>
            </w:r>
          </w:p>
        </w:tc>
      </w:tr>
      <w:tr>
        <w:tc>
          <w:tcPr>
            <w:tcW w:type="dxa" w:w="3312"/>
            <w:vAlign w:val="center"/>
          </w:tcPr>
          <w:p>
            <w:r/>
            <w:r>
              <w:rPr>
                <w:b w:val="0"/>
                <w:sz w:val="18"/>
              </w:rPr>
              <w:t>Payment-method churn rate</w:t>
            </w:r>
          </w:p>
        </w:tc>
        <w:tc>
          <w:tcPr>
            <w:tcW w:type="dxa" w:w="3312"/>
            <w:vAlign w:val="center"/>
          </w:tcPr>
          <w:p>
            <w:r/>
            <w:r>
              <w:rPr>
                <w:b w:val="0"/>
                <w:sz w:val="18"/>
              </w:rPr>
              <w:t>Churn by payment method</w:t>
            </w:r>
          </w:p>
        </w:tc>
        <w:tc>
          <w:tcPr>
            <w:tcW w:type="dxa" w:w="3312"/>
            <w:vAlign w:val="center"/>
          </w:tcPr>
          <w:p>
            <w:r/>
            <w:r>
              <w:rPr>
                <w:b w:val="0"/>
                <w:sz w:val="18"/>
              </w:rPr>
              <w:t>Test H3</w:t>
            </w:r>
          </w:p>
        </w:tc>
      </w:tr>
      <w:tr>
        <w:tc>
          <w:tcPr>
            <w:tcW w:type="dxa" w:w="3312"/>
            <w:vAlign w:val="center"/>
          </w:tcPr>
          <w:p>
            <w:r/>
            <w:r>
              <w:rPr>
                <w:b w:val="0"/>
                <w:sz w:val="18"/>
              </w:rPr>
              <w:t>QoS benchmark gap</w:t>
            </w:r>
          </w:p>
        </w:tc>
        <w:tc>
          <w:tcPr>
            <w:tcW w:type="dxa" w:w="3312"/>
            <w:vAlign w:val="center"/>
          </w:tcPr>
          <w:p>
            <w:r/>
            <w:r>
              <w:rPr>
                <w:b w:val="0"/>
                <w:sz w:val="18"/>
              </w:rPr>
              <w:t>Observed metric relative to applicable benchmark</w:t>
            </w:r>
          </w:p>
        </w:tc>
        <w:tc>
          <w:tcPr>
            <w:tcW w:type="dxa" w:w="3312"/>
            <w:vAlign w:val="center"/>
          </w:tcPr>
          <w:p>
            <w:r/>
            <w:r>
              <w:rPr>
                <w:b w:val="0"/>
                <w:sz w:val="18"/>
              </w:rPr>
              <w:t>Service-quality monitoring</w:t>
            </w:r>
          </w:p>
        </w:tc>
      </w:tr>
    </w:tbl>
    <w:p/>
    <w:p>
      <w:pPr>
        <w:pStyle w:val="Heading1"/>
      </w:pPr>
      <w:r>
        <w:t>18. Expected Outcomes</w:t>
      </w:r>
    </w:p>
    <w:p>
      <w:r>
        <w:t>At the end of the four-week project, the expected outcome is a documented telecom analytics workflow capable of taking public data from source discovery through cleaning, exploration, statistical analysis, and baseline modelling. The project should produce evidence-based findings rather than assumptions, and it should clearly distinguish industry-level observations from customer-level modelling results.</w:t>
      </w:r>
    </w:p>
    <w:p>
      <w:r>
        <w:t>Week 1 specifically establishes the foundation: a defensible choice of data sources, a clear hypothesis, a reproducible acquisition procedure, a quality-control framework, and a practical roadmap. This reduces the risk of collecting irrelevant data or beginning modelling before the data is understood.</w:t>
      </w:r>
    </w:p>
    <w:p>
      <w:pPr>
        <w:pStyle w:val="Heading1"/>
      </w:pPr>
      <w:r>
        <w:t>19. Conclusion</w:t>
      </w:r>
    </w:p>
    <w:p>
      <w:r>
        <w:t>A successful telecom data science project begins with a strong data strategy. The proposed blueprint combines official Indian telecom resources, an educational customer-level dataset, structured acquisition procedures, Python-based quality checks, hypothesis-driven analysis, and responsible data handling. The plan is intentionally practical: each Week 1 decision leads to a concrete technical activity in Weeks 2–4.</w:t>
      </w:r>
    </w:p>
    <w:p>
      <w:r>
        <w:t>The recommended approach is to begin with TRAI for Indian telecom industry context and use a clearly labelled public educational churn dataset for customer-level analytics. Once the datasets are acquired and profiled, the project can move into exploratory analysis, statistical validation, feature engineering, and baseline predictive modelling. The resulting work will demonstrate not only Python skills, but also the more important analytical skills of problem formulation, source evaluation, data quality management, reproducibility, and responsible interpretation.</w:t>
      </w:r>
    </w:p>
    <w:p>
      <w:pPr>
        <w:pStyle w:val="Heading1"/>
      </w:pPr>
      <w:r>
        <w:t>20. References and Public Resources</w:t>
      </w:r>
    </w:p>
    <w:p>
      <w:pPr>
        <w:pStyle w:val="ListNumber"/>
        <w:spacing w:after="40"/>
      </w:pPr>
      <w:r>
        <w:t>Telecom Regulatory Authority of India (TRAI) – Telecom Subscription Reports: https://www.trai.gov.in/release-publication/reports/telecom-subscriptions-reports</w:t>
      </w:r>
    </w:p>
    <w:p>
      <w:pPr>
        <w:pStyle w:val="ListNumber"/>
        <w:spacing w:after="40"/>
      </w:pPr>
      <w:r>
        <w:t>TRAI – Quality of Service resources: https://www.trai.gov.in/telecom/qos</w:t>
      </w:r>
    </w:p>
    <w:p>
      <w:pPr>
        <w:pStyle w:val="ListNumber"/>
        <w:spacing w:after="40"/>
      </w:pPr>
      <w:r>
        <w:t>TRAI – Standards of Quality of Service of Access and Broadband Services Regulations, 2024: https://trai.gov.in/standards-quality-service-access-wireline-and-wireless-and-broadband-wireline-and-wireless-service</w:t>
      </w:r>
    </w:p>
    <w:p>
      <w:pPr>
        <w:pStyle w:val="ListNumber"/>
        <w:spacing w:after="40"/>
      </w:pPr>
      <w:r>
        <w:t>TRAI – Wireless Data Reports: https://www.trai.gov.in/release-publication/reports/wireless-data-reports</w:t>
      </w:r>
    </w:p>
    <w:p>
      <w:pPr>
        <w:pStyle w:val="ListNumber"/>
        <w:spacing w:after="40"/>
      </w:pPr>
      <w:r>
        <w:t>Kaggle – Telco Customer Churn: IBM dataset: https://www.kaggle.com/datasets/yeanzc/telco-customer-churn-ibm-dataset</w:t>
      </w:r>
    </w:p>
    <w:p>
      <w:pPr>
        <w:pStyle w:val="ListNumber"/>
        <w:spacing w:after="40"/>
      </w:pPr>
      <w:r>
        <w:t>FCC Broadband Data Collection – Key Reference Documents: https://help.bdc.fcc.gov/hc/en-us/articles/6789299021723-Key-Reference-Documents</w:t>
      </w:r>
    </w:p>
    <w:p>
      <w:pPr>
        <w:pStyle w:val="ListNumber"/>
        <w:spacing w:after="40"/>
      </w:pPr>
      <w:r>
        <w:t>Python documentation: https://docs.python.org/</w:t>
      </w:r>
    </w:p>
    <w:p>
      <w:pPr>
        <w:pStyle w:val="ListNumber"/>
        <w:spacing w:after="40"/>
      </w:pPr>
      <w:r>
        <w:t>Pandas documentation: https://pandas.pydata.org/docs/</w:t>
      </w:r>
    </w:p>
    <w:p>
      <w:pPr>
        <w:pStyle w:val="ListNumber"/>
        <w:spacing w:after="40"/>
      </w:pPr>
      <w:r>
        <w:t>NumPy documentation: https://numpy.org/doc/</w:t>
      </w:r>
    </w:p>
    <w:p>
      <w:pPr>
        <w:pStyle w:val="ListNumber"/>
        <w:spacing w:after="40"/>
      </w:pPr>
      <w:r>
        <w:t>Matplotlib documentation: https://matplotlib.org/stable/</w:t>
      </w:r>
    </w:p>
    <w:p>
      <w:pPr>
        <w:pStyle w:val="ListNumber"/>
        <w:spacing w:after="40"/>
      </w:pPr>
      <w:r>
        <w:t>Seaborn documentation: https://seaborn.pydata.org/</w:t>
      </w:r>
    </w:p>
    <w:p>
      <w:pPr>
        <w:pStyle w:val="ListNumber"/>
        <w:spacing w:after="40"/>
      </w:pPr>
      <w:r>
        <w:t>SciPy documentation: https://docs.scipy.org/doc/scipy/</w:t>
      </w:r>
    </w:p>
    <w:p>
      <w:pPr>
        <w:pStyle w:val="ListNumber"/>
        <w:spacing w:after="40"/>
      </w:pPr>
      <w:r>
        <w:t>Scikit-learn documentation: https://scikit-learn.org/stable/</w:t>
      </w:r>
    </w:p>
    <w:p/>
    <w:p>
      <w:pPr>
        <w:pStyle w:val="SmallNote"/>
      </w:pPr>
      <w:r>
        <w:t>Note: Public-source availability, formats, licensing terms, and web content can change. Before using a source for the final technical analysis, record the access date and verify the source's current terms and data definition.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Strategic Blueprint for Telecom Data Acquisition and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Yuva Internship | Telecom Data Science Analyst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