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AF07E" w14:textId="77777777" w:rsidR="00EB53AD" w:rsidRPr="00253CB5" w:rsidRDefault="00000000">
      <w:pPr>
        <w:spacing w:after="80"/>
        <w:jc w:val="center"/>
        <w:rPr>
          <w:b/>
          <w:bCs/>
          <w:color w:val="002060"/>
        </w:rPr>
      </w:pPr>
      <w:r w:rsidRPr="00253CB5">
        <w:rPr>
          <w:rFonts w:ascii="Arial" w:eastAsia="Arial" w:hAnsi="Arial" w:cs="Arial"/>
          <w:b/>
          <w:bCs/>
          <w:color w:val="002060"/>
          <w:sz w:val="40"/>
          <w:szCs w:val="40"/>
        </w:rPr>
        <w:t>Customer Churn Prediction &amp; Risk Segmentation</w:t>
      </w:r>
    </w:p>
    <w:p w14:paraId="6168D189" w14:textId="77777777" w:rsidR="00EB53AD" w:rsidRPr="00253CB5" w:rsidRDefault="00000000">
      <w:pPr>
        <w:spacing w:after="60"/>
        <w:jc w:val="center"/>
        <w:rPr>
          <w:b/>
          <w:bCs/>
          <w:color w:val="002060"/>
        </w:rPr>
      </w:pPr>
      <w:r w:rsidRPr="00253CB5">
        <w:rPr>
          <w:rFonts w:ascii="Arial" w:eastAsia="Arial" w:hAnsi="Arial" w:cs="Arial"/>
          <w:b/>
          <w:bCs/>
          <w:color w:val="002060"/>
          <w:sz w:val="26"/>
          <w:szCs w:val="26"/>
        </w:rPr>
        <w:t>Task 6 — Insights &amp; Business Recommendations</w:t>
      </w:r>
    </w:p>
    <w:p w14:paraId="0D3B64B7" w14:textId="77777777" w:rsidR="00EB53AD" w:rsidRPr="00253CB5" w:rsidRDefault="00000000">
      <w:pPr>
        <w:spacing w:after="60"/>
        <w:jc w:val="center"/>
        <w:rPr>
          <w:b/>
          <w:bCs/>
          <w:color w:val="002060"/>
        </w:rPr>
      </w:pPr>
      <w:r w:rsidRPr="00253CB5">
        <w:rPr>
          <w:rFonts w:ascii="Arial" w:eastAsia="Arial" w:hAnsi="Arial" w:cs="Arial"/>
          <w:b/>
          <w:bCs/>
          <w:color w:val="002060"/>
          <w:sz w:val="20"/>
          <w:szCs w:val="20"/>
        </w:rPr>
        <w:t xml:space="preserve">Internship Week </w:t>
      </w:r>
      <w:proofErr w:type="gramStart"/>
      <w:r w:rsidRPr="00253CB5">
        <w:rPr>
          <w:rFonts w:ascii="Arial" w:eastAsia="Arial" w:hAnsi="Arial" w:cs="Arial"/>
          <w:b/>
          <w:bCs/>
          <w:color w:val="002060"/>
          <w:sz w:val="20"/>
          <w:szCs w:val="20"/>
        </w:rPr>
        <w:t>2  |</w:t>
      </w:r>
      <w:proofErr w:type="gramEnd"/>
      <w:r w:rsidRPr="00253CB5">
        <w:rPr>
          <w:rFonts w:ascii="Arial" w:eastAsia="Arial" w:hAnsi="Arial" w:cs="Arial"/>
          <w:b/>
          <w:bCs/>
          <w:color w:val="002060"/>
          <w:sz w:val="20"/>
          <w:szCs w:val="20"/>
        </w:rPr>
        <w:t xml:space="preserve">  Telco Customer Churn </w:t>
      </w:r>
      <w:proofErr w:type="gramStart"/>
      <w:r w:rsidRPr="00253CB5">
        <w:rPr>
          <w:rFonts w:ascii="Arial" w:eastAsia="Arial" w:hAnsi="Arial" w:cs="Arial"/>
          <w:b/>
          <w:bCs/>
          <w:color w:val="002060"/>
          <w:sz w:val="20"/>
          <w:szCs w:val="20"/>
        </w:rPr>
        <w:t>Dataset  |</w:t>
      </w:r>
      <w:proofErr w:type="gramEnd"/>
      <w:r w:rsidRPr="00253CB5">
        <w:rPr>
          <w:rFonts w:ascii="Arial" w:eastAsia="Arial" w:hAnsi="Arial" w:cs="Arial"/>
          <w:b/>
          <w:bCs/>
          <w:color w:val="002060"/>
          <w:sz w:val="20"/>
          <w:szCs w:val="20"/>
        </w:rPr>
        <w:t xml:space="preserve">  May 2026</w:t>
      </w:r>
    </w:p>
    <w:p w14:paraId="3A938231" w14:textId="77777777" w:rsidR="00EB53AD" w:rsidRDefault="00EB53AD">
      <w:pPr>
        <w:pBdr>
          <w:bottom w:val="single" w:sz="6" w:space="1" w:color="2E75B6"/>
        </w:pBdr>
        <w:spacing w:before="160"/>
      </w:pPr>
    </w:p>
    <w:p w14:paraId="47F6771B" w14:textId="77777777" w:rsidR="00EB53AD" w:rsidRDefault="00000000">
      <w:pPr>
        <w:pStyle w:val="Heading1"/>
      </w:pPr>
      <w:r>
        <w:rPr>
          <w:rFonts w:ascii="Arial" w:eastAsia="Arial" w:hAnsi="Arial" w:cs="Arial"/>
          <w:b/>
          <w:bCs/>
          <w:color w:val="1F5C99"/>
          <w:sz w:val="28"/>
          <w:szCs w:val="28"/>
        </w:rPr>
        <w:t>1. Best Model Selection</w:t>
      </w:r>
    </w:p>
    <w:p w14:paraId="55441076" w14:textId="77777777" w:rsidR="00EB53AD" w:rsidRDefault="00000000">
      <w:pPr>
        <w:spacing w:before="80" w:after="80"/>
      </w:pPr>
      <w:r>
        <w:rPr>
          <w:rFonts w:ascii="Arial" w:eastAsia="Arial" w:hAnsi="Arial" w:cs="Arial"/>
        </w:rPr>
        <w:t xml:space="preserve">Gradient Boosting was selected as the best model after hyperparameter tuning using </w:t>
      </w:r>
      <w:proofErr w:type="spellStart"/>
      <w:r>
        <w:rPr>
          <w:rFonts w:ascii="Arial" w:eastAsia="Arial" w:hAnsi="Arial" w:cs="Arial"/>
        </w:rPr>
        <w:t>RandomizedSearchCV</w:t>
      </w:r>
      <w:proofErr w:type="spellEnd"/>
      <w:r>
        <w:rPr>
          <w:rFonts w:ascii="Arial" w:eastAsia="Arial" w:hAnsi="Arial" w:cs="Arial"/>
        </w:rPr>
        <w:t>, achieving the highest cross-validated ROC-AUC of 0.8478.</w:t>
      </w:r>
    </w:p>
    <w:p w14:paraId="2F386DEA" w14:textId="77777777" w:rsidR="00EB53AD" w:rsidRDefault="00EB53AD">
      <w:pPr>
        <w:spacing w:before="80" w:after="80"/>
      </w:pPr>
    </w:p>
    <w:p w14:paraId="22DD64D4" w14:textId="77777777" w:rsidR="00EB53AD" w:rsidRDefault="00000000">
      <w:pPr>
        <w:spacing w:before="80" w:after="80"/>
      </w:pPr>
      <w:r>
        <w:rPr>
          <w:rFonts w:ascii="Arial" w:eastAsia="Arial" w:hAnsi="Arial" w:cs="Arial"/>
          <w:b/>
          <w:bCs/>
        </w:rPr>
        <w:t>Model Performance Comparison:</w:t>
      </w:r>
    </w:p>
    <w:p w14:paraId="2271E30C" w14:textId="77777777" w:rsidR="00EB53AD" w:rsidRDefault="00EB53A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40"/>
        <w:gridCol w:w="1640"/>
        <w:gridCol w:w="1640"/>
        <w:gridCol w:w="1120"/>
        <w:gridCol w:w="1120"/>
      </w:tblGrid>
      <w:tr w:rsidR="00EB53AD" w14:paraId="79D207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200886" w14:textId="77777777" w:rsidR="00EB53A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64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F3A2E5" w14:textId="77777777" w:rsidR="00EB53A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64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BCF718" w14:textId="77777777" w:rsidR="00EB53A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64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602DA1" w14:textId="77777777" w:rsidR="00EB53A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1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C3787D" w14:textId="77777777" w:rsidR="00EB53A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F1</w:t>
            </w:r>
          </w:p>
        </w:tc>
        <w:tc>
          <w:tcPr>
            <w:tcW w:w="11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F24F1E" w14:textId="77777777" w:rsidR="00EB53A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ROC-AUC</w:t>
            </w:r>
          </w:p>
        </w:tc>
      </w:tr>
      <w:tr w:rsidR="00EB53AD" w14:paraId="72A929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82A94" w14:textId="77777777" w:rsidR="00EB53AD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Logistic Regression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6238A" w14:textId="77777777" w:rsidR="00EB53AD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0.8027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E52AE" w14:textId="77777777" w:rsidR="00EB53AD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0.6509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6A61F" w14:textId="77777777" w:rsidR="00EB53AD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0.5535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F9CA0" w14:textId="77777777" w:rsidR="00EB53AD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0.5983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863CB" w14:textId="77777777" w:rsidR="00EB53AD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0.8422</w:t>
            </w:r>
          </w:p>
        </w:tc>
      </w:tr>
      <w:tr w:rsidR="00EB53AD" w14:paraId="4C6341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7D9EB" w14:textId="77777777" w:rsidR="00EB53AD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Random Forest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FE743" w14:textId="77777777" w:rsidR="00EB53AD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0.7871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7B57A" w14:textId="77777777" w:rsidR="00EB53AD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0.6259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9F5BE" w14:textId="77777777" w:rsidR="00EB53AD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0.4920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5647F" w14:textId="77777777" w:rsidR="00EB53AD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0.5509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D3A52" w14:textId="77777777" w:rsidR="00EB53AD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0.8264</w:t>
            </w:r>
          </w:p>
        </w:tc>
      </w:tr>
      <w:tr w:rsidR="00EB53AD" w14:paraId="363AB7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77DD3" w14:textId="77777777" w:rsidR="00EB53AD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Gradient Boosting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2C53E" w14:textId="77777777" w:rsidR="00EB53AD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0.8055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5C134" w14:textId="77777777" w:rsidR="00EB53AD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0.6736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1AE06" w14:textId="77777777" w:rsidR="00EB53AD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0.5187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DF69E" w14:textId="77777777" w:rsidR="00EB53AD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0.5861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AEE74" w14:textId="77777777" w:rsidR="00EB53AD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0.8428</w:t>
            </w:r>
          </w:p>
        </w:tc>
      </w:tr>
      <w:tr w:rsidR="00EB53AD" w14:paraId="0A572A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E3311" w14:textId="77777777" w:rsidR="00EB53A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GB Tuned (Best)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9BA84" w14:textId="77777777" w:rsidR="00EB53A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51B4B" w14:textId="77777777" w:rsidR="00EB53A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4CEB6" w14:textId="77777777" w:rsidR="00EB53A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AD404" w14:textId="77777777" w:rsidR="00EB53A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46442" w14:textId="77777777" w:rsidR="00EB53A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0.8478</w:t>
            </w:r>
          </w:p>
        </w:tc>
      </w:tr>
    </w:tbl>
    <w:p w14:paraId="4D108588" w14:textId="77777777" w:rsidR="00EB53AD" w:rsidRDefault="00EB53AD">
      <w:pPr>
        <w:spacing w:before="80" w:after="80"/>
      </w:pPr>
    </w:p>
    <w:p w14:paraId="0DDF9491" w14:textId="77777777" w:rsidR="00EB53AD" w:rsidRDefault="00000000">
      <w:pPr>
        <w:spacing w:before="80" w:after="80"/>
      </w:pPr>
      <w:r>
        <w:rPr>
          <w:rFonts w:ascii="Arial" w:eastAsia="Arial" w:hAnsi="Arial" w:cs="Arial"/>
        </w:rPr>
        <w:t>Gradient Boosting was selected for the following reasons:</w:t>
      </w:r>
    </w:p>
    <w:p w14:paraId="55533034" w14:textId="77777777" w:rsidR="00EB53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>Achieved the highest ROC-AUC both before (0.8428) and after tuning (0.8478)</w:t>
      </w:r>
    </w:p>
    <w:p w14:paraId="736D1733" w14:textId="77777777" w:rsidR="00EB53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>Highest Precision score (0.6736) — fewer false positives when predicting churn</w:t>
      </w:r>
    </w:p>
    <w:p w14:paraId="3B1FF757" w14:textId="77777777" w:rsidR="00EB53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 xml:space="preserve">Best tuned parameters: subsample=0.7, </w:t>
      </w:r>
      <w:proofErr w:type="spellStart"/>
      <w:r>
        <w:rPr>
          <w:rFonts w:ascii="Arial" w:eastAsia="Arial" w:hAnsi="Arial" w:cs="Arial"/>
        </w:rPr>
        <w:t>n_estimators</w:t>
      </w:r>
      <w:proofErr w:type="spellEnd"/>
      <w:r>
        <w:rPr>
          <w:rFonts w:ascii="Arial" w:eastAsia="Arial" w:hAnsi="Arial" w:cs="Arial"/>
        </w:rPr>
        <w:t xml:space="preserve">=100, </w:t>
      </w:r>
      <w:proofErr w:type="spellStart"/>
      <w:r>
        <w:rPr>
          <w:rFonts w:ascii="Arial" w:eastAsia="Arial" w:hAnsi="Arial" w:cs="Arial"/>
        </w:rPr>
        <w:t>max_depth</w:t>
      </w:r>
      <w:proofErr w:type="spellEnd"/>
      <w:r>
        <w:rPr>
          <w:rFonts w:ascii="Arial" w:eastAsia="Arial" w:hAnsi="Arial" w:cs="Arial"/>
        </w:rPr>
        <w:t xml:space="preserve">=3, </w:t>
      </w:r>
      <w:proofErr w:type="spellStart"/>
      <w:r>
        <w:rPr>
          <w:rFonts w:ascii="Arial" w:eastAsia="Arial" w:hAnsi="Arial" w:cs="Arial"/>
        </w:rPr>
        <w:t>learning_rate</w:t>
      </w:r>
      <w:proofErr w:type="spellEnd"/>
      <w:r>
        <w:rPr>
          <w:rFonts w:ascii="Arial" w:eastAsia="Arial" w:hAnsi="Arial" w:cs="Arial"/>
        </w:rPr>
        <w:t>=0.05 — a shallow, regularized configuration that resists overfitting</w:t>
      </w:r>
    </w:p>
    <w:p w14:paraId="5460892A" w14:textId="77777777" w:rsidR="00EB53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>Captures non-linear feature interactions that Logistic Regression cannot model</w:t>
      </w:r>
    </w:p>
    <w:p w14:paraId="167AF1D1" w14:textId="77777777" w:rsidR="00EB53AD" w:rsidRDefault="00EB53AD">
      <w:pPr>
        <w:spacing w:before="80" w:after="80"/>
      </w:pPr>
    </w:p>
    <w:p w14:paraId="059BA570" w14:textId="77777777" w:rsidR="00EB53AD" w:rsidRDefault="00000000">
      <w:pPr>
        <w:spacing w:before="80" w:after="80"/>
      </w:pPr>
      <w:r>
        <w:rPr>
          <w:rFonts w:ascii="Arial" w:eastAsia="Arial" w:hAnsi="Arial" w:cs="Arial"/>
          <w:i/>
          <w:iCs/>
          <w:color w:val="555555"/>
        </w:rPr>
        <w:t>Note: Logistic Regression had slightly better Recall (0.5535 vs 0.5187), meaning it catches more actual churners — this trade-off is worth monitoring in production if missing a churner is more costly than a false alarm.</w:t>
      </w:r>
    </w:p>
    <w:p w14:paraId="3F266A3E" w14:textId="77777777" w:rsidR="00EB53AD" w:rsidRDefault="00EB53AD">
      <w:pPr>
        <w:pBdr>
          <w:bottom w:val="single" w:sz="6" w:space="1" w:color="2E75B6"/>
        </w:pBdr>
        <w:spacing w:before="160"/>
      </w:pPr>
    </w:p>
    <w:p w14:paraId="3FC69AF9" w14:textId="77777777" w:rsidR="00EB53AD" w:rsidRDefault="00000000">
      <w:pPr>
        <w:pStyle w:val="Heading1"/>
      </w:pPr>
      <w:r>
        <w:rPr>
          <w:rFonts w:ascii="Arial" w:eastAsia="Arial" w:hAnsi="Arial" w:cs="Arial"/>
          <w:b/>
          <w:bCs/>
          <w:color w:val="1F5C99"/>
          <w:sz w:val="28"/>
          <w:szCs w:val="28"/>
        </w:rPr>
        <w:t>2. Top 3 Factors Driving Customer Churn</w:t>
      </w:r>
    </w:p>
    <w:p w14:paraId="4134231D" w14:textId="77777777" w:rsidR="00EB53AD" w:rsidRDefault="00000000">
      <w:pPr>
        <w:spacing w:before="80" w:after="80"/>
      </w:pPr>
      <w:r>
        <w:rPr>
          <w:rFonts w:ascii="Arial" w:eastAsia="Arial" w:hAnsi="Arial" w:cs="Arial"/>
        </w:rPr>
        <w:t>Based on feature importances from the tuned Gradient Boosting model:</w:t>
      </w:r>
    </w:p>
    <w:p w14:paraId="0833F584" w14:textId="77777777" w:rsidR="00EB53AD" w:rsidRDefault="00EB53AD">
      <w:pPr>
        <w:spacing w:before="80" w:after="80"/>
      </w:pPr>
    </w:p>
    <w:p w14:paraId="4C5E8498" w14:textId="77777777" w:rsidR="00EB53AD" w:rsidRDefault="00000000">
      <w:pPr>
        <w:pStyle w:val="Heading2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lastRenderedPageBreak/>
        <w:t>Factor 1 — Contract Type (Month-to-Month)</w:t>
      </w:r>
    </w:p>
    <w:p w14:paraId="6111AB89" w14:textId="77777777" w:rsidR="00EB53AD" w:rsidRDefault="00000000">
      <w:pPr>
        <w:spacing w:before="80" w:after="80"/>
      </w:pPr>
      <w:r>
        <w:rPr>
          <w:rFonts w:ascii="Arial" w:eastAsia="Arial" w:hAnsi="Arial" w:cs="Arial"/>
        </w:rPr>
        <w:t>This is the single strongest churn predictor in the dataset. The segmentation results show:</w:t>
      </w:r>
    </w:p>
    <w:p w14:paraId="7DEE8B52" w14:textId="77777777" w:rsidR="00EB53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 xml:space="preserve">100% of </w:t>
      </w:r>
      <w:proofErr w:type="gramStart"/>
      <w:r>
        <w:rPr>
          <w:rFonts w:ascii="Arial" w:eastAsia="Arial" w:hAnsi="Arial" w:cs="Arial"/>
        </w:rPr>
        <w:t>High Risk</w:t>
      </w:r>
      <w:proofErr w:type="gramEnd"/>
      <w:r>
        <w:rPr>
          <w:rFonts w:ascii="Arial" w:eastAsia="Arial" w:hAnsi="Arial" w:cs="Arial"/>
        </w:rPr>
        <w:t xml:space="preserve"> customers are on month-to-month contracts</w:t>
      </w:r>
    </w:p>
    <w:p w14:paraId="4363BFDA" w14:textId="77777777" w:rsidR="00EB53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>99.3% of Medium Risk customers are also on month-to-month contracts</w:t>
      </w:r>
    </w:p>
    <w:p w14:paraId="64C3D9CC" w14:textId="77777777" w:rsidR="00EB53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 xml:space="preserve">Low Risk customers are distributed: 37.5% month-to-month, 29.4% one year, 33.1% two </w:t>
      </w:r>
      <w:proofErr w:type="gramStart"/>
      <w:r>
        <w:rPr>
          <w:rFonts w:ascii="Arial" w:eastAsia="Arial" w:hAnsi="Arial" w:cs="Arial"/>
        </w:rPr>
        <w:t>year</w:t>
      </w:r>
      <w:proofErr w:type="gramEnd"/>
    </w:p>
    <w:p w14:paraId="48874B83" w14:textId="77777777" w:rsidR="00EB53AD" w:rsidRDefault="00000000">
      <w:pPr>
        <w:spacing w:before="80" w:after="80"/>
      </w:pPr>
      <w:r>
        <w:rPr>
          <w:rFonts w:ascii="Arial" w:eastAsia="Arial" w:hAnsi="Arial" w:cs="Arial"/>
        </w:rPr>
        <w:t>Customers with no long-term commitment face zero switching cost and leave freely.</w:t>
      </w:r>
    </w:p>
    <w:p w14:paraId="0968C9B8" w14:textId="77777777" w:rsidR="00EB53AD" w:rsidRDefault="00EB53AD">
      <w:pPr>
        <w:spacing w:before="80" w:after="80"/>
      </w:pPr>
    </w:p>
    <w:p w14:paraId="140F4541" w14:textId="77777777" w:rsidR="00EB53AD" w:rsidRDefault="00000000">
      <w:pPr>
        <w:pStyle w:val="Heading2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Factor 2 — Tenure (Length of Relationship)</w:t>
      </w:r>
    </w:p>
    <w:p w14:paraId="28E084F0" w14:textId="77777777" w:rsidR="00EB53AD" w:rsidRDefault="00000000">
      <w:pPr>
        <w:spacing w:before="80" w:after="80"/>
      </w:pPr>
      <w:r>
        <w:rPr>
          <w:rFonts w:ascii="Arial" w:eastAsia="Arial" w:hAnsi="Arial" w:cs="Arial"/>
        </w:rPr>
        <w:t>Shorter tenure strongly predicts higher churn risk, confirmed by z-score analysis:</w:t>
      </w:r>
    </w:p>
    <w:p w14:paraId="4858B91D" w14:textId="77777777" w:rsidR="00EB53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 xml:space="preserve">High Risk: </w:t>
      </w:r>
      <w:proofErr w:type="spellStart"/>
      <w:r>
        <w:rPr>
          <w:rFonts w:ascii="Arial" w:eastAsia="Arial" w:hAnsi="Arial" w:cs="Arial"/>
        </w:rPr>
        <w:t>avg</w:t>
      </w:r>
      <w:proofErr w:type="spellEnd"/>
      <w:r>
        <w:rPr>
          <w:rFonts w:ascii="Arial" w:eastAsia="Arial" w:hAnsi="Arial" w:cs="Arial"/>
        </w:rPr>
        <w:t xml:space="preserve"> tenure z-score = -1.163 (significantly newer than average)</w:t>
      </w:r>
    </w:p>
    <w:p w14:paraId="0EC263C8" w14:textId="77777777" w:rsidR="00EB53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 xml:space="preserve">Medium Risk: </w:t>
      </w:r>
      <w:proofErr w:type="spellStart"/>
      <w:r>
        <w:rPr>
          <w:rFonts w:ascii="Arial" w:eastAsia="Arial" w:hAnsi="Arial" w:cs="Arial"/>
        </w:rPr>
        <w:t>avg</w:t>
      </w:r>
      <w:proofErr w:type="spellEnd"/>
      <w:r>
        <w:rPr>
          <w:rFonts w:ascii="Arial" w:eastAsia="Arial" w:hAnsi="Arial" w:cs="Arial"/>
        </w:rPr>
        <w:t xml:space="preserve"> tenure z-score = -0.696 (newer than average)</w:t>
      </w:r>
    </w:p>
    <w:p w14:paraId="527AA5C1" w14:textId="77777777" w:rsidR="00EB53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 xml:space="preserve">Low Risk: </w:t>
      </w:r>
      <w:proofErr w:type="spellStart"/>
      <w:r>
        <w:rPr>
          <w:rFonts w:ascii="Arial" w:eastAsia="Arial" w:hAnsi="Arial" w:cs="Arial"/>
        </w:rPr>
        <w:t>avg</w:t>
      </w:r>
      <w:proofErr w:type="spellEnd"/>
      <w:r>
        <w:rPr>
          <w:rFonts w:ascii="Arial" w:eastAsia="Arial" w:hAnsi="Arial" w:cs="Arial"/>
        </w:rPr>
        <w:t xml:space="preserve"> tenure z-score = +0.296 (more experienced customers)</w:t>
      </w:r>
    </w:p>
    <w:p w14:paraId="4635BC7F" w14:textId="77777777" w:rsidR="00EB53AD" w:rsidRDefault="00000000">
      <w:pPr>
        <w:spacing w:before="80" w:after="80"/>
      </w:pPr>
      <w:r>
        <w:rPr>
          <w:rFonts w:ascii="Arial" w:eastAsia="Arial" w:hAnsi="Arial" w:cs="Arial"/>
        </w:rPr>
        <w:t>Customers who have stayed longer have demonstrated loyalty; new customers are still evaluating whether the service is worth keeping.</w:t>
      </w:r>
    </w:p>
    <w:p w14:paraId="168D36BF" w14:textId="77777777" w:rsidR="00EB53AD" w:rsidRDefault="00EB53AD">
      <w:pPr>
        <w:spacing w:before="80" w:after="80"/>
      </w:pPr>
    </w:p>
    <w:p w14:paraId="4279F25C" w14:textId="77777777" w:rsidR="00EB53AD" w:rsidRDefault="00000000">
      <w:pPr>
        <w:pStyle w:val="Heading2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Factor 3 — Monthly Charges</w:t>
      </w:r>
    </w:p>
    <w:p w14:paraId="5B539D5E" w14:textId="77777777" w:rsidR="00EB53AD" w:rsidRDefault="00000000">
      <w:pPr>
        <w:spacing w:before="80" w:after="80"/>
      </w:pPr>
      <w:r>
        <w:rPr>
          <w:rFonts w:ascii="Arial" w:eastAsia="Arial" w:hAnsi="Arial" w:cs="Arial"/>
        </w:rPr>
        <w:t>Higher billing amounts correlate with increased churn risk:</w:t>
      </w:r>
    </w:p>
    <w:p w14:paraId="31C91935" w14:textId="77777777" w:rsidR="00EB53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 xml:space="preserve">High Risk: </w:t>
      </w:r>
      <w:proofErr w:type="spellStart"/>
      <w:r>
        <w:rPr>
          <w:rFonts w:ascii="Arial" w:eastAsia="Arial" w:hAnsi="Arial" w:cs="Arial"/>
        </w:rPr>
        <w:t>avg</w:t>
      </w:r>
      <w:proofErr w:type="spellEnd"/>
      <w:r>
        <w:rPr>
          <w:rFonts w:ascii="Arial" w:eastAsia="Arial" w:hAnsi="Arial" w:cs="Arial"/>
        </w:rPr>
        <w:t xml:space="preserve"> monthly charges z-score = +0.555 (paying above average)</w:t>
      </w:r>
    </w:p>
    <w:p w14:paraId="0AD8DBFA" w14:textId="77777777" w:rsidR="00EB53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 xml:space="preserve">Medium Risk: </w:t>
      </w:r>
      <w:proofErr w:type="spellStart"/>
      <w:r>
        <w:rPr>
          <w:rFonts w:ascii="Arial" w:eastAsia="Arial" w:hAnsi="Arial" w:cs="Arial"/>
        </w:rPr>
        <w:t>avg</w:t>
      </w:r>
      <w:proofErr w:type="spellEnd"/>
      <w:r>
        <w:rPr>
          <w:rFonts w:ascii="Arial" w:eastAsia="Arial" w:hAnsi="Arial" w:cs="Arial"/>
        </w:rPr>
        <w:t xml:space="preserve"> monthly charges z-score = +0.352 (slightly above average)</w:t>
      </w:r>
    </w:p>
    <w:p w14:paraId="3C7BB181" w14:textId="77777777" w:rsidR="00EB53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 xml:space="preserve">Low Risk: </w:t>
      </w:r>
      <w:proofErr w:type="spellStart"/>
      <w:r>
        <w:rPr>
          <w:rFonts w:ascii="Arial" w:eastAsia="Arial" w:hAnsi="Arial" w:cs="Arial"/>
        </w:rPr>
        <w:t>avg</w:t>
      </w:r>
      <w:proofErr w:type="spellEnd"/>
      <w:r>
        <w:rPr>
          <w:rFonts w:ascii="Arial" w:eastAsia="Arial" w:hAnsi="Arial" w:cs="Arial"/>
        </w:rPr>
        <w:t xml:space="preserve"> monthly charges z-score = -0.190 (paying below average)</w:t>
      </w:r>
    </w:p>
    <w:p w14:paraId="705577BA" w14:textId="77777777" w:rsidR="00EB53AD" w:rsidRDefault="00000000">
      <w:pPr>
        <w:spacing w:before="80" w:after="80"/>
      </w:pPr>
      <w:r>
        <w:rPr>
          <w:rFonts w:ascii="Arial" w:eastAsia="Arial" w:hAnsi="Arial" w:cs="Arial"/>
        </w:rPr>
        <w:t>When a customer is new, on a flexible contract, and paying premium prices, dissatisfaction is most likely to translate into cancellation.</w:t>
      </w:r>
    </w:p>
    <w:p w14:paraId="19DF20EB" w14:textId="77777777" w:rsidR="00EB53AD" w:rsidRDefault="00EB53AD">
      <w:pPr>
        <w:pBdr>
          <w:bottom w:val="single" w:sz="6" w:space="1" w:color="2E75B6"/>
        </w:pBdr>
        <w:spacing w:before="160"/>
      </w:pPr>
    </w:p>
    <w:p w14:paraId="1FFEA513" w14:textId="77777777" w:rsidR="00EB53AD" w:rsidRDefault="00000000">
      <w:pPr>
        <w:pStyle w:val="Heading1"/>
      </w:pPr>
      <w:r>
        <w:rPr>
          <w:rFonts w:ascii="Arial" w:eastAsia="Arial" w:hAnsi="Arial" w:cs="Arial"/>
          <w:b/>
          <w:bCs/>
          <w:color w:val="1F5C99"/>
          <w:sz w:val="28"/>
          <w:szCs w:val="28"/>
        </w:rPr>
        <w:t>3. High Risk Customer Profile</w:t>
      </w:r>
    </w:p>
    <w:p w14:paraId="070F8B3E" w14:textId="77777777" w:rsidR="00EB53AD" w:rsidRDefault="00000000">
      <w:pPr>
        <w:spacing w:before="80" w:after="80"/>
      </w:pPr>
      <w:r>
        <w:rPr>
          <w:rFonts w:ascii="Arial" w:eastAsia="Arial" w:hAnsi="Arial" w:cs="Arial"/>
        </w:rPr>
        <w:t>From the segmentation of 1,409 test-set customers (109 High Risk | 286 Medium Risk | 1,014 Low Risk):</w:t>
      </w:r>
    </w:p>
    <w:p w14:paraId="7A5D8BFB" w14:textId="77777777" w:rsidR="00EB53AD" w:rsidRDefault="00EB53AD">
      <w:pPr>
        <w:spacing w:before="80" w:after="8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2380"/>
        <w:gridCol w:w="2380"/>
      </w:tblGrid>
      <w:tr w:rsidR="00EB53AD" w14:paraId="4877FD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D020CE" w14:textId="77777777" w:rsidR="00EB53A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Risk Tier</w:t>
            </w:r>
          </w:p>
        </w:tc>
        <w:tc>
          <w:tcPr>
            <w:tcW w:w="14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876C28" w14:textId="77777777" w:rsidR="00EB53A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238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4D14F8" w14:textId="77777777" w:rsidR="00EB53AD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Avg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MonthlyCharges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(z)</w:t>
            </w:r>
          </w:p>
        </w:tc>
        <w:tc>
          <w:tcPr>
            <w:tcW w:w="238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2A5126" w14:textId="77777777" w:rsidR="00EB53AD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Avg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Tenure (z)</w:t>
            </w:r>
          </w:p>
        </w:tc>
      </w:tr>
      <w:tr w:rsidR="00EB53AD" w14:paraId="1E8F51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85B14" w14:textId="77777777" w:rsidR="00EB53AD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High Risk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AE435" w14:textId="77777777" w:rsidR="00EB53AD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109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1AC36" w14:textId="77777777" w:rsidR="00EB53AD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+0.555 (above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avg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836E9" w14:textId="77777777" w:rsidR="00EB53AD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-1.163 (much newer)</w:t>
            </w:r>
          </w:p>
        </w:tc>
      </w:tr>
      <w:tr w:rsidR="00EB53AD" w14:paraId="4DD290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C9D5" w14:textId="77777777" w:rsidR="00EB53AD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Medium Risk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EEF6B" w14:textId="77777777" w:rsidR="00EB53AD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286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3C7D8" w14:textId="77777777" w:rsidR="00EB53AD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+0.352 (above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avg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67991" w14:textId="77777777" w:rsidR="00EB53AD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-0.696 (newer)</w:t>
            </w:r>
          </w:p>
        </w:tc>
      </w:tr>
      <w:tr w:rsidR="00EB53AD" w14:paraId="2D8776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2331E" w14:textId="77777777" w:rsidR="00EB53AD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Low Risk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FC9C8" w14:textId="77777777" w:rsidR="00EB53AD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1014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CED3A" w14:textId="77777777" w:rsidR="00EB53AD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-0.190 (below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avg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58F4D" w14:textId="77777777" w:rsidR="00EB53AD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+0.296 (experienced)</w:t>
            </w:r>
          </w:p>
        </w:tc>
      </w:tr>
    </w:tbl>
    <w:p w14:paraId="40E883F5" w14:textId="77777777" w:rsidR="00EB53AD" w:rsidRDefault="00EB53AD">
      <w:pPr>
        <w:spacing w:before="80" w:after="80"/>
      </w:pPr>
    </w:p>
    <w:p w14:paraId="331B2F43" w14:textId="77777777" w:rsidR="00EB53AD" w:rsidRDefault="00000000">
      <w:pPr>
        <w:spacing w:before="80" w:after="80"/>
      </w:pPr>
      <w:r>
        <w:rPr>
          <w:rFonts w:ascii="Arial" w:eastAsia="Arial" w:hAnsi="Arial" w:cs="Arial"/>
        </w:rPr>
        <w:t>High Risk customers share these characteristics:</w:t>
      </w:r>
    </w:p>
    <w:p w14:paraId="34F0EE57" w14:textId="77777777" w:rsidR="00EB53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lastRenderedPageBreak/>
        <w:t>Contract: 100% on month-to-month — no lock-in, maximum flexibility to leave</w:t>
      </w:r>
    </w:p>
    <w:p w14:paraId="19F440A5" w14:textId="77777777" w:rsidR="00EB53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>Tenure: Newest customers in the dataset (z = -1.163, well below average)</w:t>
      </w:r>
    </w:p>
    <w:p w14:paraId="4A60C6E4" w14:textId="77777777" w:rsidR="00EB53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>Monthly Charges: Above average billing (z = +0.555), amplifying perceived value concerns</w:t>
      </w:r>
    </w:p>
    <w:p w14:paraId="7DBB0792" w14:textId="77777777" w:rsidR="00EB53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 xml:space="preserve">Add-on services: Likely lacking </w:t>
      </w:r>
      <w:proofErr w:type="spellStart"/>
      <w:r>
        <w:rPr>
          <w:rFonts w:ascii="Arial" w:eastAsia="Arial" w:hAnsi="Arial" w:cs="Arial"/>
        </w:rPr>
        <w:t>TechSupport</w:t>
      </w:r>
      <w:proofErr w:type="spellEnd"/>
      <w:r>
        <w:rPr>
          <w:rFonts w:ascii="Arial" w:eastAsia="Arial" w:hAnsi="Arial" w:cs="Arial"/>
        </w:rPr>
        <w:t xml:space="preserve"> or </w:t>
      </w:r>
      <w:proofErr w:type="spellStart"/>
      <w:r>
        <w:rPr>
          <w:rFonts w:ascii="Arial" w:eastAsia="Arial" w:hAnsi="Arial" w:cs="Arial"/>
        </w:rPr>
        <w:t>OnlineBackup</w:t>
      </w:r>
      <w:proofErr w:type="spellEnd"/>
      <w:r>
        <w:rPr>
          <w:rFonts w:ascii="Arial" w:eastAsia="Arial" w:hAnsi="Arial" w:cs="Arial"/>
        </w:rPr>
        <w:t xml:space="preserve"> (common among short-tenure customers)</w:t>
      </w:r>
    </w:p>
    <w:p w14:paraId="0B1E57B7" w14:textId="77777777" w:rsidR="00EB53AD" w:rsidRDefault="00EB53AD">
      <w:pPr>
        <w:spacing w:before="80" w:after="80"/>
      </w:pPr>
    </w:p>
    <w:p w14:paraId="2617BBB5" w14:textId="77777777" w:rsidR="00EB53AD" w:rsidRDefault="00000000">
      <w:pPr>
        <w:spacing w:before="80" w:after="80"/>
      </w:pPr>
      <w:r>
        <w:rPr>
          <w:rFonts w:ascii="Arial" w:eastAsia="Arial" w:hAnsi="Arial" w:cs="Arial"/>
        </w:rPr>
        <w:t>In plain terms: High Risk customers are new, paying premium prices, and have made no long-term commitment — the highest-friction, highest-churn combination possible.</w:t>
      </w:r>
    </w:p>
    <w:p w14:paraId="7788D961" w14:textId="77777777" w:rsidR="00EB53AD" w:rsidRDefault="00EB53AD">
      <w:pPr>
        <w:pBdr>
          <w:bottom w:val="single" w:sz="6" w:space="1" w:color="2E75B6"/>
        </w:pBdr>
        <w:spacing w:before="160"/>
      </w:pPr>
    </w:p>
    <w:p w14:paraId="58085B25" w14:textId="77777777" w:rsidR="00EB53AD" w:rsidRDefault="00000000">
      <w:pPr>
        <w:pStyle w:val="Heading1"/>
      </w:pPr>
      <w:r>
        <w:rPr>
          <w:rFonts w:ascii="Arial" w:eastAsia="Arial" w:hAnsi="Arial" w:cs="Arial"/>
          <w:b/>
          <w:bCs/>
          <w:color w:val="1F5C99"/>
          <w:sz w:val="28"/>
          <w:szCs w:val="28"/>
        </w:rPr>
        <w:t>4. Business Recommendations</w:t>
      </w:r>
    </w:p>
    <w:p w14:paraId="539D6C7D" w14:textId="77777777" w:rsidR="00EB53AD" w:rsidRDefault="00000000">
      <w:pPr>
        <w:pStyle w:val="Heading2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Recommendation 1 — Contract Conversion Campaign (Immediate Priority)</w:t>
      </w:r>
    </w:p>
    <w:p w14:paraId="5957CD47" w14:textId="77777777" w:rsidR="00EB53AD" w:rsidRDefault="00000000">
      <w:pPr>
        <w:spacing w:before="80" w:after="80"/>
      </w:pPr>
      <w:r>
        <w:rPr>
          <w:rFonts w:ascii="Arial" w:eastAsia="Arial" w:hAnsi="Arial" w:cs="Arial"/>
        </w:rPr>
        <w:t>Since 100% of High Risk and 99.3% of Medium Risk customers are on month-to-month plans, converting them to annual contracts is the single highest-impact intervention available.</w:t>
      </w:r>
    </w:p>
    <w:p w14:paraId="186AFCC7" w14:textId="77777777" w:rsidR="00EB53AD" w:rsidRDefault="00EB53AD">
      <w:pPr>
        <w:spacing w:before="80" w:after="80"/>
      </w:pPr>
    </w:p>
    <w:p w14:paraId="5B702BEB" w14:textId="77777777" w:rsidR="00EB53AD" w:rsidRDefault="00000000">
      <w:pPr>
        <w:spacing w:before="80" w:after="80"/>
      </w:pPr>
      <w:r>
        <w:rPr>
          <w:rFonts w:ascii="Arial" w:eastAsia="Arial" w:hAnsi="Arial" w:cs="Arial"/>
        </w:rPr>
        <w:t>Action Plan:</w:t>
      </w:r>
    </w:p>
    <w:p w14:paraId="7951B71A" w14:textId="77777777" w:rsidR="00EB53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>Identify all month-to-month customers with tenure &lt; 6 months AND monthly charges above the dataset mean</w:t>
      </w:r>
    </w:p>
    <w:p w14:paraId="4EEA4D64" w14:textId="77777777" w:rsidR="00EB53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>Offer a 10–15% discount or a free add-on (</w:t>
      </w:r>
      <w:proofErr w:type="spellStart"/>
      <w:r>
        <w:rPr>
          <w:rFonts w:ascii="Arial" w:eastAsia="Arial" w:hAnsi="Arial" w:cs="Arial"/>
        </w:rPr>
        <w:t>TechSupport</w:t>
      </w:r>
      <w:proofErr w:type="spellEnd"/>
      <w:r>
        <w:rPr>
          <w:rFonts w:ascii="Arial" w:eastAsia="Arial" w:hAnsi="Arial" w:cs="Arial"/>
        </w:rPr>
        <w:t xml:space="preserve"> or </w:t>
      </w:r>
      <w:proofErr w:type="spellStart"/>
      <w:r>
        <w:rPr>
          <w:rFonts w:ascii="Arial" w:eastAsia="Arial" w:hAnsi="Arial" w:cs="Arial"/>
        </w:rPr>
        <w:t>OnlineBackup</w:t>
      </w:r>
      <w:proofErr w:type="spellEnd"/>
      <w:r>
        <w:rPr>
          <w:rFonts w:ascii="Arial" w:eastAsia="Arial" w:hAnsi="Arial" w:cs="Arial"/>
        </w:rPr>
        <w:t>) in exchange for switching to a 1-year contract</w:t>
      </w:r>
    </w:p>
    <w:p w14:paraId="0DA7D35E" w14:textId="77777777" w:rsidR="00EB53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>Frame the offer as a loyalty reward, not a retention tactic, to reduce perceived pressure</w:t>
      </w:r>
    </w:p>
    <w:p w14:paraId="7A646F0C" w14:textId="77777777" w:rsidR="00EB53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>Expected impact: Eliminating month-to-month status directly removes the #1 churn risk factor</w:t>
      </w:r>
    </w:p>
    <w:p w14:paraId="7A051E82" w14:textId="77777777" w:rsidR="00EB53AD" w:rsidRDefault="00EB53AD">
      <w:pPr>
        <w:spacing w:before="80" w:after="80"/>
      </w:pPr>
    </w:p>
    <w:p w14:paraId="31706ADF" w14:textId="77777777" w:rsidR="00EB53AD" w:rsidRDefault="00000000">
      <w:pPr>
        <w:pStyle w:val="Heading2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Recommendation 2 — Early Tenure Retention Program (First 3 Months Are Critical)</w:t>
      </w:r>
    </w:p>
    <w:p w14:paraId="40C0BA6A" w14:textId="77777777" w:rsidR="00EB53AD" w:rsidRDefault="00000000">
      <w:pPr>
        <w:spacing w:before="80" w:after="80"/>
      </w:pPr>
      <w:r>
        <w:rPr>
          <w:rFonts w:ascii="Arial" w:eastAsia="Arial" w:hAnsi="Arial" w:cs="Arial"/>
        </w:rPr>
        <w:t>Customers with tenure under 3 months and above-average monthly charges are the most vulnerable segment. A structured early engagement program can dramatically improve retention.</w:t>
      </w:r>
    </w:p>
    <w:p w14:paraId="3CBC4056" w14:textId="77777777" w:rsidR="00EB53AD" w:rsidRDefault="00EB53AD">
      <w:pPr>
        <w:spacing w:before="80" w:after="80"/>
      </w:pPr>
    </w:p>
    <w:p w14:paraId="1CFCF631" w14:textId="77777777" w:rsidR="00EB53AD" w:rsidRDefault="00000000">
      <w:pPr>
        <w:spacing w:before="80" w:after="80"/>
      </w:pPr>
      <w:r>
        <w:rPr>
          <w:rFonts w:ascii="Arial" w:eastAsia="Arial" w:hAnsi="Arial" w:cs="Arial"/>
        </w:rPr>
        <w:t>Action Plan:</w:t>
      </w:r>
    </w:p>
    <w:p w14:paraId="2F7D6C33" w14:textId="77777777" w:rsidR="00EB53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>Trigger an automated personal check-in (call or email) at Month 1 and Month 3 for all new high-charge customers</w:t>
      </w:r>
    </w:p>
    <w:p w14:paraId="79ACB56B" w14:textId="77777777" w:rsidR="00EB53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>Offer a loyalty credit (e.g., one free month or bill discount) if the customer reaches 6 months tenure</w:t>
      </w:r>
    </w:p>
    <w:p w14:paraId="71B8C25A" w14:textId="77777777" w:rsidR="00EB53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>Flag these accounts in the CRM for priority support routing — faster issue resolution reduces frustration</w:t>
      </w:r>
    </w:p>
    <w:p w14:paraId="5804F9E5" w14:textId="77777777" w:rsidR="00EB53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 xml:space="preserve">Track the model's </w:t>
      </w:r>
      <w:proofErr w:type="gramStart"/>
      <w:r>
        <w:rPr>
          <w:rFonts w:ascii="Arial" w:eastAsia="Arial" w:hAnsi="Arial" w:cs="Arial"/>
        </w:rPr>
        <w:t>High Risk</w:t>
      </w:r>
      <w:proofErr w:type="gramEnd"/>
      <w:r>
        <w:rPr>
          <w:rFonts w:ascii="Arial" w:eastAsia="Arial" w:hAnsi="Arial" w:cs="Arial"/>
        </w:rPr>
        <w:t xml:space="preserve"> score monthly and escalate outreach for anyone whose probability rises above 0.70</w:t>
      </w:r>
    </w:p>
    <w:p w14:paraId="51F3A221" w14:textId="77777777" w:rsidR="00EB53AD" w:rsidRDefault="00EB53AD">
      <w:pPr>
        <w:pBdr>
          <w:bottom w:val="single" w:sz="6" w:space="1" w:color="2E75B6"/>
        </w:pBdr>
        <w:spacing w:before="160"/>
      </w:pPr>
    </w:p>
    <w:p w14:paraId="0A9FA0F6" w14:textId="77777777" w:rsidR="00EB53AD" w:rsidRDefault="00000000">
      <w:pPr>
        <w:pStyle w:val="Heading1"/>
      </w:pPr>
      <w:r>
        <w:rPr>
          <w:rFonts w:ascii="Arial" w:eastAsia="Arial" w:hAnsi="Arial" w:cs="Arial"/>
          <w:b/>
          <w:bCs/>
          <w:color w:val="1F5C99"/>
          <w:sz w:val="28"/>
          <w:szCs w:val="28"/>
        </w:rPr>
        <w:lastRenderedPageBreak/>
        <w:t>5. Model Limitations &amp; Future Improvements</w:t>
      </w:r>
    </w:p>
    <w:p w14:paraId="28EEB018" w14:textId="77777777" w:rsidR="00EB53AD" w:rsidRDefault="00000000">
      <w:pPr>
        <w:spacing w:before="80" w:after="80"/>
      </w:pPr>
      <w:r>
        <w:rPr>
          <w:rFonts w:ascii="Arial" w:eastAsia="Arial" w:hAnsi="Arial" w:cs="Arial"/>
        </w:rPr>
        <w:t>The following limitations should be considered before deploying this model in a production environment:</w:t>
      </w:r>
    </w:p>
    <w:p w14:paraId="67E6616F" w14:textId="77777777" w:rsidR="00EB53AD" w:rsidRDefault="00EB53AD">
      <w:pPr>
        <w:spacing w:before="80" w:after="80"/>
      </w:pPr>
    </w:p>
    <w:p w14:paraId="0C34BB90" w14:textId="77777777" w:rsidR="00EB53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 xml:space="preserve">Class Imbalance Not Addressed: The dataset has ~26.5% churn vs 73.5% non-churn. Techniques like SMOTE or </w:t>
      </w:r>
      <w:proofErr w:type="spellStart"/>
      <w:r>
        <w:rPr>
          <w:rFonts w:ascii="Arial" w:eastAsia="Arial" w:hAnsi="Arial" w:cs="Arial"/>
        </w:rPr>
        <w:t>class_weight</w:t>
      </w:r>
      <w:proofErr w:type="spellEnd"/>
      <w:r>
        <w:rPr>
          <w:rFonts w:ascii="Arial" w:eastAsia="Arial" w:hAnsi="Arial" w:cs="Arial"/>
        </w:rPr>
        <w:t>='balanced' were not applied — Recall for the churn class (0.52) could improve meaningfully with resampling.</w:t>
      </w:r>
    </w:p>
    <w:p w14:paraId="5E0C4DCA" w14:textId="77777777" w:rsidR="00EB53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 xml:space="preserve">Scaled Features Reduce Stakeholder Interpretability: </w:t>
      </w:r>
      <w:proofErr w:type="spellStart"/>
      <w:r>
        <w:rPr>
          <w:rFonts w:ascii="Arial" w:eastAsia="Arial" w:hAnsi="Arial" w:cs="Arial"/>
        </w:rPr>
        <w:t>MonthlyCharges</w:t>
      </w:r>
      <w:proofErr w:type="spellEnd"/>
      <w:r>
        <w:rPr>
          <w:rFonts w:ascii="Arial" w:eastAsia="Arial" w:hAnsi="Arial" w:cs="Arial"/>
        </w:rPr>
        <w:t xml:space="preserve"> and tenure are reported as z-scores. A production dashboard should inverse-transform these back to dollars and months for business users.</w:t>
      </w:r>
    </w:p>
    <w:p w14:paraId="19112D5B" w14:textId="77777777" w:rsidR="00EB53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>No Temporal Modelling: The model treats all customers as static snapshots. A survival analysis model (e.g., Cox Proportional Hazards) would better predict when a customer will churn, not just whether they will.</w:t>
      </w:r>
    </w:p>
    <w:p w14:paraId="4305AFE9" w14:textId="77777777" w:rsidR="00EB53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>Single Dataset: Trained on one telecom provider's historical data. The model may not generalise to other regions, market segments, or time periods without retraining.</w:t>
      </w:r>
    </w:p>
    <w:p w14:paraId="4C3A4BCB" w14:textId="77777777" w:rsidR="00EB53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>External Factors Missing: Competitor pricing, network outage history, customer support ticket volume, and seasonal usage patterns are absent from the data — all of which influence real-world churn decisions.</w:t>
      </w:r>
    </w:p>
    <w:p w14:paraId="737A95E4" w14:textId="77777777" w:rsidR="00EB53AD" w:rsidRDefault="00EB53AD">
      <w:pPr>
        <w:spacing w:before="80" w:after="80"/>
      </w:pPr>
    </w:p>
    <w:p w14:paraId="40D5424A" w14:textId="77777777" w:rsidR="00EB53AD" w:rsidRDefault="00000000">
      <w:pPr>
        <w:spacing w:before="80" w:after="80"/>
      </w:pPr>
      <w:r>
        <w:rPr>
          <w:rFonts w:ascii="Arial" w:eastAsia="Arial" w:hAnsi="Arial" w:cs="Arial"/>
        </w:rPr>
        <w:t>Future improvements with more time or data:</w:t>
      </w:r>
    </w:p>
    <w:p w14:paraId="505CF177" w14:textId="77777777" w:rsidR="00EB53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>Add SMOTE or class weighting to improve Recall on minority churn class</w:t>
      </w:r>
    </w:p>
    <w:p w14:paraId="18A8413E" w14:textId="77777777" w:rsidR="00EB53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>Include customer support interaction data as additional features</w:t>
      </w:r>
    </w:p>
    <w:p w14:paraId="09DBA74B" w14:textId="77777777" w:rsidR="00EB53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>Train a time-series model to detect churn probability trend changes month-over-month</w:t>
      </w:r>
    </w:p>
    <w:p w14:paraId="4AAD8B76" w14:textId="77777777" w:rsidR="00EB53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</w:rPr>
        <w:t>Build a real-time scoring pipeline that updates risk tiers as new customer data arrives</w:t>
      </w:r>
    </w:p>
    <w:p w14:paraId="7ECC15F0" w14:textId="77777777" w:rsidR="00EB53AD" w:rsidRDefault="00EB53AD">
      <w:pPr>
        <w:pBdr>
          <w:bottom w:val="single" w:sz="6" w:space="1" w:color="2E75B6"/>
        </w:pBdr>
        <w:spacing w:before="160"/>
      </w:pPr>
    </w:p>
    <w:p w14:paraId="7672A3DA" w14:textId="5B1E7923" w:rsidR="00EB53AD" w:rsidRDefault="00EB53AD" w:rsidP="00253CB5">
      <w:pPr>
        <w:spacing w:before="160"/>
      </w:pPr>
    </w:p>
    <w:sectPr w:rsidR="00EB53AD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D6868" w14:textId="77777777" w:rsidR="00484997" w:rsidRDefault="00484997">
      <w:pPr>
        <w:spacing w:after="0" w:line="240" w:lineRule="auto"/>
      </w:pPr>
      <w:r>
        <w:separator/>
      </w:r>
    </w:p>
  </w:endnote>
  <w:endnote w:type="continuationSeparator" w:id="0">
    <w:p w14:paraId="0D450D3E" w14:textId="77777777" w:rsidR="00484997" w:rsidRDefault="004849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4BA60" w14:textId="77777777" w:rsidR="00EB53AD" w:rsidRDefault="00000000">
    <w:pPr>
      <w:jc w:val="center"/>
    </w:pPr>
    <w:r>
      <w:rPr>
        <w:rFonts w:ascii="Arial" w:eastAsia="Arial" w:hAnsi="Arial" w:cs="Arial"/>
        <w:color w:val="888888"/>
        <w:sz w:val="18"/>
        <w:szCs w:val="18"/>
      </w:rPr>
      <w:t xml:space="preserve">Customer Churn Prediction </w:t>
    </w:r>
    <w:proofErr w:type="gramStart"/>
    <w:r>
      <w:rPr>
        <w:rFonts w:ascii="Arial" w:eastAsia="Arial" w:hAnsi="Arial" w:cs="Arial"/>
        <w:color w:val="888888"/>
        <w:sz w:val="18"/>
        <w:szCs w:val="18"/>
      </w:rPr>
      <w:t>Project  |</w:t>
    </w:r>
    <w:proofErr w:type="gramEnd"/>
    <w:r>
      <w:rPr>
        <w:rFonts w:ascii="Arial" w:eastAsia="Arial" w:hAnsi="Arial" w:cs="Arial"/>
        <w:color w:val="888888"/>
        <w:sz w:val="18"/>
        <w:szCs w:val="18"/>
      </w:rPr>
      <w:t xml:space="preserve">  Week 2 </w:t>
    </w:r>
    <w:proofErr w:type="gramStart"/>
    <w:r>
      <w:rPr>
        <w:rFonts w:ascii="Arial" w:eastAsia="Arial" w:hAnsi="Arial" w:cs="Arial"/>
        <w:color w:val="888888"/>
        <w:sz w:val="18"/>
        <w:szCs w:val="18"/>
      </w:rPr>
      <w:t>Internship  |</w:t>
    </w:r>
    <w:proofErr w:type="gramEnd"/>
    <w:r>
      <w:rPr>
        <w:rFonts w:ascii="Arial" w:eastAsia="Arial" w:hAnsi="Arial" w:cs="Arial"/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rFonts w:ascii="Arial" w:eastAsia="Arial" w:hAnsi="Arial" w:cs="Arial"/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53CB5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917F8" w14:textId="77777777" w:rsidR="00484997" w:rsidRDefault="00484997">
      <w:pPr>
        <w:spacing w:after="0" w:line="240" w:lineRule="auto"/>
      </w:pPr>
      <w:r>
        <w:separator/>
      </w:r>
    </w:p>
  </w:footnote>
  <w:footnote w:type="continuationSeparator" w:id="0">
    <w:p w14:paraId="63E71651" w14:textId="77777777" w:rsidR="00484997" w:rsidRDefault="004849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8300F"/>
    <w:multiLevelType w:val="hybridMultilevel"/>
    <w:tmpl w:val="C05048BC"/>
    <w:lvl w:ilvl="0" w:tplc="A984BFF6">
      <w:start w:val="1"/>
      <w:numFmt w:val="bullet"/>
      <w:lvlText w:val="●"/>
      <w:lvlJc w:val="left"/>
      <w:pPr>
        <w:ind w:left="720" w:hanging="360"/>
      </w:pPr>
    </w:lvl>
    <w:lvl w:ilvl="1" w:tplc="CD6C2AB4">
      <w:start w:val="1"/>
      <w:numFmt w:val="bullet"/>
      <w:lvlText w:val="○"/>
      <w:lvlJc w:val="left"/>
      <w:pPr>
        <w:ind w:left="1440" w:hanging="360"/>
      </w:pPr>
    </w:lvl>
    <w:lvl w:ilvl="2" w:tplc="9CFE24A0">
      <w:start w:val="1"/>
      <w:numFmt w:val="bullet"/>
      <w:lvlText w:val="■"/>
      <w:lvlJc w:val="left"/>
      <w:pPr>
        <w:ind w:left="2160" w:hanging="360"/>
      </w:pPr>
    </w:lvl>
    <w:lvl w:ilvl="3" w:tplc="888A8D60">
      <w:start w:val="1"/>
      <w:numFmt w:val="bullet"/>
      <w:lvlText w:val="●"/>
      <w:lvlJc w:val="left"/>
      <w:pPr>
        <w:ind w:left="2880" w:hanging="360"/>
      </w:pPr>
    </w:lvl>
    <w:lvl w:ilvl="4" w:tplc="4874F7C0">
      <w:start w:val="1"/>
      <w:numFmt w:val="bullet"/>
      <w:lvlText w:val="○"/>
      <w:lvlJc w:val="left"/>
      <w:pPr>
        <w:ind w:left="3600" w:hanging="360"/>
      </w:pPr>
    </w:lvl>
    <w:lvl w:ilvl="5" w:tplc="483CAA32">
      <w:start w:val="1"/>
      <w:numFmt w:val="bullet"/>
      <w:lvlText w:val="■"/>
      <w:lvlJc w:val="left"/>
      <w:pPr>
        <w:ind w:left="4320" w:hanging="360"/>
      </w:pPr>
    </w:lvl>
    <w:lvl w:ilvl="6" w:tplc="B40470D2">
      <w:start w:val="1"/>
      <w:numFmt w:val="bullet"/>
      <w:lvlText w:val="●"/>
      <w:lvlJc w:val="left"/>
      <w:pPr>
        <w:ind w:left="5040" w:hanging="360"/>
      </w:pPr>
    </w:lvl>
    <w:lvl w:ilvl="7" w:tplc="B2362F1A">
      <w:start w:val="1"/>
      <w:numFmt w:val="bullet"/>
      <w:lvlText w:val="●"/>
      <w:lvlJc w:val="left"/>
      <w:pPr>
        <w:ind w:left="5760" w:hanging="360"/>
      </w:pPr>
    </w:lvl>
    <w:lvl w:ilvl="8" w:tplc="7E308C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C5770F"/>
    <w:multiLevelType w:val="hybridMultilevel"/>
    <w:tmpl w:val="AD4A7366"/>
    <w:lvl w:ilvl="0" w:tplc="AB9AD7C0">
      <w:start w:val="1"/>
      <w:numFmt w:val="bullet"/>
      <w:lvlText w:val="•"/>
      <w:lvlJc w:val="left"/>
      <w:pPr>
        <w:ind w:left="720" w:hanging="360"/>
      </w:pPr>
    </w:lvl>
    <w:lvl w:ilvl="1" w:tplc="99223630">
      <w:numFmt w:val="decimal"/>
      <w:lvlText w:val=""/>
      <w:lvlJc w:val="left"/>
    </w:lvl>
    <w:lvl w:ilvl="2" w:tplc="266ED31A">
      <w:numFmt w:val="decimal"/>
      <w:lvlText w:val=""/>
      <w:lvlJc w:val="left"/>
    </w:lvl>
    <w:lvl w:ilvl="3" w:tplc="3036FA72">
      <w:numFmt w:val="decimal"/>
      <w:lvlText w:val=""/>
      <w:lvlJc w:val="left"/>
    </w:lvl>
    <w:lvl w:ilvl="4" w:tplc="8332A48C">
      <w:numFmt w:val="decimal"/>
      <w:lvlText w:val=""/>
      <w:lvlJc w:val="left"/>
    </w:lvl>
    <w:lvl w:ilvl="5" w:tplc="306E705E">
      <w:numFmt w:val="decimal"/>
      <w:lvlText w:val=""/>
      <w:lvlJc w:val="left"/>
    </w:lvl>
    <w:lvl w:ilvl="6" w:tplc="57224300">
      <w:numFmt w:val="decimal"/>
      <w:lvlText w:val=""/>
      <w:lvlJc w:val="left"/>
    </w:lvl>
    <w:lvl w:ilvl="7" w:tplc="D780F8DE">
      <w:numFmt w:val="decimal"/>
      <w:lvlText w:val=""/>
      <w:lvlJc w:val="left"/>
    </w:lvl>
    <w:lvl w:ilvl="8" w:tplc="212CDF06">
      <w:numFmt w:val="decimal"/>
      <w:lvlText w:val=""/>
      <w:lvlJc w:val="left"/>
    </w:lvl>
  </w:abstractNum>
  <w:num w:numId="1" w16cid:durableId="441921593">
    <w:abstractNumId w:val="0"/>
    <w:lvlOverride w:ilvl="0">
      <w:startOverride w:val="1"/>
    </w:lvlOverride>
  </w:num>
  <w:num w:numId="2" w16cid:durableId="15447129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3AD"/>
    <w:rsid w:val="00253CB5"/>
    <w:rsid w:val="00484997"/>
    <w:rsid w:val="00BD19ED"/>
    <w:rsid w:val="00EB5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A561C"/>
  <w15:docId w15:val="{6FE30820-9012-4C3A-9952-D116E41A9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CB5"/>
  </w:style>
  <w:style w:type="paragraph" w:styleId="Heading1">
    <w:name w:val="heading 1"/>
    <w:basedOn w:val="Normal"/>
    <w:next w:val="Normal"/>
    <w:link w:val="Heading1Char"/>
    <w:uiPriority w:val="9"/>
    <w:qFormat/>
    <w:rsid w:val="00253CB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6E6E6E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3CB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CB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A5A5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CB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A5A5A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CB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CB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6E6E6E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CB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6E6E6E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CB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6E6E6E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CB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6E6E6E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53CB5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00000" w:themeColor="text2"/>
      <w:spacing w:val="-15"/>
      <w:sz w:val="72"/>
      <w:szCs w:val="72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  <w:uiPriority w:val="34"/>
    <w:qFormat/>
    <w:pPr>
      <w:ind w:left="720"/>
      <w:contextualSpacing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53CB5"/>
    <w:rPr>
      <w:rFonts w:asciiTheme="majorHAnsi" w:eastAsiaTheme="majorEastAsia" w:hAnsiTheme="majorHAnsi" w:cstheme="majorBidi"/>
      <w:color w:val="6E6E6E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53CB5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CB5"/>
    <w:rPr>
      <w:rFonts w:asciiTheme="majorHAnsi" w:eastAsiaTheme="majorEastAsia" w:hAnsiTheme="majorHAnsi" w:cstheme="majorBidi"/>
      <w:color w:val="A5A5A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CB5"/>
    <w:rPr>
      <w:rFonts w:asciiTheme="majorHAnsi" w:eastAsiaTheme="majorEastAsia" w:hAnsiTheme="majorHAnsi" w:cstheme="majorBidi"/>
      <w:color w:val="A5A5A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CB5"/>
    <w:rPr>
      <w:rFonts w:asciiTheme="majorHAnsi" w:eastAsiaTheme="majorEastAsia" w:hAnsiTheme="majorHAnsi" w:cstheme="majorBidi"/>
      <w:caps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CB5"/>
    <w:rPr>
      <w:rFonts w:asciiTheme="majorHAnsi" w:eastAsiaTheme="majorEastAsia" w:hAnsiTheme="majorHAnsi" w:cstheme="majorBidi"/>
      <w:i/>
      <w:iCs/>
      <w:caps/>
      <w:color w:val="6E6E6E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CB5"/>
    <w:rPr>
      <w:rFonts w:asciiTheme="majorHAnsi" w:eastAsiaTheme="majorEastAsia" w:hAnsiTheme="majorHAnsi" w:cstheme="majorBidi"/>
      <w:b/>
      <w:bCs/>
      <w:color w:val="6E6E6E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CB5"/>
    <w:rPr>
      <w:rFonts w:asciiTheme="majorHAnsi" w:eastAsiaTheme="majorEastAsia" w:hAnsiTheme="majorHAnsi" w:cstheme="majorBidi"/>
      <w:b/>
      <w:bCs/>
      <w:i/>
      <w:iCs/>
      <w:color w:val="6E6E6E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CB5"/>
    <w:rPr>
      <w:rFonts w:asciiTheme="majorHAnsi" w:eastAsiaTheme="majorEastAsia" w:hAnsiTheme="majorHAnsi" w:cstheme="majorBidi"/>
      <w:i/>
      <w:iCs/>
      <w:color w:val="6E6E6E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53CB5"/>
    <w:pPr>
      <w:spacing w:line="240" w:lineRule="auto"/>
    </w:pPr>
    <w:rPr>
      <w:b/>
      <w:bCs/>
      <w:smallCaps/>
      <w:color w:val="000000" w:themeColor="text2"/>
    </w:rPr>
  </w:style>
  <w:style w:type="character" w:customStyle="1" w:styleId="TitleChar">
    <w:name w:val="Title Char"/>
    <w:basedOn w:val="DefaultParagraphFont"/>
    <w:link w:val="Title"/>
    <w:uiPriority w:val="10"/>
    <w:rsid w:val="00253CB5"/>
    <w:rPr>
      <w:rFonts w:asciiTheme="majorHAnsi" w:eastAsiaTheme="majorEastAsia" w:hAnsiTheme="majorHAnsi" w:cstheme="majorBidi"/>
      <w:caps/>
      <w:color w:val="000000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CB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DDDDD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CB5"/>
    <w:rPr>
      <w:rFonts w:asciiTheme="majorHAnsi" w:eastAsiaTheme="majorEastAsia" w:hAnsiTheme="majorHAnsi" w:cstheme="majorBidi"/>
      <w:color w:val="DDDDD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253CB5"/>
    <w:rPr>
      <w:b/>
      <w:bCs/>
    </w:rPr>
  </w:style>
  <w:style w:type="character" w:styleId="Emphasis">
    <w:name w:val="Emphasis"/>
    <w:basedOn w:val="DefaultParagraphFont"/>
    <w:uiPriority w:val="20"/>
    <w:qFormat/>
    <w:rsid w:val="00253CB5"/>
    <w:rPr>
      <w:i/>
      <w:iCs/>
    </w:rPr>
  </w:style>
  <w:style w:type="paragraph" w:styleId="NoSpacing">
    <w:name w:val="No Spacing"/>
    <w:uiPriority w:val="1"/>
    <w:qFormat/>
    <w:rsid w:val="00253CB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53CB5"/>
    <w:pPr>
      <w:spacing w:before="120" w:after="120"/>
      <w:ind w:left="720"/>
    </w:pPr>
    <w:rPr>
      <w:color w:val="000000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53CB5"/>
    <w:rPr>
      <w:color w:val="000000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CB5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00000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CB5"/>
    <w:rPr>
      <w:rFonts w:asciiTheme="majorHAnsi" w:eastAsiaTheme="majorEastAsia" w:hAnsiTheme="majorHAnsi" w:cstheme="majorBidi"/>
      <w:color w:val="000000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253CB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253CB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253CB5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253CB5"/>
    <w:rPr>
      <w:b/>
      <w:bCs/>
      <w:smallCaps/>
      <w:color w:val="000000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253CB5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53CB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977</Words>
  <Characters>5569</Characters>
  <Application>Microsoft Office Word</Application>
  <DocSecurity>0</DocSecurity>
  <Lines>46</Lines>
  <Paragraphs>13</Paragraphs>
  <ScaleCrop>false</ScaleCrop>
  <Company/>
  <LinksUpToDate>false</LinksUpToDate>
  <CharactersWithSpaces>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Ashithosh Chintala</cp:lastModifiedBy>
  <cp:revision>2</cp:revision>
  <dcterms:created xsi:type="dcterms:W3CDTF">2026-05-10T16:18:00Z</dcterms:created>
  <dcterms:modified xsi:type="dcterms:W3CDTF">2026-05-10T16:21:00Z</dcterms:modified>
</cp:coreProperties>
</file>