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70.png" ContentType="image/png"/>
  <Override PartName="/word/media/rId77.png" ContentType="image/png"/>
  <Override PartName="/word/media/rId81.png" ContentType="image/png"/>
  <Override PartName="/word/media/rId18.png" ContentType="image/png"/>
  <Override PartName="/word/media/rId23.png" ContentType="image/png"/>
  <Override PartName="/word/media/rId29.png" ContentType="image/png"/>
  <Override PartName="/word/media/rId37.png" ContentType="image/png"/>
  <Override PartName="/word/media/rId45.png" ContentType="image/png"/>
  <Override PartName="/word/media/rId55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1" w:name="X6a1f3770f0e1658cbe862af27c069fa406c4bb0"/>
    <w:p>
      <w:pPr>
        <w:pStyle w:val="Heading1"/>
      </w:pPr>
      <w:r>
        <w:t xml:space="preserve">Technical Report: AI-Driven Automated Land Use / Land Cover Mapping System for Andhra Pradesh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PS-6 Intelligent Cartography Pipeline — V6 Pro</w:t>
      </w:r>
      <w:r>
        <w:t xml:space="preserve"> </w:t>
      </w:r>
      <w:r>
        <w:rPr>
          <w:b/>
          <w:bCs/>
        </w:rPr>
        <w:t xml:space="preserve">Application:</w:t>
      </w:r>
      <w:r>
        <w:t xml:space="preserve"> </w:t>
      </w:r>
      <w:r>
        <w:t xml:space="preserve">Automated Building Detection, Road Network Extraction &amp; Auto-Completion, Water Body Delineation &amp; Temporal Change Detection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Andhra Pradesh, India</w:t>
      </w:r>
      <w:r>
        <w:t xml:space="preserve"> </w:t>
      </w:r>
      <w:r>
        <w:rPr>
          <w:b/>
          <w:bCs/>
        </w:rPr>
        <w:t xml:space="preserve">Organization:</w:t>
      </w:r>
      <w:r>
        <w:t xml:space="preserve"> </w:t>
      </w:r>
      <w:r>
        <w:t xml:space="preserve">Yantrikaran Innovation Pvt. Ltd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2026 (updated June 2026)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SegFormer-B5 — 84M Parameters</w:t>
      </w:r>
      <w:r>
        <w:t xml:space="preserve"> </w:t>
      </w:r>
      <w:r>
        <w:rPr>
          <w:b/>
          <w:bCs/>
        </w:rPr>
        <w:t xml:space="preserve">Best mIoU:</w:t>
      </w:r>
      <w:r>
        <w:t xml:space="preserve"> </w:t>
      </w:r>
      <w:r>
        <w:t xml:space="preserve">0.5474</w:t>
      </w:r>
    </w:p>
    <w:p>
      <w:pPr>
        <w:pStyle w:val="BodyText"/>
      </w:pPr>
      <w:r>
        <w:rPr>
          <w:b/>
          <w:bCs/>
        </w:rPr>
        <w:t xml:space="preserve">Live Web App:</w:t>
      </w:r>
      <w:r>
        <w:t xml:space="preserve"> </w:t>
      </w:r>
      <w:hyperlink r:id="rId9">
        <w:r>
          <w:rPr>
            <w:rStyle w:val="Hyperlink"/>
          </w:rPr>
          <w:t xml:space="preserve">https://smart-property-identification-urban.vercel.app</w:t>
        </w:r>
      </w:hyperlink>
      <w:r>
        <w:t xml:space="preserve"> </w:t>
      </w:r>
      <w:r>
        <w:rPr>
          <w:b/>
          <w:bCs/>
        </w:rPr>
        <w:t xml:space="preserve">Testing Results:</w:t>
      </w:r>
      <w:r>
        <w:t xml:space="preserve"> </w:t>
      </w:r>
      <w:r>
        <w:rPr>
          <w:i/>
          <w:iCs/>
        </w:rPr>
        <w:t xml:space="preserve">Drive Link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production-grade, end-to-end deep learning pipeline for automated semantic segmentation of high-resolution satellite imagery, purpose-built for Andhra Pradesh’s PS-6 land mapping requirements. The system combines a state-of-the-art 84-million parameter</w:t>
      </w:r>
      <w:r>
        <w:t xml:space="preserve"> </w:t>
      </w:r>
      <w:r>
        <w:rPr>
          <w:b/>
          <w:bCs/>
        </w:rPr>
        <w:t xml:space="preserve">SegFormer-B5</w:t>
      </w:r>
      <w:r>
        <w:t xml:space="preserve"> </w:t>
      </w:r>
      <w:r>
        <w:t xml:space="preserve">transformer with domain-specific geometric post-processing — including</w:t>
      </w:r>
      <w:r>
        <w:t xml:space="preserve"> </w:t>
      </w:r>
      <w:r>
        <w:rPr>
          <w:b/>
          <w:bCs/>
        </w:rPr>
        <w:t xml:space="preserve">skeleton-based road network auto-completion</w:t>
      </w:r>
      <w:r>
        <w:t xml:space="preserve"> </w:t>
      </w:r>
      <w:r>
        <w:t xml:space="preserve">— and a cloud-native deployment architecture to produce survey-grade land use / land cover (LULC) maps at scale, with automated monthly, quarterly, and annual temporal change monitoring.</w:t>
      </w:r>
    </w:p>
    <w:p>
      <w:pPr>
        <w:pStyle w:val="BlockText"/>
      </w:pPr>
      <w:r>
        <w:rPr>
          <w:b/>
          <w:bCs/>
        </w:rPr>
        <w:t xml:space="preserve">Deployment note (June 2026):</w:t>
      </w:r>
      <w:r>
        <w:t xml:space="preserve"> </w:t>
      </w:r>
      <w:r>
        <w:t xml:space="preserve">The live prototype currently runs on a lightweight, cost-free cloud stack —</w:t>
      </w:r>
      <w:r>
        <w:t xml:space="preserve"> </w:t>
      </w:r>
      <w:r>
        <w:rPr>
          <w:b/>
          <w:bCs/>
        </w:rPr>
        <w:t xml:space="preserve">Hugging Face Spaces</w:t>
      </w:r>
      <w:r>
        <w:t xml:space="preserve"> </w:t>
      </w:r>
      <w:r>
        <w:t xml:space="preserve">(model inference + data API),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(web app), and</w:t>
      </w:r>
      <w:r>
        <w:t xml:space="preserve"> </w:t>
      </w:r>
      <w:r>
        <w:rPr>
          <w:b/>
          <w:bCs/>
        </w:rPr>
        <w:t xml:space="preserve">Cloudflare R2</w:t>
      </w:r>
      <w:r>
        <w:t xml:space="preserve"> </w:t>
      </w:r>
      <w:r>
        <w:t xml:space="preserve">(object storage). The</w:t>
      </w:r>
      <w:r>
        <w:t xml:space="preserve"> </w:t>
      </w:r>
      <w:r>
        <w:rPr>
          <w:b/>
          <w:bCs/>
        </w:rPr>
        <w:t xml:space="preserve">AWS SageMaker + ArcGIS Online</w:t>
      </w:r>
      <w:r>
        <w:t xml:space="preserve"> </w:t>
      </w:r>
      <w:r>
        <w:t xml:space="preserve">architecture described in §11–§12 is the</w:t>
      </w:r>
      <w:r>
        <w:t xml:space="preserve"> </w:t>
      </w:r>
      <w:r>
        <w:rPr>
          <w:b/>
          <w:bCs/>
        </w:rPr>
        <w:t xml:space="preserve">target production architecture</w:t>
      </w:r>
      <w:r>
        <w:t xml:space="preserve">. Both are documented below.</w:t>
      </w:r>
    </w:p>
    <w:p>
      <w:pPr>
        <w:pStyle w:val="FirstParagraph"/>
      </w:pPr>
      <w:r>
        <w:rPr>
          <w:b/>
          <w:bCs/>
        </w:rPr>
        <w:t xml:space="preserve">Final Model Performance (60 Epochs, T4×2 GPU, ~48 hours):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mIoU</w:t>
            </w:r>
          </w:p>
        </w:tc>
        <w:tc>
          <w:tcPr/>
          <w:p>
            <w:pPr>
              <w:pStyle w:val="Compact"/>
            </w:pPr>
            <w:r>
              <w:t xml:space="preserve">0.5474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IoU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IoU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IoU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IoU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Land IoU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TTA + V4 Post-processed mIoU</w:t>
            </w:r>
          </w:p>
        </w:tc>
        <w:tc>
          <w:tcPr/>
          <w:p>
            <w:pPr>
              <w:pStyle w:val="Compact"/>
            </w:pPr>
            <w:r>
              <w:t xml:space="preserve">0.5474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Innovations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SegFormer-B5 Encoder</w:t>
      </w:r>
      <w:r>
        <w:t xml:space="preserve"> </w:t>
      </w:r>
      <w:r>
        <w:t xml:space="preserve">— the largest SegFormer variant (~84M parameters) pretrained on ADE20K-640, providing superior multi-scale feature extraction over B4.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Focal Tversky + Weighted CE Training</w:t>
      </w:r>
      <w:r>
        <w:t xml:space="preserve"> </w:t>
      </w:r>
      <w:r>
        <w:t xml:space="preserve">— recall-oriented loss with asymmetric FN/FP weighting (α=0.3, β=0.7), focal hard-example mining (γ=0.75), and auto-computed class weights with 2× road boosting.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4-Way TTA + Geometry-Constrained Post-Processing</w:t>
      </w:r>
      <w:r>
        <w:t xml:space="preserve"> </w:t>
      </w:r>
      <w:r>
        <w:t xml:space="preserve">— test-time flip averaging, convex-hull building regularization, and</w:t>
      </w:r>
      <w:r>
        <w:t xml:space="preserve"> </w:t>
      </w:r>
      <w:r>
        <w:rPr>
          <w:b/>
          <w:bCs/>
        </w:rPr>
        <w:t xml:space="preserve">skeleton-based road width normalization with gap bridging (road auto-completion)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Inference Pipeline</w:t>
      </w:r>
      <w:r>
        <w:t xml:space="preserve"> </w:t>
      </w:r>
      <w:r>
        <w:t xml:space="preserve">— current prototype on Hugging Face Spaces (CPU) with Cloudflare R2 large-file handling; target production on AWS SageMaker scheduled endpoints.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 Web Platform</w:t>
      </w:r>
      <w:r>
        <w:t xml:space="preserve"> </w:t>
      </w:r>
      <w:r>
        <w:t xml:space="preserve">— live LULC mapping, AOI-based analytics, upload-and-analyze, and temporal change detection, with an in-app</w:t>
      </w:r>
      <w:r>
        <w:t xml:space="preserve"> </w:t>
      </w:r>
      <w:r>
        <w:rPr>
          <w:b/>
          <w:bCs/>
        </w:rPr>
        <w:t xml:space="preserve">Auto-Guide tour mode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Manual land use mapping across Andhra Pradesh’s 160,000+ km² area is slow, costly, and inconsistent — it relies on manual digitization by GIS analysts and requires 6–12 months per district update, making maps outdated, especially in fast-growing regions like Vijayawada and Visakhapatnam.</w:t>
      </w:r>
    </w:p>
    <w:p>
      <w:pPr>
        <w:pStyle w:val="BodyText"/>
      </w:pPr>
      <w:r>
        <w:t xml:space="preserve">The PS-6 mapping standard requires an automated, scalable solution capable of pixel-level classification of</w:t>
      </w:r>
      <w:r>
        <w:t xml:space="preserve"> </w:t>
      </w:r>
      <w:r>
        <w:rPr>
          <w:b/>
          <w:bCs/>
        </w:rPr>
        <w:t xml:space="preserve">buildings, roads, water bodies, and open land</w:t>
      </w:r>
      <w:r>
        <w:t xml:space="preserve">. The system must maintain high geometric fidelity for building footprints and ensure</w:t>
      </w:r>
      <w:r>
        <w:t xml:space="preserve"> </w:t>
      </w:r>
      <w:r>
        <w:rPr>
          <w:b/>
          <w:bCs/>
        </w:rPr>
        <w:t xml:space="preserve">complete, continuous road networks without fragmentation</w:t>
      </w:r>
      <w:r>
        <w:t xml:space="preserve">. It should efficiently process thousands of satellite chips per district, support change detection on monthly/quarterly/annual timelines, and deliver results in real time through a web dashboard.</w:t>
      </w:r>
    </w:p>
    <w:bookmarkStart w:id="11" w:name="our-solution"/>
    <w:p>
      <w:pPr>
        <w:pStyle w:val="Heading3"/>
      </w:pPr>
      <w:r>
        <w:t xml:space="preserve">1.1 Our Solution</w:t>
      </w:r>
    </w:p>
    <w:p>
      <w:pPr>
        <w:pStyle w:val="FirstParagraph"/>
      </w:pPr>
      <w:r>
        <w:t xml:space="preserve">A fully automated AI pipeline that reduces the mapping cycle from months to hours — deployed to the cloud for scheduled periodic re-processing and surfaced through Yantrikaran’s custom web application for real-time stakeholder access.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ystem-architecture-end-to-end-pipeline"/>
    <w:p>
      <w:pPr>
        <w:pStyle w:val="Heading2"/>
      </w:pPr>
      <w:r>
        <w:t xml:space="preserve">2. System Architecture — End-to-End Pipeline</w:t>
      </w:r>
    </w:p>
    <w:p>
      <w:pPr>
        <w:pStyle w:val="CaptionedFigure"/>
      </w:pPr>
      <w:r>
        <w:drawing>
          <wp:inline>
            <wp:extent cx="5334000" cy="4823732"/>
            <wp:effectExtent b="0" l="0" r="0" t="0"/>
            <wp:docPr descr="Figure 1" title="" id="14" name="Picture"/>
            <a:graphic>
              <a:graphicData uri="http://schemas.openxmlformats.org/drawingml/2006/picture">
                <pic:pic>
                  <pic:nvPicPr>
                    <pic:cNvPr descr="diagrams/d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r>
        <w:pict>
          <v:rect style="width:0;height:1.5pt" o:hralign="center" o:hrstd="t" o:hr="t"/>
        </w:pict>
      </w:r>
    </w:p>
    <w:bookmarkEnd w:id="16"/>
    <w:bookmarkStart w:id="28" w:name="Xee73d208db432f8717c982043e57c5d050b9b25"/>
    <w:p>
      <w:pPr>
        <w:pStyle w:val="Heading2"/>
      </w:pPr>
      <w:r>
        <w:t xml:space="preserve">3. Dataset Architecture — Custom Prepared &amp; Cleaned</w:t>
      </w:r>
    </w:p>
    <w:bookmarkStart w:id="17" w:name="data-sources"/>
    <w:p>
      <w:pPr>
        <w:pStyle w:val="Heading3"/>
      </w:pPr>
      <w:r>
        <w:t xml:space="preserve">3.1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Imagery</w:t>
            </w:r>
          </w:p>
        </w:tc>
        <w:tc>
          <w:tcPr/>
          <w:p>
            <w:pPr>
              <w:pStyle w:val="Compact"/>
            </w:pPr>
            <w:r>
              <w:t xml:space="preserve">ESRI World Imagery (R&amp;D); Commercial 1m/50cm GSD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 Size</w:t>
            </w:r>
          </w:p>
        </w:tc>
        <w:tc>
          <w:tcPr/>
          <w:p>
            <w:pPr>
              <w:pStyle w:val="Compact"/>
            </w:pPr>
            <w:r>
              <w:t xml:space="preserve">512 × 512 pixels (512m × 512m at 1m GSD)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</w:pPr>
            <w:r>
              <w:t xml:space="preserve">5 districts across Andhra Pradesh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Volume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18,240 chips</w:t>
            </w:r>
            <w:r>
              <w:t xml:space="preserve"> </w:t>
            </w:r>
            <w:r>
              <w:t xml:space="preserve">(custom prepared)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ESRI World Imagery is used for R&amp;D under academic/startup licensing. Production deployment will transition to commercial satellite imagery providers at 1m or 50cm GSD via API subscription.</w:t>
      </w:r>
    </w:p>
    <w:bookmarkEnd w:id="17"/>
    <w:bookmarkStart w:id="21" w:name="custom-dataset-preparation-pipeline"/>
    <w:p>
      <w:pPr>
        <w:pStyle w:val="Heading3"/>
      </w:pPr>
      <w:r>
        <w:t xml:space="preserve">3.2 Custom Dataset Preparation Pipeline</w:t>
      </w:r>
    </w:p>
    <w:p>
      <w:pPr>
        <w:pStyle w:val="FirstParagraph"/>
      </w:pPr>
      <w:r>
        <w:t xml:space="preserve">The training dataset was</w:t>
      </w:r>
      <w:r>
        <w:t xml:space="preserve"> </w:t>
      </w:r>
      <w:r>
        <w:rPr>
          <w:b/>
          <w:bCs/>
        </w:rPr>
        <w:t xml:space="preserve">custom-built from scratch</w:t>
      </w:r>
      <w:r>
        <w:t xml:space="preserve"> </w:t>
      </w:r>
      <w:r>
        <w:t xml:space="preserve">for the AP PS-6 use case — no pre-existing public segmentation dataset covers AP’s terrain, building styles, and road patterns at the required resolution. Label masks were constructed from raw</w:t>
      </w:r>
      <w:r>
        <w:t xml:space="preserve"> </w:t>
      </w:r>
      <w:r>
        <w:rPr>
          <w:b/>
          <w:bCs/>
        </w:rPr>
        <w:t xml:space="preserve">OpenStreetMap (OSM)</w:t>
      </w:r>
      <w:r>
        <w:t xml:space="preserve"> </w:t>
      </w:r>
      <w:r>
        <w:t xml:space="preserve">vector data (southern India) and</w:t>
      </w:r>
      <w:r>
        <w:t xml:space="preserve"> </w:t>
      </w:r>
      <w:r>
        <w:rPr>
          <w:b/>
          <w:bCs/>
        </w:rPr>
        <w:t xml:space="preserve">Google Open Buildings</w:t>
      </w:r>
      <w:r>
        <w:t xml:space="preserve"> </w:t>
      </w:r>
      <w:r>
        <w:t xml:space="preserve">footprints, processed and rasterized using a QGIS + Python geospatial pipeline.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Custom-built</w:t>
            </w:r>
          </w:p>
        </w:tc>
        <w:tc>
          <w:tcPr/>
          <w:p>
            <w:pPr>
              <w:pStyle w:val="Compact"/>
            </w:pPr>
            <w:r>
              <w:t xml:space="preserve">Entire dataset prepared specifically for AP PS-6 — no public dataset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Data</w:t>
            </w:r>
          </w:p>
        </w:tc>
        <w:tc>
          <w:tcPr/>
          <w:p>
            <w:pPr>
              <w:pStyle w:val="Compact"/>
            </w:pPr>
            <w:r>
              <w:t xml:space="preserve">Raw OSM vectors (southern India) + Google Open Buildings footprints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</w:t>
            </w:r>
          </w:p>
        </w:tc>
        <w:tc>
          <w:tcPr/>
          <w:p>
            <w:pPr>
              <w:pStyle w:val="Compact"/>
            </w:pPr>
            <w:r>
              <w:t xml:space="preserve">QGIS for vector merging, CRS reprojection, class definition, rasterization to GeoTIFF masks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CRS-verified</w:t>
            </w:r>
          </w:p>
        </w:tc>
        <w:tc>
          <w:tcPr/>
          <w:p>
            <w:pPr>
              <w:pStyle w:val="Compact"/>
            </w:pPr>
            <w:r>
              <w:t xml:space="preserve">Every image-mask pair verified for spatial alignment and CRS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Cleaned</w:t>
            </w:r>
          </w:p>
        </w:tc>
        <w:tc>
          <w:tcPr/>
          <w:p>
            <w:pPr>
              <w:pStyle w:val="Compact"/>
            </w:pPr>
            <w:r>
              <w:t xml:space="preserve">Corrupt/truncated GeoTIFFs filtered; unreadable tiles auto-skipped during training</w:t>
            </w:r>
          </w:p>
        </w:tc>
      </w:tr>
    </w:tbl>
    <w:p>
      <w:pPr>
        <w:pStyle w:val="CaptionedFigure"/>
      </w:pPr>
      <w:r>
        <w:drawing>
          <wp:inline>
            <wp:extent cx="5334000" cy="9593035"/>
            <wp:effectExtent b="0" l="0" r="0" t="0"/>
            <wp:docPr descr="Figure 2" title="" id="19" name="Picture"/>
            <a:graphic>
              <a:graphicData uri="http://schemas.openxmlformats.org/drawingml/2006/picture">
                <pic:pic>
                  <pic:nvPicPr>
                    <pic:cNvPr descr="diagrams/d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bookmarkEnd w:id="21"/>
    <w:bookmarkStart w:id="22" w:name="district-wise-data-distribution"/>
    <w:p>
      <w:pPr>
        <w:pStyle w:val="Heading3"/>
      </w:pPr>
      <w:r>
        <w:t xml:space="preserve">3.3 District-wise Data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Chips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Terrain Diversity</w:t>
            </w:r>
          </w:p>
        </w:tc>
        <w:tc>
          <w:tcPr/>
          <w:p>
            <w:pPr>
              <w:pStyle w:val="Compact"/>
            </w:pPr>
            <w:r>
              <w:t xml:space="preserve">Monthly Urban?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Anantapur</w:t>
            </w:r>
          </w:p>
        </w:tc>
        <w:tc>
          <w:tcPr/>
          <w:p>
            <w:pPr>
              <w:pStyle w:val="Compact"/>
            </w:pPr>
            <w:r>
              <w:t xml:space="preserve">4,027</w:t>
            </w:r>
          </w:p>
        </w:tc>
        <w:tc>
          <w:tcPr/>
          <w:p>
            <w:pPr>
              <w:pStyle w:val="Compact"/>
            </w:pPr>
            <w:r>
              <w:t xml:space="preserve">~1,055 km²</w:t>
            </w:r>
          </w:p>
        </w:tc>
        <w:tc>
          <w:tcPr/>
          <w:p>
            <w:pPr>
              <w:pStyle w:val="Compact"/>
            </w:pPr>
            <w:r>
              <w:t xml:space="preserve">Semi-arid plateau, sparse settlement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Guntur</w:t>
            </w:r>
          </w:p>
        </w:tc>
        <w:tc>
          <w:tcPr/>
          <w:p>
            <w:pPr>
              <w:pStyle w:val="Compact"/>
            </w:pPr>
            <w:r>
              <w:t xml:space="preserve">4,145</w:t>
            </w:r>
          </w:p>
        </w:tc>
        <w:tc>
          <w:tcPr/>
          <w:p>
            <w:pPr>
              <w:pStyle w:val="Compact"/>
            </w:pPr>
            <w:r>
              <w:t xml:space="preserve">~1,086 km²</w:t>
            </w:r>
          </w:p>
        </w:tc>
        <w:tc>
          <w:tcPr/>
          <w:p>
            <w:pPr>
              <w:pStyle w:val="Compact"/>
            </w:pPr>
            <w:r>
              <w:t xml:space="preserve">Agricultural delta, canal networks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Nellore</w:t>
            </w:r>
          </w:p>
        </w:tc>
        <w:tc>
          <w:tcPr/>
          <w:p>
            <w:pPr>
              <w:pStyle w:val="Compact"/>
            </w:pPr>
            <w:r>
              <w:t xml:space="preserve">5,020</w:t>
            </w:r>
          </w:p>
        </w:tc>
        <w:tc>
          <w:tcPr/>
          <w:p>
            <w:pPr>
              <w:pStyle w:val="Compact"/>
            </w:pPr>
            <w:r>
              <w:t xml:space="preserve">~1,315 km²</w:t>
            </w:r>
          </w:p>
        </w:tc>
        <w:tc>
          <w:tcPr/>
          <w:p>
            <w:pPr>
              <w:pStyle w:val="Compact"/>
            </w:pPr>
            <w:r>
              <w:t xml:space="preserve">Coastal plains, aquaculture ponds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Vijayawada</w:t>
            </w:r>
          </w:p>
        </w:tc>
        <w:tc>
          <w:tcPr/>
          <w:p>
            <w:pPr>
              <w:pStyle w:val="Compact"/>
            </w:pPr>
            <w:r>
              <w:t xml:space="preserve">2,977</w:t>
            </w:r>
          </w:p>
        </w:tc>
        <w:tc>
          <w:tcPr/>
          <w:p>
            <w:pPr>
              <w:pStyle w:val="Compact"/>
            </w:pPr>
            <w:r>
              <w:t xml:space="preserve">~780 km²</w:t>
            </w:r>
          </w:p>
        </w:tc>
        <w:tc>
          <w:tcPr/>
          <w:p>
            <w:pPr>
              <w:pStyle w:val="Compact"/>
            </w:pPr>
            <w:r>
              <w:t xml:space="preserve">Dense urban core, Krishna delta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Visakhapatnam</w:t>
            </w:r>
          </w:p>
        </w:tc>
        <w:tc>
          <w:tcPr/>
          <w:p>
            <w:pPr>
              <w:pStyle w:val="Compact"/>
            </w:pPr>
            <w:r>
              <w:t xml:space="preserve">2,071</w:t>
            </w:r>
          </w:p>
        </w:tc>
        <w:tc>
          <w:tcPr/>
          <w:p>
            <w:pPr>
              <w:pStyle w:val="Compact"/>
            </w:pPr>
            <w:r>
              <w:t xml:space="preserve">~543 km²</w:t>
            </w:r>
          </w:p>
        </w:tc>
        <w:tc>
          <w:tcPr/>
          <w:p>
            <w:pPr>
              <w:pStyle w:val="Compact"/>
            </w:pPr>
            <w:r>
              <w:t xml:space="preserve">Coastal urban, port, hills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18,240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~4,779 km²</w:t>
            </w:r>
          </w:p>
        </w:tc>
        <w:tc>
          <w:tcPr/>
          <w:p>
            <w:pPr>
              <w:pStyle w:val="Compact"/>
            </w:pPr>
            <w:r>
              <w:t xml:space="preserve">Full AP diversity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6" w:name="class-taxonomy-8-5-remapping"/>
    <w:p>
      <w:pPr>
        <w:pStyle w:val="Heading3"/>
      </w:pPr>
      <w:r>
        <w:t xml:space="preserve">3.4 Class Taxonomy — 8 → 5 Remapping</w:t>
      </w:r>
    </w:p>
    <w:p>
      <w:pPr>
        <w:pStyle w:val="CaptionedFigure"/>
      </w:pPr>
      <w:r>
        <w:drawing>
          <wp:inline>
            <wp:extent cx="5334000" cy="11998174"/>
            <wp:effectExtent b="0" l="0" r="0" t="0"/>
            <wp:docPr descr="Figure 3" title="" id="24" name="Picture"/>
            <a:graphic>
              <a:graphicData uri="http://schemas.openxmlformats.org/drawingml/2006/picture">
                <pic:pic>
                  <pic:nvPicPr>
                    <pic:cNvPr descr="diagrams/d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9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Design Decision:</w:t>
      </w:r>
      <w:r>
        <w:t xml:space="preserve"> </w:t>
      </w:r>
      <w:r>
        <w:t xml:space="preserve">Building confidence tiers (high/medium/low) are merged during training to maximize detection recall. Post-inference, the system regenerates 3-tier confidence from the model’s calibrated softmax probabilities — a data-driven confidence measure superior to manual labeling.</w:t>
      </w:r>
    </w:p>
    <w:bookmarkEnd w:id="26"/>
    <w:bookmarkStart w:id="27" w:name="trainvalidation-split"/>
    <w:p>
      <w:pPr>
        <w:pStyle w:val="Heading3"/>
      </w:pPr>
      <w:r>
        <w:t xml:space="preserve">3.5 Train/Validation Split</w:t>
      </w:r>
    </w:p>
    <w:p>
      <w:pPr>
        <w:pStyle w:val="SourceCode"/>
      </w:pPr>
      <w:r>
        <w:rPr>
          <w:rStyle w:val="VerbatimChar"/>
        </w:rPr>
        <w:t xml:space="preserve">Training Pool = ALL 5 DISTRICTS (unified)</w:t>
      </w:r>
      <w:r>
        <w:br/>
      </w:r>
      <w:r>
        <w:rPr>
          <w:rStyle w:val="VerbatimChar"/>
        </w:rPr>
        <w:t xml:space="preserve">              = 18,240 chips -&gt; 85% train (15,504) + 15% val (2,736)</w:t>
      </w:r>
      <w:r>
        <w:br/>
      </w:r>
      <w:r>
        <w:rPr>
          <w:rStyle w:val="VerbatimChar"/>
        </w:rPr>
        <w:t xml:space="preserve">                Stratified random split (seed = 42)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reprocessing-pipeline"/>
    <w:p>
      <w:pPr>
        <w:pStyle w:val="Heading2"/>
      </w:pPr>
      <w:r>
        <w:t xml:space="preserve">4. Preprocessing Pipeline</w:t>
      </w:r>
    </w:p>
    <w:bookmarkStart w:id="32" w:name="adaptive-percentile-normalization"/>
    <w:p>
      <w:pPr>
        <w:pStyle w:val="Heading3"/>
      </w:pPr>
      <w:r>
        <w:t xml:space="preserve">4.1 Adaptive Percentile Normalization</w:t>
      </w:r>
    </w:p>
    <w:p>
      <w:pPr>
        <w:pStyle w:val="CaptionedFigure"/>
      </w:pPr>
      <w:r>
        <w:drawing>
          <wp:inline>
            <wp:extent cx="5334000" cy="693964"/>
            <wp:effectExtent b="0" l="0" r="0" t="0"/>
            <wp:docPr descr="Figure 4" title="" id="30" name="Picture"/>
            <a:graphic>
              <a:graphicData uri="http://schemas.openxmlformats.org/drawingml/2006/picture">
                <pic:pic>
                  <pic:nvPicPr>
                    <pic:cNvPr descr="diagrams/d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bookmarkEnd w:id="32"/>
    <w:bookmarkStart w:id="33" w:name="multi-scale-data-augmentation-v6-pro"/>
    <w:p>
      <w:pPr>
        <w:pStyle w:val="Heading3"/>
      </w:pPr>
      <w:r>
        <w:t xml:space="preserve">4.2 Multi-Scale Data Augmentation (V6 Pro)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Multi-scale resize</w:t>
            </w:r>
          </w:p>
        </w:tc>
        <w:tc>
          <w:tcPr/>
          <w:p>
            <w:pPr>
              <w:pStyle w:val="Compact"/>
            </w:pPr>
            <w:r>
              <w:t xml:space="preserve">[0.5×, 2.0×]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+3–5% mIoU (scale invariance)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deformation</w:t>
            </w:r>
          </w:p>
        </w:tc>
        <w:tc>
          <w:tcPr/>
          <w:p>
            <w:pPr>
              <w:pStyle w:val="Compact"/>
            </w:pPr>
            <w:r>
              <w:t xml:space="preserve">α=60, σ=8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Better boundary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flip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Orientation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flip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Orientation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90° rotation</w:t>
            </w:r>
          </w:p>
        </w:tc>
        <w:tc>
          <w:tcPr/>
          <w:p>
            <w:pPr>
              <w:pStyle w:val="Compact"/>
            </w:pPr>
            <w:r>
              <w:t xml:space="preserve">0/90/180/270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Nadir view 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jitter</w:t>
            </w:r>
          </w:p>
        </w:tc>
        <w:tc>
          <w:tcPr/>
          <w:p>
            <w:pPr>
              <w:pStyle w:val="Compact"/>
            </w:pPr>
            <w:r>
              <w:t xml:space="preserve">±0.2 brightness/contrast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Atmospheric/sensor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noise</w:t>
            </w:r>
          </w:p>
        </w:tc>
        <w:tc>
          <w:tcPr/>
          <w:p>
            <w:pPr>
              <w:pStyle w:val="Compact"/>
            </w:pPr>
            <w:r>
              <w:t xml:space="preserve">σ = 0.02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Sensor noise robustness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X099875a15efe7fd59d5e998ffc22cc74ff665c4"/>
    <w:p>
      <w:pPr>
        <w:pStyle w:val="Heading2"/>
      </w:pPr>
      <w:r>
        <w:t xml:space="preserve">5. Model Architecture: SegFormer-B5 — Deep Dive</w:t>
      </w:r>
    </w:p>
    <w:bookmarkStart w:id="35" w:name="X4659cf58d34a5a09156418d52b3d0db0544ddcf"/>
    <w:p>
      <w:pPr>
        <w:pStyle w:val="Heading3"/>
      </w:pPr>
      <w:r>
        <w:t xml:space="preserve">5.1 Why SegFormer over CNN-Based Architectures?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Key Limitation for PS-6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CNN encoder-decoder</w:t>
            </w:r>
          </w:p>
        </w:tc>
        <w:tc>
          <w:tcPr/>
          <w:p>
            <w:pPr>
              <w:pStyle w:val="Compact"/>
            </w:pPr>
            <w:r>
              <w:t xml:space="preserve">~31M</w:t>
            </w:r>
          </w:p>
        </w:tc>
        <w:tc>
          <w:tcPr/>
          <w:p>
            <w:pPr>
              <w:pStyle w:val="Compact"/>
            </w:pPr>
            <w:r>
              <w:t xml:space="preserve">Limited receptive field — misses large buildings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DeepLabV3+</w:t>
            </w:r>
          </w:p>
        </w:tc>
        <w:tc>
          <w:tcPr/>
          <w:p>
            <w:pPr>
              <w:pStyle w:val="Compact"/>
            </w:pPr>
            <w:r>
              <w:t xml:space="preserve">CNN atrous conv</w:t>
            </w:r>
          </w:p>
        </w:tc>
        <w:tc>
          <w:tcPr/>
          <w:p>
            <w:pPr>
              <w:pStyle w:val="Compact"/>
            </w:pPr>
            <w:r>
              <w:t xml:space="preserve">~41M</w:t>
            </w:r>
          </w:p>
        </w:tc>
        <w:tc>
          <w:tcPr/>
          <w:p>
            <w:pPr>
              <w:pStyle w:val="Compact"/>
            </w:pPr>
            <w:r>
              <w:t xml:space="preserve">Fixed dilated rates — inflexible multi-scale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HRNet</w:t>
            </w:r>
          </w:p>
        </w:tc>
        <w:tc>
          <w:tcPr/>
          <w:p>
            <w:pPr>
              <w:pStyle w:val="Compact"/>
            </w:pPr>
            <w:r>
              <w:t xml:space="preserve">CNN multi-resolution</w:t>
            </w:r>
          </w:p>
        </w:tc>
        <w:tc>
          <w:tcPr/>
          <w:p>
            <w:pPr>
              <w:pStyle w:val="Compact"/>
            </w:pPr>
            <w:r>
              <w:t xml:space="preserve">~65M</w:t>
            </w:r>
          </w:p>
        </w:tc>
        <w:tc>
          <w:tcPr/>
          <w:p>
            <w:pPr>
              <w:pStyle w:val="Compact"/>
            </w:pPr>
            <w:r>
              <w:t xml:space="preserve">High VRAM — cannot use large crops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Swin-UNet</w:t>
            </w:r>
          </w:p>
        </w:tc>
        <w:tc>
          <w:tcPr/>
          <w:p>
            <w:pPr>
              <w:pStyle w:val="Compact"/>
            </w:pPr>
            <w:r>
              <w:t xml:space="preserve">Transformer (shifted windows)</w:t>
            </w:r>
          </w:p>
        </w:tc>
        <w:tc>
          <w:tcPr/>
          <w:p>
            <w:pPr>
              <w:pStyle w:val="Compact"/>
            </w:pPr>
            <w:r>
              <w:t xml:space="preserve">~27M</w:t>
            </w:r>
          </w:p>
        </w:tc>
        <w:tc>
          <w:tcPr/>
          <w:p>
            <w:pPr>
              <w:pStyle w:val="Compact"/>
            </w:pPr>
            <w:r>
              <w:t xml:space="preserve">Complex — slower convergence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SegFormer-B5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Transformer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~84M</w:t>
            </w:r>
          </w:p>
        </w:tc>
        <w:tc>
          <w:tcPr/>
          <w:p>
            <w:pPr>
              <w:pStyle w:val="Compact"/>
            </w:pPr>
            <w:r>
              <w:t xml:space="preserve">✅ Best balance: efficiency + accuracy</w:t>
            </w:r>
          </w:p>
        </w:tc>
      </w:tr>
    </w:tbl>
    <w:p>
      <w:pPr>
        <w:pStyle w:val="BodyText"/>
      </w:pPr>
      <w:r>
        <w:rPr>
          <w:b/>
          <w:bCs/>
        </w:rPr>
        <w:t xml:space="preserve">Architectural advantages for satellite imagery:</w:t>
      </w:r>
      <w:r>
        <w:t xml:space="preserve"> </w:t>
      </w:r>
      <w:r>
        <w:t xml:space="preserve">efficient self-attention with sequence reduction (O(N²)→O(N²/R)); hierarchical multi-scale features (1/4, 1/8, 1/16, 1/32); Mix-FFN positional encoding (resolution-agnostic); lightweight all-MLP decoder.</w:t>
      </w:r>
    </w:p>
    <w:bookmarkEnd w:id="35"/>
    <w:bookmarkStart w:id="36" w:name="why-b5-over-b4"/>
    <w:p>
      <w:pPr>
        <w:pStyle w:val="Heading3"/>
      </w:pPr>
      <w:r>
        <w:t xml:space="preserve">5.2 Why B5 over B4?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~64M</w:t>
            </w:r>
          </w:p>
        </w:tc>
        <w:tc>
          <w:tcPr/>
          <w:p>
            <w:pPr>
              <w:pStyle w:val="Compact"/>
            </w:pPr>
            <w:r>
              <w:t xml:space="preserve">~84M (+31%)</w:t>
            </w:r>
          </w:p>
        </w:tc>
        <w:tc>
          <w:tcPr/>
          <w:p>
            <w:pPr>
              <w:pStyle w:val="Compact"/>
            </w:pPr>
            <w:r>
              <w:t xml:space="preserve">Deeper representations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Blocks</w:t>
            </w:r>
          </w:p>
        </w:tc>
        <w:tc>
          <w:tcPr/>
          <w:p>
            <w:pPr>
              <w:pStyle w:val="Compact"/>
            </w:pPr>
            <w:r>
              <w:t xml:space="preserve">3-8-27-3</w:t>
            </w:r>
          </w:p>
        </w:tc>
        <w:tc>
          <w:tcPr/>
          <w:p>
            <w:pPr>
              <w:pStyle w:val="Compact"/>
            </w:pPr>
            <w:r>
              <w:t xml:space="preserve">3-6-40-3</w:t>
            </w:r>
          </w:p>
        </w:tc>
        <w:tc>
          <w:tcPr/>
          <w:p>
            <w:pPr>
              <w:pStyle w:val="Compact"/>
            </w:pPr>
            <w:r>
              <w:t xml:space="preserve">+48% Stage-3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Dims</w:t>
            </w:r>
          </w:p>
        </w:tc>
        <w:tc>
          <w:tcPr/>
          <w:p>
            <w:pPr>
              <w:pStyle w:val="Compact"/>
            </w:pPr>
            <w:r>
              <w:t xml:space="preserve">64-128-320-512</w:t>
            </w:r>
          </w:p>
        </w:tc>
        <w:tc>
          <w:tcPr/>
          <w:p>
            <w:pPr>
              <w:pStyle w:val="Compact"/>
            </w:pPr>
            <w:r>
              <w:t xml:space="preserve">64-128-320-512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1-2-5-8</w:t>
            </w:r>
          </w:p>
        </w:tc>
        <w:tc>
          <w:tcPr/>
          <w:p>
            <w:pPr>
              <w:pStyle w:val="Compact"/>
            </w:pPr>
            <w:r>
              <w:t xml:space="preserve">1-2-5-8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ADE20K mIoU</w:t>
            </w:r>
          </w:p>
        </w:tc>
        <w:tc>
          <w:tcPr/>
          <w:p>
            <w:pPr>
              <w:pStyle w:val="Compact"/>
            </w:pPr>
            <w:r>
              <w:t xml:space="preserve">50.3%</w:t>
            </w:r>
          </w:p>
        </w:tc>
        <w:tc>
          <w:tcPr/>
          <w:p>
            <w:pPr>
              <w:pStyle w:val="Compact"/>
            </w:pPr>
            <w:r>
              <w:t xml:space="preserve">51.0%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(b=2, 512)</w:t>
            </w:r>
          </w:p>
        </w:tc>
        <w:tc>
          <w:tcPr/>
          <w:p>
            <w:pPr>
              <w:pStyle w:val="Compact"/>
            </w:pPr>
            <w:r>
              <w:t xml:space="preserve">~10 GB</w:t>
            </w:r>
          </w:p>
        </w:tc>
        <w:tc>
          <w:tcPr/>
          <w:p>
            <w:pPr>
              <w:pStyle w:val="Compact"/>
            </w:pPr>
            <w:r>
              <w:t xml:space="preserve">~14 GB</w:t>
            </w:r>
          </w:p>
        </w:tc>
        <w:tc>
          <w:tcPr/>
          <w:p>
            <w:pPr>
              <w:pStyle w:val="Compact"/>
            </w:pPr>
            <w:r>
              <w:t xml:space="preserve">Fits T4×2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B5’s extra capacity comes from 40 transformer blocks in Stage 3 (vs 27 in B4). Stage 3 operates at 32×32 — the critical scale for distinguishing building footprints (8–50px at 1m GSD).</w:t>
      </w:r>
    </w:p>
    <w:bookmarkEnd w:id="36"/>
    <w:bookmarkStart w:id="40" w:name="encoderdecoder-architecture"/>
    <w:p>
      <w:pPr>
        <w:pStyle w:val="Heading3"/>
      </w:pPr>
      <w:r>
        <w:t xml:space="preserve">5.3 Encoder–Decoder Architecture</w:t>
      </w:r>
    </w:p>
    <w:p>
      <w:pPr>
        <w:pStyle w:val="CaptionedFigure"/>
      </w:pPr>
      <w:r>
        <w:drawing>
          <wp:inline>
            <wp:extent cx="5334000" cy="12626946"/>
            <wp:effectExtent b="0" l="0" r="0" t="0"/>
            <wp:docPr descr="Figure 5" title="" id="38" name="Picture"/>
            <a:graphic>
              <a:graphicData uri="http://schemas.openxmlformats.org/drawingml/2006/picture">
                <pic:pic>
                  <pic:nvPicPr>
                    <pic:cNvPr descr="diagrams/d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bookmarkEnd w:id="40"/>
    <w:bookmarkStart w:id="41" w:name="Xef92464744a732bf693dd473085e625b09de574"/>
    <w:p>
      <w:pPr>
        <w:pStyle w:val="Heading3"/>
      </w:pPr>
      <w:r>
        <w:t xml:space="preserve">5.4 Efficient Self-Attention (Sequence Reduction)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Seq Length N</w:t>
            </w:r>
          </w:p>
        </w:tc>
        <w:tc>
          <w:tcPr/>
          <w:p>
            <w:pPr>
              <w:pStyle w:val="Compact"/>
            </w:pPr>
            <w:r>
              <w:t xml:space="preserve">Reduction R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  <w:tc>
          <w:tcPr/>
          <w:p>
            <w:pPr>
              <w:pStyle w:val="Compact"/>
            </w:pPr>
            <w:r>
              <w:t xml:space="preserve">16,384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O(N²/8)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64×64</w:t>
            </w:r>
          </w:p>
        </w:tc>
        <w:tc>
          <w:tcPr/>
          <w:p>
            <w:pPr>
              <w:pStyle w:val="Compact"/>
            </w:pPr>
            <w:r>
              <w:t xml:space="preserve">4,096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O(N²/4)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O(N²/2)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16×16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O(N²) — full</w:t>
            </w:r>
          </w:p>
        </w:tc>
      </w:tr>
    </w:tbl>
    <w:p>
      <w:pPr>
        <w:pStyle w:val="BodyText"/>
      </w:pPr>
      <w:r>
        <w:t xml:space="preserve">The architecture is</w:t>
      </w:r>
      <w:r>
        <w:t xml:space="preserve"> </w:t>
      </w:r>
      <w:r>
        <w:rPr>
          <w:b/>
          <w:bCs/>
        </w:rPr>
        <w:t xml:space="preserve">input-resolution agnostic</w:t>
      </w:r>
      <w:r>
        <w:t xml:space="preserve"> </w:t>
      </w:r>
      <w:r>
        <w:t xml:space="preserve">(no fixed positional embeddings), enabling inference on 1m GSD satellite chips and higher-resolution 50cm/10cm drone imagery without retraining.</w:t>
      </w:r>
    </w:p>
    <w:bookmarkEnd w:id="41"/>
    <w:bookmarkStart w:id="42" w:name="model-efficiency-profile"/>
    <w:p>
      <w:pPr>
        <w:pStyle w:val="Heading3"/>
      </w:pPr>
      <w:r>
        <w:t xml:space="preserve">5.5 Model Efficiency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Parameters</w:t>
            </w:r>
          </w:p>
        </w:tc>
        <w:tc>
          <w:tcPr/>
          <w:p>
            <w:pPr>
              <w:pStyle w:val="Compact"/>
            </w:pPr>
            <w:r>
              <w:t xml:space="preserve">84.7M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/ Decoder</w:t>
            </w:r>
          </w:p>
        </w:tc>
        <w:tc>
          <w:tcPr/>
          <w:p>
            <w:pPr>
              <w:pStyle w:val="Compact"/>
            </w:pPr>
            <w:r>
              <w:t xml:space="preserve">82.0M (97%) / 2.7M (3%)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File Size</w:t>
            </w:r>
          </w:p>
        </w:tc>
        <w:tc>
          <w:tcPr/>
          <w:p>
            <w:pPr>
              <w:pStyle w:val="Compact"/>
            </w:pPr>
            <w:r>
              <w:t xml:space="preserve">~450 MB (full) · ~339 MB (slim, weights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Inference VRAM</w:t>
            </w:r>
          </w:p>
        </w:tc>
        <w:tc>
          <w:tcPr/>
          <w:p>
            <w:pPr>
              <w:pStyle w:val="Compact"/>
            </w:pPr>
            <w:r>
              <w:t xml:space="preserve">~3.5 GB per 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VRAM (b=2, 512)</w:t>
            </w:r>
          </w:p>
        </w:tc>
        <w:tc>
          <w:tcPr/>
          <w:p>
            <w:pPr>
              <w:pStyle w:val="Compact"/>
            </w:pPr>
            <w:r>
              <w:t xml:space="preserve">~14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Latency (TTA, T4)</w:t>
            </w:r>
          </w:p>
        </w:tc>
        <w:tc>
          <w:tcPr/>
          <w:p>
            <w:pPr>
              <w:pStyle w:val="Compact"/>
            </w:pPr>
            <w:r>
              <w:t xml:space="preserve">~0.5s/chip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(T4×2)</w:t>
            </w:r>
          </w:p>
        </w:tc>
        <w:tc>
          <w:tcPr/>
          <w:p>
            <w:pPr>
              <w:pStyle w:val="Compact"/>
            </w:pPr>
            <w:r>
              <w:t xml:space="preserve">~14,400 chips/hour ≈ 3,600 km²/hr</w:t>
            </w:r>
          </w:p>
        </w:tc>
      </w:tr>
    </w:tbl>
    <w:bookmarkEnd w:id="42"/>
    <w:bookmarkStart w:id="43" w:name="pretrained-initialization"/>
    <w:p>
      <w:pPr>
        <w:pStyle w:val="Heading3"/>
      </w:pPr>
      <w:r>
        <w:t xml:space="preserve">5.6 Pretrained Initialization</w:t>
      </w:r>
    </w:p>
    <w:p>
      <w:pPr>
        <w:pStyle w:val="FirstParagraph"/>
      </w:pPr>
      <w:r>
        <w:t xml:space="preserve">Initialized from</w:t>
      </w:r>
      <w:r>
        <w:t xml:space="preserve"> </w:t>
      </w:r>
      <w:r>
        <w:rPr>
          <w:rStyle w:val="VerbatimChar"/>
        </w:rPr>
        <w:t xml:space="preserve">nvidia/segformer-b5-finetuned-ade-640-640</w:t>
      </w:r>
      <w:r>
        <w:t xml:space="preserve"> </w:t>
      </w:r>
      <w:r>
        <w:t xml:space="preserve">(150 classes), classification head replaced (150 → 5, random init), then end-to-end fine-tuned. ADE20K’s 640×640 resolution closely matches the 512×512 crops, minimizing distribution shift.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training-objective"/>
    <w:p>
      <w:pPr>
        <w:pStyle w:val="Heading2"/>
      </w:pPr>
      <w:r>
        <w:t xml:space="preserve">6. Training Objective</w:t>
      </w:r>
    </w:p>
    <w:bookmarkStart w:id="48" w:name="combined-loss"/>
    <w:p>
      <w:pPr>
        <w:pStyle w:val="Heading3"/>
      </w:pPr>
      <w:r>
        <w:t xml:space="preserve">6.1 Combined Loss</w:t>
      </w:r>
    </w:p>
    <w:p>
      <w:pPr>
        <w:pStyle w:val="CaptionedFigure"/>
      </w:pPr>
      <w:r>
        <w:drawing>
          <wp:inline>
            <wp:extent cx="5334000" cy="4787856"/>
            <wp:effectExtent b="0" l="0" r="0" t="0"/>
            <wp:docPr descr="Figure 6" title="" id="46" name="Picture"/>
            <a:graphic>
              <a:graphicData uri="http://schemas.openxmlformats.org/drawingml/2006/picture">
                <pic:pic>
                  <pic:nvPicPr>
                    <pic:cNvPr descr="diagrams/d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bookmarkEnd w:id="48"/>
    <w:bookmarkStart w:id="49" w:name="auto-computed-class-weights"/>
    <w:p>
      <w:pPr>
        <w:pStyle w:val="Heading3"/>
      </w:pPr>
      <w:r>
        <w:t xml:space="preserve">6.2 Auto-Computed Class Weights</w:t>
      </w:r>
    </w:p>
    <w:p>
      <w:pPr>
        <w:pStyle w:val="FirstParagraph"/>
      </w:pPr>
      <w:r>
        <w:t xml:space="preserve">Sample 500 random chips → count per-class pixel frequency →</w:t>
      </w:r>
      <w:r>
        <w:t xml:space="preserve"> </w:t>
      </w:r>
      <w:r>
        <w:rPr>
          <w:rStyle w:val="VerbatimChar"/>
        </w:rPr>
        <w:t xml:space="preserve">w_c = 1 / freq</w:t>
      </w:r>
      <w:r>
        <w:t xml:space="preserve"> </w:t>
      </w:r>
      <w:r>
        <w:t xml:space="preserve">→ normalize →</w:t>
      </w:r>
      <w:r>
        <w:t xml:space="preserve"> </w:t>
      </w:r>
      <w:r>
        <w:rPr>
          <w:b/>
          <w:bCs/>
        </w:rPr>
        <w:t xml:space="preserve">2× road boost</w:t>
      </w:r>
      <w:r>
        <w:t xml:space="preserve"> </w:t>
      </w:r>
      <w:r>
        <w:t xml:space="preserve">→ clip to [0.5, …] → final auto-adapted weights. Auto-weights adapt to the actual pixel distribution regardless of which districts are included.</w:t>
      </w:r>
    </w:p>
    <w:bookmarkEnd w:id="49"/>
    <w:bookmarkStart w:id="50" w:name="focal-tversky-why-α0.3-β0.7"/>
    <w:p>
      <w:pPr>
        <w:pStyle w:val="Heading3"/>
      </w:pPr>
      <w:r>
        <w:t xml:space="preserve">6.3 Focal Tversky — Why α=0.3, β=0.7?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FN penalty (β=0.7):</w:t>
      </w:r>
      <w:r>
        <w:t xml:space="preserve"> </w:t>
      </w:r>
      <w:r>
        <w:t xml:space="preserve">“Don’t miss any buildings or roads”</w:t>
      </w:r>
      <w:r>
        <w:t xml:space="preserve"> </w:t>
      </w:r>
      <w:r>
        <w:t xml:space="preserve">→ recall-oriented.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FP penalty (α=0.3):</w:t>
      </w:r>
      <w:r>
        <w:t xml:space="preserve"> </w:t>
      </w:r>
      <w:r>
        <w:t xml:space="preserve">“Some false positives are acceptable”</w:t>
      </w:r>
      <w:r>
        <w:t xml:space="preserve"> </w:t>
      </w:r>
      <w:r>
        <w:t xml:space="preserve">→ better coverage.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Focal γ=0.75:</w:t>
      </w:r>
      <w:r>
        <w:t xml:space="preserve"> </w:t>
      </w:r>
      <w:r>
        <w:t xml:space="preserve">“Focus on hard boundary pixels”</w:t>
      </w:r>
      <w:r>
        <w:t xml:space="preserve"> </w:t>
      </w:r>
      <w:r>
        <w:t xml:space="preserve">→ sharper edges.</w:t>
      </w:r>
    </w:p>
    <w:p>
      <w:pPr>
        <w:pStyle w:val="BlockText"/>
      </w:pPr>
      <w:r>
        <w:t xml:space="preserve">The model is penalized</w:t>
      </w:r>
      <w:r>
        <w:t xml:space="preserve"> </w:t>
      </w:r>
      <w:r>
        <w:rPr>
          <w:b/>
          <w:bCs/>
        </w:rPr>
        <w:t xml:space="preserve">2.3× more for MISSING</w:t>
      </w:r>
      <w:r>
        <w:t xml:space="preserve"> </w:t>
      </w:r>
      <w:r>
        <w:t xml:space="preserve">a building/road pixel than for hallucinating one — critical for survey completeness.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training-configuration-results"/>
    <w:p>
      <w:pPr>
        <w:pStyle w:val="Heading2"/>
      </w:pPr>
      <w:r>
        <w:t xml:space="preserve">7. Training Configuration &amp; Results</w:t>
      </w:r>
    </w:p>
    <w:bookmarkStart w:id="52" w:name="hyperparameters"/>
    <w:p>
      <w:pPr>
        <w:pStyle w:val="Heading3"/>
      </w:pPr>
      <w:r>
        <w:t xml:space="preserve">7.1 Hyperparameters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SegFormer-B5 (~84M)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Pretrained</w:t>
            </w:r>
          </w:p>
        </w:tc>
        <w:tc>
          <w:tcPr/>
          <w:p>
            <w:pPr>
              <w:pStyle w:val="Compact"/>
            </w:pPr>
            <w:r>
              <w:t xml:space="preserve">nvidia/segformer-b5-finetuned-ade-640-640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GPU</w:t>
            </w:r>
          </w:p>
        </w:tc>
        <w:tc>
          <w:tcPr/>
          <w:p>
            <w:pPr>
              <w:pStyle w:val="Compact"/>
            </w:pPr>
            <w:r>
              <w:t xml:space="preserve">NVIDIA T4×2 (32 GB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 (wd=1e-2)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</w:t>
            </w:r>
          </w:p>
        </w:tc>
        <w:tc>
          <w:tcPr/>
          <w:p>
            <w:pPr>
              <w:pStyle w:val="Compact"/>
            </w:pPr>
            <w:r>
              <w:t xml:space="preserve">OneCycleLR (max_lr=3e-4), 10% warmup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2 × 4 accum = effective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Size</w:t>
            </w:r>
          </w:p>
        </w:tc>
        <w:tc>
          <w:tcPr/>
          <w:p>
            <w:pPr>
              <w:pStyle w:val="Compact"/>
            </w:pPr>
            <w:r>
              <w:t xml:space="preserve">512 × 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</w:pPr>
            <w:r>
              <w:t xml:space="preserve">FP16 (AMP)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max_norm 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60 (early stop patience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0.4×WCE + 0.6×FocalTversky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Smoothing</w:t>
            </w:r>
          </w:p>
        </w:tc>
        <w:tc>
          <w:tcPr/>
          <w:p>
            <w:pPr>
              <w:pStyle w:val="Compact"/>
            </w:pPr>
            <w:r>
              <w:t xml:space="preserve">ε =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Training Time</w:t>
            </w:r>
          </w:p>
        </w:tc>
        <w:tc>
          <w:tcPr/>
          <w:p>
            <w:pPr>
              <w:pStyle w:val="Compact"/>
            </w:pPr>
            <w:r>
              <w:t xml:space="preserve">~48 hours</w:t>
            </w:r>
          </w:p>
        </w:tc>
      </w:tr>
    </w:tbl>
    <w:bookmarkEnd w:id="52"/>
    <w:bookmarkStart w:id="53" w:name="training-loop-results"/>
    <w:p>
      <w:pPr>
        <w:pStyle w:val="Heading3"/>
      </w:pPr>
      <w:r>
        <w:t xml:space="preserve">7.2 Training Loop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Validation mIoU</w:t>
            </w:r>
          </w:p>
        </w:tc>
        <w:tc>
          <w:tcPr/>
          <w:p>
            <w:pPr>
              <w:pStyle w:val="Compact"/>
            </w:pPr>
            <w:r>
              <w:t xml:space="preserve">0.5313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Epoch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Train Loss</w:t>
            </w:r>
          </w:p>
        </w:tc>
        <w:tc>
          <w:tcPr/>
          <w:p>
            <w:pPr>
              <w:pStyle w:val="Compact"/>
            </w:pPr>
            <w:r>
              <w:t xml:space="preserve">0.8196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Val Loss</w:t>
            </w:r>
          </w:p>
        </w:tc>
        <w:tc>
          <w:tcPr/>
          <w:p>
            <w:pPr>
              <w:pStyle w:val="Compact"/>
            </w:pPr>
            <w:r>
              <w:t xml:space="preserve">0.8482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test-time-augmentation-tta"/>
    <w:p>
      <w:pPr>
        <w:pStyle w:val="Heading2"/>
      </w:pPr>
      <w:r>
        <w:t xml:space="preserve">8. Test-Time Augmentation (TTA)</w:t>
      </w:r>
    </w:p>
    <w:p>
      <w:pPr>
        <w:pStyle w:val="CaptionedFigure"/>
      </w:pPr>
      <w:r>
        <w:drawing>
          <wp:inline>
            <wp:extent cx="5334000" cy="2374446"/>
            <wp:effectExtent b="0" l="0" r="0" t="0"/>
            <wp:docPr descr="Figure 7" title="" id="56" name="Picture"/>
            <a:graphic>
              <a:graphicData uri="http://schemas.openxmlformats.org/drawingml/2006/picture">
                <pic:pic>
                  <pic:nvPicPr>
                    <pic:cNvPr descr="diagrams/d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+2–3% mIoU at zero training cost; averaging smooths boundary uncertainty and removes spurious single-view predictions.</w:t>
      </w:r>
    </w:p>
    <w:p>
      <w:r>
        <w:pict>
          <v:rect style="width:0;height:1.5pt" o:hralign="center" o:hrstd="t" o:hr="t"/>
        </w:pict>
      </w:r>
    </w:p>
    <w:bookmarkEnd w:id="58"/>
    <w:bookmarkStart w:id="69" w:name="X60304598ee0f513862014046e903e5855339f7c"/>
    <w:p>
      <w:pPr>
        <w:pStyle w:val="Heading2"/>
      </w:pPr>
      <w:r>
        <w:t xml:space="preserve">9. Post-Processing: V4 Geometry-Constrained Refinement</w:t>
      </w:r>
    </w:p>
    <w:bookmarkStart w:id="62" w:name="Xd776a8d313669354dfaaba73aebf8240e601557"/>
    <w:p>
      <w:pPr>
        <w:pStyle w:val="Heading3"/>
      </w:pPr>
      <w:r>
        <w:t xml:space="preserve">9.1 Complete Pipeline (Class Priority: Water &gt; Road &gt; Building &gt; Open)</w:t>
      </w:r>
    </w:p>
    <w:p>
      <w:pPr>
        <w:pStyle w:val="CaptionedFigure"/>
      </w:pPr>
      <w:r>
        <w:drawing>
          <wp:inline>
            <wp:extent cx="5334000" cy="17122913"/>
            <wp:effectExtent b="0" l="0" r="0" t="0"/>
            <wp:docPr descr="Figure 8" title="" id="60" name="Picture"/>
            <a:graphic>
              <a:graphicData uri="http://schemas.openxmlformats.org/drawingml/2006/picture">
                <pic:pic>
                  <pic:nvPicPr>
                    <pic:cNvPr descr="diagrams/d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2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bookmarkEnd w:id="62"/>
    <w:bookmarkStart w:id="63" w:name="building-regularization-solidity-based"/>
    <w:p>
      <w:pPr>
        <w:pStyle w:val="Heading3"/>
      </w:pPr>
      <w:r>
        <w:t xml:space="preserve">9.2 Building Regularization — Solidity-Based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Solidity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Rectangular</w:t>
            </w:r>
          </w:p>
        </w:tc>
        <w:tc>
          <w:tcPr/>
          <w:p>
            <w:pPr>
              <w:pStyle w:val="Compact"/>
            </w:pPr>
            <w:r>
              <w:t xml:space="preserve">≥ 0.80</w:t>
            </w:r>
          </w:p>
        </w:tc>
        <w:tc>
          <w:tcPr/>
          <w:p>
            <w:pPr>
              <w:pStyle w:val="Compact"/>
            </w:pPr>
            <w:r>
              <w:t xml:space="preserve">Convex hull</w:t>
            </w:r>
          </w:p>
        </w:tc>
        <w:tc>
          <w:tcPr/>
          <w:p>
            <w:pPr>
              <w:pStyle w:val="Compact"/>
            </w:pPr>
            <w:r>
              <w:t xml:space="preserve">Clean rectangular footprint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t xml:space="preserve">Convex hull</w:t>
            </w:r>
          </w:p>
        </w:tc>
        <w:tc>
          <w:tcPr/>
          <w:p>
            <w:pPr>
              <w:pStyle w:val="Compact"/>
            </w:pPr>
            <w:r>
              <w:t xml:space="preserve">Perfect square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L-shaped</w:t>
            </w:r>
          </w:p>
        </w:tc>
        <w:tc>
          <w:tcPr/>
          <w:p>
            <w:pPr>
              <w:pStyle w:val="Compact"/>
            </w:pPr>
            <w:r>
              <w:t xml:space="preserve">0.60–0.79</w:t>
            </w:r>
          </w:p>
        </w:tc>
        <w:tc>
          <w:tcPr/>
          <w:p>
            <w:pPr>
              <w:pStyle w:val="Compact"/>
            </w:pPr>
            <w:r>
              <w:t xml:space="preserve">Gaussian smoothing</w:t>
            </w:r>
          </w:p>
        </w:tc>
        <w:tc>
          <w:tcPr/>
          <w:p>
            <w:pPr>
              <w:pStyle w:val="Compact"/>
            </w:pPr>
            <w:r>
              <w:t xml:space="preserve">Smooth L with clean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Compound/irregular</w:t>
            </w:r>
          </w:p>
        </w:tc>
        <w:tc>
          <w:tcPr/>
          <w:p>
            <w:pPr>
              <w:pStyle w:val="Compact"/>
            </w:pPr>
            <w:r>
              <w:t xml:space="preserve">&lt; 0.60</w:t>
            </w:r>
          </w:p>
        </w:tc>
        <w:tc>
          <w:tcPr/>
          <w:p>
            <w:pPr>
              <w:pStyle w:val="Compact"/>
            </w:pPr>
            <w:r>
              <w:t xml:space="preserve">Gaussian smoothing</w:t>
            </w:r>
          </w:p>
        </w:tc>
        <w:tc>
          <w:tcPr/>
          <w:p>
            <w:pPr>
              <w:pStyle w:val="Compact"/>
            </w:pPr>
            <w:r>
              <w:t xml:space="preserve">Noise removed, shape preserved</w:t>
            </w:r>
          </w:p>
        </w:tc>
      </w:tr>
    </w:tbl>
    <w:bookmarkEnd w:id="63"/>
    <w:bookmarkStart w:id="67" w:name="X27741347952fa219441ef417cbd099f97b60019"/>
    <w:p>
      <w:pPr>
        <w:pStyle w:val="Heading3"/>
      </w:pPr>
      <w:r>
        <w:t xml:space="preserve">9.3 Road Network Auto-Completion (Skeleton Method)</w:t>
      </w:r>
    </w:p>
    <w:p>
      <w:pPr>
        <w:pStyle w:val="BlockText"/>
      </w:pPr>
      <w:r>
        <w:rPr>
          <w:b/>
          <w:bCs/>
        </w:rPr>
        <w:t xml:space="preserve">This is the road auto-completion module referenced in the project goals.</w:t>
      </w:r>
      <w:r>
        <w:t xml:space="preserve"> </w:t>
      </w:r>
      <w:r>
        <w:t xml:space="preserve">Satellite-derived road masks are frequently</w:t>
      </w:r>
      <w:r>
        <w:t xml:space="preserve"> </w:t>
      </w:r>
      <w:r>
        <w:rPr>
          <w:i/>
          <w:iCs/>
        </w:rPr>
        <w:t xml:space="preserve">fragmented</w:t>
      </w:r>
      <w:r>
        <w:t xml:space="preserve"> </w:t>
      </w:r>
      <w:r>
        <w:t xml:space="preserve">— tree canopy, shadows, and overpasses break a continuous road into disconnected segments. The post-processor reconnects them so the output is a continuous, topologically valid network.</w:t>
      </w:r>
    </w:p>
    <w:p>
      <w:pPr>
        <w:pStyle w:val="CaptionedFigure"/>
      </w:pPr>
      <w:r>
        <w:drawing>
          <wp:inline>
            <wp:extent cx="5334000" cy="217714"/>
            <wp:effectExtent b="0" l="0" r="0" t="0"/>
            <wp:docPr descr="Figure 9" title="" id="65" name="Picture"/>
            <a:graphic>
              <a:graphicData uri="http://schemas.openxmlformats.org/drawingml/2006/picture">
                <pic:pic>
                  <pic:nvPicPr>
                    <pic:cNvPr descr="diagrams/d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p>
      <w:pPr>
        <w:pStyle w:val="BodyText"/>
      </w:pPr>
      <w:r>
        <w:rPr>
          <w:b/>
          <w:bCs/>
        </w:rPr>
        <w:t xml:space="preserve">Algorithm details (from the tested inference script):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Skeletonization</w:t>
      </w:r>
      <w:r>
        <w:t xml:space="preserve"> </w:t>
      </w:r>
      <w:r>
        <w:t xml:space="preserve">reduces each road blob to a 1-pixel centerline.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 detection</w:t>
      </w:r>
      <w:r>
        <w:t xml:space="preserve"> </w:t>
      </w:r>
      <w:r>
        <w:t xml:space="preserve">finds skeleton pixels with exactly one neighbour (a dangling road end).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Tangent estimation</w:t>
      </w:r>
      <w:r>
        <w:t xml:space="preserve"> </w:t>
      </w:r>
      <w:r>
        <w:t xml:space="preserve">walks ~12px back along the skeleton to compute each endpoint’s heading.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Candidate pairing</w:t>
      </w:r>
      <w:r>
        <w:t xml:space="preserve"> </w:t>
      </w:r>
      <w:r>
        <w:t xml:space="preserve">uses a KD-tree to find endpoint pairs within</w:t>
      </w:r>
      <w:r>
        <w:t xml:space="preserve"> </w:t>
      </w:r>
      <w:r>
        <w:rPr>
          <w:rStyle w:val="VerbatimChar"/>
        </w:rPr>
        <w:t xml:space="preserve">max_gap</w:t>
      </w:r>
      <w:r>
        <w:t xml:space="preserve"> </w:t>
      </w:r>
      <w:r>
        <w:t xml:space="preserve">(≈150px).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Angle-aware gating</w:t>
      </w:r>
      <w:r>
        <w:t xml:space="preserve"> </w:t>
      </w:r>
      <w:r>
        <w:t xml:space="preserve">keeps only pairs whose tangents point toward each other (within ±45°), so the bridge follows the road’s natural direction instead of cutting across blocks.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MST bridging</w:t>
      </w:r>
      <w:r>
        <w:t xml:space="preserve"> </w:t>
      </w:r>
      <w:r>
        <w:t xml:space="preserve">connects components with a Union-Find–constrained minimum spanning tree (weight = distance + angle penalty), guaranteeing connections without creating loops or merging already-connected components.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Width restoration</w:t>
      </w:r>
      <w:r>
        <w:t xml:space="preserve"> </w:t>
      </w:r>
      <w:r>
        <w:t xml:space="preserve">re-dilates the healed skeleton back to realistic road width.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road-over-building priority</w:t>
      </w:r>
      <w:r>
        <w:t xml:space="preserve"> </w:t>
      </w:r>
      <w:r>
        <w:t xml:space="preserve">rule then lets healed roads override only</w:t>
      </w:r>
      <w:r>
        <w:t xml:space="preserve"> </w:t>
      </w:r>
      <w:r>
        <w:rPr>
          <w:i/>
          <w:iCs/>
        </w:rPr>
        <w:t xml:space="preserve">low-confidence</w:t>
      </w:r>
      <w:r>
        <w:t xml:space="preserve"> </w:t>
      </w:r>
      <w:r>
        <w:t xml:space="preserve">building pixels, preventing roads from bleeding into well-detected buildings.</w:t>
      </w:r>
    </w:p>
    <w:p>
      <w:pPr>
        <w:pStyle w:val="BlockText"/>
      </w:pPr>
      <w:r>
        <w:rPr>
          <w:b/>
          <w:bCs/>
        </w:rPr>
        <w:t xml:space="preserve">Roadmap:</w:t>
      </w:r>
      <w:r>
        <w:t xml:space="preserve"> </w:t>
      </w:r>
      <w:r>
        <w:t xml:space="preserve">a dedicated learned</w:t>
      </w:r>
      <w:r>
        <w:t xml:space="preserve"> </w:t>
      </w:r>
      <w:r>
        <w:rPr>
          <w:b/>
          <w:bCs/>
        </w:rPr>
        <w:t xml:space="preserve">road-completion model</w:t>
      </w:r>
      <w:r>
        <w:t xml:space="preserve"> </w:t>
      </w:r>
      <w:r>
        <w:t xml:space="preserve">(graph/GAN-based connectivity) is planned to supplement this geometric healer for complex interchanges — see §19 Future Scope.</w:t>
      </w:r>
    </w:p>
    <w:bookmarkEnd w:id="67"/>
    <w:bookmarkStart w:id="68" w:name="Xaf76275149f60b504e7f5caf30adc0b56c627d9"/>
    <w:p>
      <w:pPr>
        <w:pStyle w:val="Heading3"/>
      </w:pPr>
      <w:r>
        <w:t xml:space="preserve">9.4 Building Confidence Tiers (post-inference, from softmax)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HIGH</w:t>
            </w:r>
          </w:p>
        </w:tc>
        <w:tc>
          <w:tcPr/>
          <w:p>
            <w:pPr>
              <w:pStyle w:val="Compact"/>
            </w:pPr>
            <w:r>
              <w:t xml:space="preserve">p ≥ 0.75</w:t>
            </w:r>
          </w:p>
        </w:tc>
        <w:tc>
          <w:tcPr/>
          <w:p>
            <w:pPr>
              <w:pStyle w:val="Compact"/>
            </w:pPr>
            <w:r>
              <w:t xml:space="preserve">Confirmed building → direct cadastral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0.65 ≤ p &lt; 0.75</w:t>
            </w:r>
          </w:p>
        </w:tc>
        <w:tc>
          <w:tcPr/>
          <w:p>
            <w:pPr>
              <w:pStyle w:val="Compact"/>
            </w:pPr>
            <w:r>
              <w:t xml:space="preserve">Probable building → priority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LOW</w:t>
            </w:r>
          </w:p>
        </w:tc>
        <w:tc>
          <w:tcPr/>
          <w:p>
            <w:pPr>
              <w:pStyle w:val="Compact"/>
            </w:pPr>
            <w:r>
              <w:t xml:space="preserve">0.55 ≤ p &lt; 0.65</w:t>
            </w:r>
          </w:p>
        </w:tc>
        <w:tc>
          <w:tcPr/>
          <w:p>
            <w:pPr>
              <w:pStyle w:val="Compact"/>
            </w:pPr>
            <w:r>
              <w:t xml:space="preserve">Possible building → field survey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6" w:name="change-detection-module"/>
    <w:p>
      <w:pPr>
        <w:pStyle w:val="Heading2"/>
      </w:pPr>
      <w:r>
        <w:t xml:space="preserve">10. Change Detection Module</w:t>
      </w:r>
    </w:p>
    <w:bookmarkStart w:id="73" w:name="methodology"/>
    <w:p>
      <w:pPr>
        <w:pStyle w:val="Heading3"/>
      </w:pPr>
      <w:r>
        <w:t xml:space="preserve">10.1 Methodology</w:t>
      </w:r>
    </w:p>
    <w:p>
      <w:pPr>
        <w:pStyle w:val="CaptionedFigure"/>
      </w:pPr>
      <w:r>
        <w:drawing>
          <wp:inline>
            <wp:extent cx="5334000" cy="646339"/>
            <wp:effectExtent b="0" l="0" r="0" t="0"/>
            <wp:docPr descr="Figure 10" title="" id="71" name="Picture"/>
            <a:graphic>
              <a:graphicData uri="http://schemas.openxmlformats.org/drawingml/2006/picture">
                <pic:pic>
                  <pic:nvPicPr>
                    <pic:cNvPr descr="diagrams/d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bookmarkEnd w:id="73"/>
    <w:bookmarkStart w:id="74" w:name="change-categories"/>
    <w:p>
      <w:pPr>
        <w:pStyle w:val="Heading3"/>
      </w:pPr>
      <w:r>
        <w:t xml:space="preserve">10.2 Change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Government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Gain / New Construction</w:t>
            </w:r>
          </w:p>
        </w:tc>
        <w:tc>
          <w:tcPr/>
          <w:p>
            <w:pPr>
              <w:pStyle w:val="Compact"/>
            </w:pPr>
            <w:r>
              <w:t xml:space="preserve">Cyan/Green</w:t>
            </w:r>
          </w:p>
        </w:tc>
        <w:tc>
          <w:tcPr/>
          <w:p>
            <w:pPr>
              <w:pStyle w:val="Compact"/>
            </w:pPr>
            <w:r>
              <w:t xml:space="preserve">T1 ≠ Bldg → T2 = Bldg</w:t>
            </w:r>
          </w:p>
        </w:tc>
        <w:tc>
          <w:tcPr/>
          <w:p>
            <w:pPr>
              <w:pStyle w:val="Compact"/>
            </w:pPr>
            <w:r>
              <w:t xml:space="preserve">New construction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Loss / Demolished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T1 = Bldg → T2 ≠ Bldg</w:t>
            </w:r>
          </w:p>
        </w:tc>
        <w:tc>
          <w:tcPr/>
          <w:p>
            <w:pPr>
              <w:pStyle w:val="Compact"/>
            </w:pPr>
            <w:r>
              <w:t xml:space="preserve">Demolition / disaster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Gain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T1 ≠ Water → T2 = Water</w:t>
            </w:r>
          </w:p>
        </w:tc>
        <w:tc>
          <w:tcPr/>
          <w:p>
            <w:pPr>
              <w:pStyle w:val="Compact"/>
            </w:pPr>
            <w:r>
              <w:t xml:space="preserve">Reservoir filling / flood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Loss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T1 = Water → T2 ≠ Water</w:t>
            </w:r>
          </w:p>
        </w:tc>
        <w:tc>
          <w:tcPr/>
          <w:p>
            <w:pPr>
              <w:pStyle w:val="Compact"/>
            </w:pPr>
            <w:r>
              <w:t xml:space="preserve">Drought / drainage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Road / Access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T1 ≠ Road → T2 = Road</w:t>
            </w:r>
          </w:p>
        </w:tc>
        <w:tc>
          <w:tcPr/>
          <w:p>
            <w:pPr>
              <w:pStyle w:val="Compact"/>
            </w:pPr>
            <w:r>
              <w:t xml:space="preserve">Infrastructure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→ Built / Other</w:t>
            </w:r>
          </w:p>
        </w:tc>
        <w:tc>
          <w:tcPr/>
          <w:p>
            <w:pPr>
              <w:pStyle w:val="Compact"/>
            </w:pPr>
            <w:r>
              <w:t xml:space="preserve">Magenta/Purple</w:t>
            </w:r>
          </w:p>
        </w:tc>
        <w:tc>
          <w:tcPr/>
          <w:p>
            <w:pPr>
              <w:pStyle w:val="Compact"/>
            </w:pPr>
            <w:r>
              <w:t xml:space="preserve">other class change</w:t>
            </w:r>
          </w:p>
        </w:tc>
        <w:tc>
          <w:tcPr/>
          <w:p>
            <w:pPr>
              <w:pStyle w:val="Compact"/>
            </w:pPr>
            <w:r>
              <w:t xml:space="preserve">Agricultural land conversion alert</w:t>
            </w:r>
          </w:p>
        </w:tc>
      </w:tr>
    </w:tbl>
    <w:p>
      <w:pPr>
        <w:pStyle w:val="BlockText"/>
      </w:pPr>
      <w:r>
        <w:rPr>
          <w:b/>
          <w:bCs/>
        </w:rPr>
        <w:t xml:space="preserve">Current web app implementation:</w:t>
      </w:r>
      <w:r>
        <w:t xml:space="preserve"> </w:t>
      </w:r>
      <w:r>
        <w:t xml:space="preserve">the user uploads two images (past + present); the SegFormer Space segments both, diffs the masks server-side, and returns a categorized change map plus per-category area percentages and before/after class distributions.</w:t>
      </w:r>
    </w:p>
    <w:bookmarkEnd w:id="74"/>
    <w:bookmarkStart w:id="75" w:name="government-applications"/>
    <w:p>
      <w:pPr>
        <w:pStyle w:val="Heading3"/>
      </w:pPr>
      <w:r>
        <w:t xml:space="preserve">10.3 Government Applications</w:t>
      </w:r>
    </w:p>
    <w:p>
      <w:pPr>
        <w:pStyle w:val="Compact"/>
        <w:numPr>
          <w:ilvl w:val="0"/>
          <w:numId w:val="1004"/>
        </w:numPr>
      </w:pPr>
      <w:r>
        <w:t xml:space="preserve">Urban sprawl quantification for Master Plan enforcement</w:t>
      </w:r>
    </w:p>
    <w:p>
      <w:pPr>
        <w:pStyle w:val="Compact"/>
        <w:numPr>
          <w:ilvl w:val="0"/>
          <w:numId w:val="1004"/>
        </w:numPr>
      </w:pPr>
      <w:r>
        <w:t xml:space="preserve">Disaster damage assessment post-cyclone/flood (rapid deployment)</w:t>
      </w:r>
    </w:p>
    <w:p>
      <w:pPr>
        <w:pStyle w:val="Compact"/>
        <w:numPr>
          <w:ilvl w:val="0"/>
          <w:numId w:val="1004"/>
        </w:numPr>
      </w:pPr>
      <w:r>
        <w:t xml:space="preserve">Revenue administration: detection of unauthorized construction</w:t>
      </w:r>
    </w:p>
    <w:p>
      <w:pPr>
        <w:pStyle w:val="Compact"/>
        <w:numPr>
          <w:ilvl w:val="0"/>
          <w:numId w:val="1004"/>
        </w:numPr>
      </w:pPr>
      <w:r>
        <w:t xml:space="preserve">Environmental compliance: water-body encroachment tracking</w:t>
      </w:r>
    </w:p>
    <w:p>
      <w:pPr>
        <w:pStyle w:val="Compact"/>
        <w:numPr>
          <w:ilvl w:val="0"/>
          <w:numId w:val="1004"/>
        </w:numPr>
      </w:pPr>
      <w:r>
        <w:t xml:space="preserve">Smart-city planning: growth-direction analysis for infrastructure investment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deployment-architecture"/>
    <w:p>
      <w:pPr>
        <w:pStyle w:val="Heading2"/>
      </w:pPr>
      <w:r>
        <w:t xml:space="preserve">11. Deployment Architecture</w:t>
      </w:r>
    </w:p>
    <w:bookmarkStart w:id="80" w:name="X7681795f7f8ee5949c27c1640d2d0a61ecf23f6"/>
    <w:p>
      <w:pPr>
        <w:pStyle w:val="Heading3"/>
      </w:pPr>
      <w:r>
        <w:t xml:space="preserve">11.A Current Prototype Deployment (Live — June 2026)</w:t>
      </w:r>
    </w:p>
    <w:p>
      <w:pPr>
        <w:pStyle w:val="FirstParagraph"/>
      </w:pPr>
      <w:r>
        <w:t xml:space="preserve">The live prototype runs on a free/low-cost cloud stack chosen for rapid iteration:</w:t>
      </w:r>
    </w:p>
    <w:p>
      <w:pPr>
        <w:pStyle w:val="CaptionedFigure"/>
      </w:pPr>
      <w:r>
        <w:drawing>
          <wp:inline>
            <wp:extent cx="5334000" cy="4225017"/>
            <wp:effectExtent b="0" l="0" r="0" t="0"/>
            <wp:docPr descr="Figure 11" title="" id="78" name="Picture"/>
            <a:graphic>
              <a:graphicData uri="http://schemas.openxmlformats.org/drawingml/2006/picture">
                <pic:pic>
                  <pic:nvPicPr>
                    <pic:cNvPr descr="diagrams/d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React + Vite + Mapbox GL UI, SPA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Inference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 Space</w:t>
            </w:r>
            <w:r>
              <w:t xml:space="preserve"> </w:t>
            </w:r>
            <w:r>
              <w:rPr>
                <w:rStyle w:val="VerbatimChar"/>
              </w:rPr>
              <w:t xml:space="preserve">asashit/smart-property-segformer</w:t>
            </w:r>
          </w:p>
        </w:tc>
        <w:tc>
          <w:tcPr/>
          <w:p>
            <w:pPr>
              <w:pStyle w:val="Compact"/>
            </w:pPr>
            <w:r>
              <w:t xml:space="preserve">SegFormer-B5 (FastAPI Docker, CPU);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/change-detection</w:t>
            </w:r>
            <w:r>
              <w:t xml:space="preserve">, R2 presign +</w:t>
            </w:r>
            <w:r>
              <w:t xml:space="preserve"> </w:t>
            </w:r>
            <w:r>
              <w:rPr>
                <w:rStyle w:val="VerbatimChar"/>
              </w:rPr>
              <w:t xml:space="preserve">*-url</w:t>
            </w:r>
            <w:r>
              <w:t xml:space="preserve"> </w:t>
            </w: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/ LULC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 Space</w:t>
            </w:r>
            <w:r>
              <w:t xml:space="preserve"> </w:t>
            </w:r>
            <w:r>
              <w:rPr>
                <w:rStyle w:val="VerbatimChar"/>
              </w:rPr>
              <w:t xml:space="preserve">asashit/smart-property-backend</w:t>
            </w:r>
          </w:p>
        </w:tc>
        <w:tc>
          <w:tcPr/>
          <w:p>
            <w:pPr>
              <w:pStyle w:val="Compact"/>
            </w:pPr>
            <w:r>
              <w:t xml:space="preserve">District boundaries, buildings/roads/water/open GeoJSON, raster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R2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property-data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District datasets (GPKG/TIF) + temporary large uploads (</w:t>
            </w:r>
            <w:r>
              <w:rPr>
                <w:rStyle w:val="VerbatimChar"/>
              </w:rPr>
              <w:t xml:space="preserve">temp/</w:t>
            </w:r>
            <w:r>
              <w:t xml:space="preserve">, auto-expiring)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Large-file handling:</w:t>
      </w:r>
      <w:r>
        <w:t xml:space="preserve"> </w:t>
      </w:r>
      <w:r>
        <w:t xml:space="preserve">images &gt; 4 MB are uploaded directly to Cloudflare R2 via a</w:t>
      </w:r>
      <w:r>
        <w:t xml:space="preserve"> </w:t>
      </w:r>
      <w:r>
        <w:rPr>
          <w:b/>
          <w:bCs/>
        </w:rPr>
        <w:t xml:space="preserve">presigned PUT</w:t>
      </w:r>
      <w:r>
        <w:t xml:space="preserve"> </w:t>
      </w:r>
      <w:r>
        <w:t xml:space="preserve">(bypassing serverless/proxy body limits, up to 500 MB), analyzed by object key, then auto-deleted on next run / page refresh (</w:t>
      </w:r>
      <w:r>
        <w:rPr>
          <w:rStyle w:val="VerbatimChar"/>
        </w:rPr>
        <w:t xml:space="preserve">sendBeacon</w:t>
      </w:r>
      <w:r>
        <w:t xml:space="preserve">) with a 1-day R2 lifecycle safety-net. On free CPU, very large images are analyzed at a capped resolution (1536px); full-resolution tiling is reserved for the GPU production tier.</w:t>
      </w:r>
    </w:p>
    <w:bookmarkEnd w:id="80"/>
    <w:bookmarkStart w:id="84" w:name="X6bef052f7997d4068b6d4f8080742070a59922f"/>
    <w:p>
      <w:pPr>
        <w:pStyle w:val="Heading3"/>
      </w:pPr>
      <w:r>
        <w:t xml:space="preserve">11.B Target Production Deployment (AWS SageMaker — planned)</w:t>
      </w:r>
    </w:p>
    <w:p>
      <w:pPr>
        <w:pStyle w:val="CaptionedFigure"/>
      </w:pPr>
      <w:r>
        <w:drawing>
          <wp:inline>
            <wp:extent cx="5334000" cy="7694839"/>
            <wp:effectExtent b="0" l="0" r="0" t="0"/>
            <wp:docPr descr="Figure 12" title="" id="82" name="Picture"/>
            <a:graphic>
              <a:graphicData uri="http://schemas.openxmlformats.org/drawingml/2006/picture">
                <pic:pic>
                  <pic:nvPicPr>
                    <pic:cNvPr descr="diagrams/d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Districts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Vijayawada, Visakhapatnam</w:t>
            </w:r>
          </w:p>
        </w:tc>
        <w:tc>
          <w:tcPr/>
          <w:p>
            <w:pPr>
              <w:pStyle w:val="Compact"/>
            </w:pPr>
            <w:r>
              <w:t xml:space="preserve">Urban zones</w:t>
            </w:r>
          </w:p>
        </w:tc>
        <w:tc>
          <w:tcPr/>
          <w:p>
            <w:pPr>
              <w:pStyle w:val="Compact"/>
            </w:pPr>
            <w:r>
              <w:t xml:space="preserve">~2 h</w:t>
            </w:r>
          </w:p>
        </w:tc>
        <w:tc>
          <w:tcPr/>
          <w:p>
            <w:pPr>
              <w:pStyle w:val="Compact"/>
            </w:pPr>
            <w:r>
              <w:t xml:space="preserve">~$1.05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All 5</w:t>
            </w:r>
          </w:p>
        </w:tc>
        <w:tc>
          <w:tcPr/>
          <w:p>
            <w:pPr>
              <w:pStyle w:val="Compact"/>
            </w:pPr>
            <w:r>
              <w:t xml:space="preserve">Full coverage</w:t>
            </w:r>
          </w:p>
        </w:tc>
        <w:tc>
          <w:tcPr/>
          <w:p>
            <w:pPr>
              <w:pStyle w:val="Compact"/>
            </w:pPr>
            <w:r>
              <w:t xml:space="preserve">~5 h</w:t>
            </w:r>
          </w:p>
        </w:tc>
        <w:tc>
          <w:tcPr/>
          <w:p>
            <w:pPr>
              <w:pStyle w:val="Compact"/>
            </w:pPr>
            <w:r>
              <w:t xml:space="preserve">~$2.63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All 5</w:t>
            </w:r>
          </w:p>
        </w:tc>
        <w:tc>
          <w:tcPr/>
          <w:p>
            <w:pPr>
              <w:pStyle w:val="Compact"/>
            </w:pPr>
            <w:r>
              <w:t xml:space="preserve">Full + YoY</w:t>
            </w:r>
          </w:p>
        </w:tc>
        <w:tc>
          <w:tcPr/>
          <w:p>
            <w:pPr>
              <w:pStyle w:val="Compact"/>
            </w:pPr>
            <w:r>
              <w:t xml:space="preserve">~8 h</w:t>
            </w:r>
          </w:p>
        </w:tc>
        <w:tc>
          <w:tcPr/>
          <w:p>
            <w:pPr>
              <w:pStyle w:val="Compact"/>
            </w:pPr>
            <w:r>
              <w:t xml:space="preserve">~$4.21</w:t>
            </w:r>
          </w:p>
        </w:tc>
      </w:tr>
    </w:tbl>
    <w:p>
      <w:pPr>
        <w:pStyle w:val="BodyText"/>
      </w:pPr>
      <w:r>
        <w:rPr>
          <w:i/>
          <w:iCs/>
        </w:rPr>
        <w:t xml:space="preserve">Cost based on ml.g4dn.xlarge at $0.526/hr. SageMaker access via FITT (IIT Delhi) startup grant; ArcGIS Online via ESRI India hackathon sponsorship.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fbd99df894199d38715a25919daf30a1edd0155"/>
    <w:p>
      <w:pPr>
        <w:pStyle w:val="Heading2"/>
      </w:pPr>
      <w:r>
        <w:t xml:space="preserve">12. ArcGIS Online Integration (Planned Production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PS6_LULC_{District}_Latest</w:t>
            </w:r>
          </w:p>
        </w:tc>
        <w:tc>
          <w:tcPr/>
          <w:p>
            <w:pPr>
              <w:pStyle w:val="Compact"/>
            </w:pPr>
            <w:r>
              <w:t xml:space="preserve">Raster Tile</w:t>
            </w:r>
          </w:p>
        </w:tc>
        <w:tc>
          <w:tcPr/>
          <w:p>
            <w:pPr>
              <w:pStyle w:val="Compact"/>
            </w:pPr>
            <w:r>
              <w:t xml:space="preserve">GeoTIFF → Tile Cache</w:t>
            </w:r>
          </w:p>
        </w:tc>
        <w:tc>
          <w:tcPr/>
          <w:p>
            <w:pPr>
              <w:pStyle w:val="Compact"/>
            </w:pPr>
            <w:r>
              <w:t xml:space="preserve">Monthly/Quarterly</w:t>
            </w:r>
          </w:p>
        </w:tc>
        <w:tc>
          <w:tcPr/>
          <w:p>
            <w:pPr>
              <w:pStyle w:val="Compact"/>
            </w:pPr>
            <w:r>
              <w:t xml:space="preserve">Current LULC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PS6_Confidence_{District}</w:t>
            </w:r>
          </w:p>
        </w:tc>
        <w:tc>
          <w:tcPr/>
          <w:p>
            <w:pPr>
              <w:pStyle w:val="Compact"/>
            </w:pPr>
            <w:r>
              <w:t xml:space="preserve">Raster Tile</w:t>
            </w:r>
          </w:p>
        </w:tc>
        <w:tc>
          <w:tcPr/>
          <w:p>
            <w:pPr>
              <w:pStyle w:val="Compact"/>
            </w:pPr>
            <w:r>
              <w:t xml:space="preserve">GeoTIFF → Tile Cache</w:t>
            </w:r>
          </w:p>
        </w:tc>
        <w:tc>
          <w:tcPr/>
          <w:p>
            <w:pPr>
              <w:pStyle w:val="Compact"/>
            </w:pPr>
            <w:r>
              <w:t xml:space="preserve">Monthly/Quarterly</w:t>
            </w:r>
          </w:p>
        </w:tc>
        <w:tc>
          <w:tcPr/>
          <w:p>
            <w:pPr>
              <w:pStyle w:val="Compact"/>
            </w:pPr>
            <w:r>
              <w:t xml:space="preserve">Building confidence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PS6_Change_Monthly_{District}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SHP → Hosted Feature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Month-over-month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PS6_Change_Quarterly_{District}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SHP → Hosted Feature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Quarter-over-quarter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PS6_Change_Annual_{District}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SHP → Hosted Feature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Year-over-year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validation-framework"/>
    <w:p>
      <w:pPr>
        <w:pStyle w:val="Heading2"/>
      </w:pPr>
      <w:r>
        <w:t xml:space="preserve">13. Validation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IoU (per-class)</w:t>
            </w:r>
          </w:p>
        </w:tc>
        <w:tc>
          <w:tcPr/>
          <w:p>
            <w:pPr>
              <w:pStyle w:val="Compact"/>
            </w:pPr>
            <w:r>
              <w:t xml:space="preserve">TP / (TP + FP + FN)</w:t>
            </w:r>
          </w:p>
        </w:tc>
        <w:tc>
          <w:tcPr/>
          <w:p>
            <w:pPr>
              <w:pStyle w:val="Compact"/>
            </w:pPr>
            <w:r>
              <w:t xml:space="preserve">Class-level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mIoU</w:t>
            </w:r>
          </w:p>
        </w:tc>
        <w:tc>
          <w:tcPr/>
          <w:p>
            <w:pPr>
              <w:pStyle w:val="Compact"/>
            </w:pPr>
            <w:r>
              <w:t xml:space="preserve">Mean of per-class IoUs</w:t>
            </w:r>
          </w:p>
        </w:tc>
        <w:tc>
          <w:tcPr/>
          <w:p>
            <w:pPr>
              <w:pStyle w:val="Compact"/>
            </w:pPr>
            <w:r>
              <w:t xml:space="preserve">Model selection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TTA+V4 mIoU</w:t>
            </w:r>
          </w:p>
        </w:tc>
        <w:tc>
          <w:tcPr/>
          <w:p>
            <w:pPr>
              <w:pStyle w:val="Compact"/>
            </w:pPr>
            <w:r>
              <w:t xml:space="preserve">mIoU after TTA + post-processing</w:t>
            </w:r>
          </w:p>
        </w:tc>
        <w:tc>
          <w:tcPr/>
          <w:p>
            <w:pPr>
              <w:pStyle w:val="Compact"/>
            </w:pPr>
            <w:r>
              <w:t xml:space="preserve">Final system accuracy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15% held-out validation (2,736 chips, mixed); checkpoint at max validation mIoU; visual gallery of 8 samples (RGB / GT / Raw / V4+TTA / Confidence).</w:t>
      </w:r>
    </w:p>
    <w:p>
      <w:r>
        <w:pict>
          <v:rect style="width:0;height:1.5pt" o:hralign="center" o:hrstd="t" o:hr="t"/>
        </w:pict>
      </w:r>
    </w:p>
    <w:bookmarkEnd w:id="87"/>
    <w:bookmarkStart w:id="88" w:name="innovation-summary"/>
    <w:p>
      <w:pPr>
        <w:pStyle w:val="Heading2"/>
      </w:pPr>
      <w:r>
        <w:t xml:space="preserve">14. Innovation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Previous (V5 / B4)</w:t>
            </w:r>
          </w:p>
        </w:tc>
        <w:tc>
          <w:tcPr/>
          <w:p>
            <w:pPr>
              <w:pStyle w:val="Compact"/>
            </w:pPr>
            <w:r>
              <w:t xml:space="preserve">Current (V6 Pro / B5)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SegFormer-B4 (64M)</w:t>
            </w:r>
          </w:p>
        </w:tc>
        <w:tc>
          <w:tcPr/>
          <w:p>
            <w:pPr>
              <w:pStyle w:val="Compact"/>
            </w:pPr>
            <w:r>
              <w:t xml:space="preserve">B5 (84M)</w:t>
            </w:r>
          </w:p>
        </w:tc>
        <w:tc>
          <w:tcPr/>
          <w:p>
            <w:pPr>
              <w:pStyle w:val="Compact"/>
            </w:pPr>
            <w:r>
              <w:t xml:space="preserve">+31%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Pretrained</w:t>
            </w:r>
          </w:p>
        </w:tc>
        <w:tc>
          <w:tcPr/>
          <w:p>
            <w:pPr>
              <w:pStyle w:val="Compact"/>
            </w:pPr>
            <w:r>
              <w:t xml:space="preserve">Cityscapes</w:t>
            </w:r>
          </w:p>
        </w:tc>
        <w:tc>
          <w:tcPr/>
          <w:p>
            <w:pPr>
              <w:pStyle w:val="Compact"/>
            </w:pPr>
            <w:r>
              <w:t xml:space="preserve">ADE20K-640</w:t>
            </w:r>
          </w:p>
        </w:tc>
        <w:tc>
          <w:tcPr/>
          <w:p>
            <w:pPr>
              <w:pStyle w:val="Compact"/>
            </w:pPr>
            <w:r>
              <w:t xml:space="preserve">Broader priors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Manual fixed</w:t>
            </w:r>
          </w:p>
        </w:tc>
        <w:tc>
          <w:tcPr/>
          <w:p>
            <w:pPr>
              <w:pStyle w:val="Compact"/>
            </w:pPr>
            <w:r>
              <w:t xml:space="preserve">Auto-computed + road×2</w:t>
            </w:r>
          </w:p>
        </w:tc>
        <w:tc>
          <w:tcPr/>
          <w:p>
            <w:pPr>
              <w:pStyle w:val="Compact"/>
            </w:pPr>
            <w:r>
              <w:t xml:space="preserve">Data-adaptive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t xml:space="preserve">256×256</w:t>
            </w:r>
          </w:p>
        </w:tc>
        <w:tc>
          <w:tcPr/>
          <w:p>
            <w:pPr>
              <w:pStyle w:val="Compact"/>
            </w:pPr>
            <w:r>
              <w:t xml:space="preserve">512×512</w:t>
            </w:r>
          </w:p>
        </w:tc>
        <w:tc>
          <w:tcPr/>
          <w:p>
            <w:pPr>
              <w:pStyle w:val="Compact"/>
            </w:pPr>
            <w:r>
              <w:t xml:space="preserve">4× spatial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</w:t>
            </w:r>
          </w:p>
        </w:tc>
        <w:tc>
          <w:tcPr/>
          <w:p>
            <w:pPr>
              <w:pStyle w:val="Compact"/>
            </w:pPr>
            <w:r>
              <w:t xml:space="preserve">Basic flip/rotate</w:t>
            </w:r>
          </w:p>
        </w:tc>
        <w:tc>
          <w:tcPr/>
          <w:p>
            <w:pPr>
              <w:pStyle w:val="Compact"/>
            </w:pPr>
            <w:r>
              <w:t xml:space="preserve">Multi-scale + elastic + colour + noise</w:t>
            </w:r>
          </w:p>
        </w:tc>
        <w:tc>
          <w:tcPr/>
          <w:p>
            <w:pPr>
              <w:pStyle w:val="Compact"/>
            </w:pPr>
            <w:r>
              <w:t xml:space="preserve">+3–5% mIoU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CosineAnnealing (epoch)</w:t>
            </w:r>
          </w:p>
        </w:tc>
        <w:tc>
          <w:tcPr/>
          <w:p>
            <w:pPr>
              <w:pStyle w:val="Compact"/>
            </w:pPr>
            <w:r>
              <w:t xml:space="preserve">OneCycleLR (per batch)</w:t>
            </w:r>
          </w:p>
        </w:tc>
        <w:tc>
          <w:tcPr/>
          <w:p>
            <w:pPr>
              <w:pStyle w:val="Compact"/>
            </w:pPr>
            <w:r>
              <w:t xml:space="preserve">Super-convergence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handling</w:t>
            </w:r>
          </w:p>
        </w:tc>
        <w:tc>
          <w:tcPr/>
          <w:p>
            <w:pPr>
              <w:pStyle w:val="Compact"/>
            </w:pPr>
            <w:r>
              <w:t xml:space="preserve">Raw mask</w:t>
            </w:r>
          </w:p>
        </w:tc>
        <w:tc>
          <w:tcPr/>
          <w:p>
            <w:pPr>
              <w:pStyle w:val="Compact"/>
            </w:pPr>
            <w:r>
              <w:t xml:space="preserve">Skeleton gap-bridge auto-completion</w:t>
            </w:r>
          </w:p>
        </w:tc>
        <w:tc>
          <w:tcPr/>
          <w:p>
            <w:pPr>
              <w:pStyle w:val="Compact"/>
            </w:pPr>
            <w:r>
              <w:t xml:space="preserve">Continuous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Manual / local</w:t>
            </w:r>
          </w:p>
        </w:tc>
        <w:tc>
          <w:tcPr/>
          <w:p>
            <w:pPr>
              <w:pStyle w:val="Compact"/>
            </w:pPr>
            <w:r>
              <w:t xml:space="preserve">HF Spaces + Vercel + R2 (now); AWS SageMaker (target)</w:t>
            </w:r>
          </w:p>
        </w:tc>
        <w:tc>
          <w:tcPr/>
          <w:p>
            <w:pPr>
              <w:pStyle w:val="Compact"/>
            </w:pPr>
            <w:r>
              <w:t xml:space="preserve">Cloud, scalable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access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Live interactive web app + Auto-Guide</w:t>
            </w:r>
          </w:p>
        </w:tc>
        <w:tc>
          <w:tcPr/>
          <w:p>
            <w:pPr>
              <w:pStyle w:val="Compact"/>
            </w:pPr>
            <w:r>
              <w:t xml:space="preserve">Real-time stakeholder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computational-profile"/>
    <w:p>
      <w:pPr>
        <w:pStyle w:val="Heading2"/>
      </w:pPr>
      <w:r>
        <w:t xml:space="preserve">15. Computational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GPU</w:t>
            </w:r>
          </w:p>
        </w:tc>
        <w:tc>
          <w:tcPr/>
          <w:p>
            <w:pPr>
              <w:pStyle w:val="Compact"/>
            </w:pPr>
            <w:r>
              <w:t xml:space="preserve">NVIDIA T4×2 (32 GB total) — Kaggle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Duration</w:t>
            </w:r>
          </w:p>
        </w:tc>
        <w:tc>
          <w:tcPr/>
          <w:p>
            <w:pPr>
              <w:pStyle w:val="Compact"/>
            </w:pPr>
            <w:r>
              <w:t xml:space="preserve">60 epochs, ~48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Dataset</w:t>
            </w:r>
          </w:p>
        </w:tc>
        <w:tc>
          <w:tcPr/>
          <w:p>
            <w:pPr>
              <w:pStyle w:val="Compact"/>
            </w:pPr>
            <w:r>
              <w:t xml:space="preserve">18,240 chips (15,504 train / 2,736 val) — 5 districts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Batch</w:t>
            </w:r>
          </w:p>
        </w:tc>
        <w:tc>
          <w:tcPr/>
          <w:p>
            <w:pPr>
              <w:pStyle w:val="Compact"/>
            </w:pPr>
            <w:r>
              <w:t xml:space="preserve">8 (batch=2 × accum=4)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(TTA)</w:t>
            </w:r>
          </w:p>
        </w:tc>
        <w:tc>
          <w:tcPr/>
          <w:p>
            <w:pPr>
              <w:pStyle w:val="Compact"/>
            </w:pPr>
            <w:r>
              <w:t xml:space="preserve">~0.5s/chip (4 forward passes) on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(T4×2)</w:t>
            </w:r>
          </w:p>
        </w:tc>
        <w:tc>
          <w:tcPr/>
          <w:p>
            <w:pPr>
              <w:pStyle w:val="Compact"/>
            </w:pPr>
            <w:r>
              <w:t xml:space="preserve">~14,400 chips/hour ≈ 3,600 km²/hr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Parameters</w:t>
            </w:r>
          </w:p>
        </w:tc>
        <w:tc>
          <w:tcPr/>
          <w:p>
            <w:pPr>
              <w:pStyle w:val="Compact"/>
            </w:pPr>
            <w:r>
              <w:t xml:space="preserve">84.7M (encoder 82.0M + decoder 2.7M)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Mixed FP16/FP32 (AMP)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Inference</w:t>
            </w:r>
          </w:p>
        </w:tc>
        <w:tc>
          <w:tcPr/>
          <w:p>
            <w:pPr>
              <w:pStyle w:val="Compact"/>
            </w:pPr>
            <w:r>
              <w:t xml:space="preserve">HF Space CPU (~15–40s/image, downscaled); GPU target ~0.5s/chip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output-deliverables"/>
    <w:p>
      <w:pPr>
        <w:pStyle w:val="Heading2"/>
      </w:pPr>
      <w:r>
        <w:t xml:space="preserve">16. Output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LULC Classification Map</w:t>
            </w:r>
          </w:p>
        </w:tc>
        <w:tc>
          <w:tcPr/>
          <w:p>
            <w:pPr>
              <w:pStyle w:val="Compact"/>
            </w:pPr>
            <w:r>
              <w:t xml:space="preserve">GeoTIFF / PNG</w:t>
            </w:r>
          </w:p>
        </w:tc>
        <w:tc>
          <w:tcPr/>
          <w:p>
            <w:pPr>
              <w:pStyle w:val="Compact"/>
            </w:pPr>
            <w:r>
              <w:t xml:space="preserve">Per-pixel class labels (5 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Confidence Map</w:t>
            </w:r>
          </w:p>
        </w:tc>
        <w:tc>
          <w:tcPr/>
          <w:p>
            <w:pPr>
              <w:pStyle w:val="Compact"/>
            </w:pPr>
            <w:r>
              <w:t xml:space="preserve">GeoTIFF</w:t>
            </w:r>
          </w:p>
        </w:tc>
        <w:tc>
          <w:tcPr/>
          <w:p>
            <w:pPr>
              <w:pStyle w:val="Compact"/>
            </w:pPr>
            <w:r>
              <w:t xml:space="preserve">3-tier confidence raster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Detection Map</w:t>
            </w:r>
          </w:p>
        </w:tc>
        <w:tc>
          <w:tcPr/>
          <w:p>
            <w:pPr>
              <w:pStyle w:val="Compact"/>
            </w:pPr>
            <w:r>
              <w:t xml:space="preserve">GeoTIFF + SHP + GeoJSON / PNG</w:t>
            </w:r>
          </w:p>
        </w:tc>
        <w:tc>
          <w:tcPr/>
          <w:p>
            <w:pPr>
              <w:pStyle w:val="Compact"/>
            </w:pPr>
            <w:r>
              <w:t xml:space="preserve">Temporal transition polygons +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Metrics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Per-epoch loss, mIoU, per-class IoU, 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Gallery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RGB / GT / Raw / V4+TTA /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</w:pPr>
            <w:r>
              <w:t xml:space="preserve">PyTorch (.pth)</w:t>
            </w:r>
          </w:p>
        </w:tc>
        <w:tc>
          <w:tcPr/>
          <w:p>
            <w:pPr>
              <w:pStyle w:val="Compact"/>
            </w:pPr>
            <w:r>
              <w:t xml:space="preserve">Model (+ optimizer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Interactive maps +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Reports</w:t>
            </w:r>
          </w:p>
        </w:tc>
        <w:tc>
          <w:tcPr/>
          <w:p>
            <w:pPr>
              <w:pStyle w:val="Compact"/>
            </w:pPr>
            <w:r>
              <w:t xml:space="preserve">PDF + Excel</w:t>
            </w:r>
          </w:p>
        </w:tc>
        <w:tc>
          <w:tcPr/>
          <w:p>
            <w:pPr>
              <w:pStyle w:val="Compact"/>
            </w:pPr>
            <w:r>
              <w:t xml:space="preserve">Monthly/quarterly/annual summaries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3" w:name="platform-navigation-guide"/>
    <w:p>
      <w:pPr>
        <w:pStyle w:val="Heading2"/>
      </w:pPr>
      <w:r>
        <w:t xml:space="preserve">17. Platform Navigation Guide</w:t>
      </w:r>
    </w:p>
    <w:p>
      <w:pPr>
        <w:pStyle w:val="FirstParagraph"/>
      </w:pPr>
      <w:r>
        <w:t xml:space="preserve">The web app exposes five primary sections via the top navigation bar.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 Item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Landing overview of the platform, status, and quick links.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Interactive Mapbox map of AP districts. Toggle LULC, drone imagery, buildings/roads/water/open layers; switch base maps; draw or upload an</w:t>
            </w:r>
            <w:r>
              <w:t xml:space="preserve"> </w:t>
            </w:r>
            <w:r>
              <w:rPr>
                <w:b/>
                <w:bCs/>
              </w:rPr>
              <w:t xml:space="preserve">Area of Interest (AOI)</w:t>
            </w:r>
            <w:r>
              <w:t xml:space="preserve">; view</w:t>
            </w:r>
            <w:r>
              <w:t xml:space="preserve"> </w:t>
            </w:r>
            <w:r>
              <w:rPr>
                <w:b/>
                <w:bCs/>
              </w:rPr>
              <w:t xml:space="preserve">AOI analytics</w:t>
            </w:r>
            <w:r>
              <w:t xml:space="preserve"> </w:t>
            </w:r>
            <w:r>
              <w:t xml:space="preserve">(building/water counts, road km); and view</w:t>
            </w:r>
            <w:r>
              <w:t xml:space="preserve"> </w:t>
            </w:r>
            <w:r>
              <w:rPr>
                <w:b/>
                <w:bCs/>
              </w:rPr>
              <w:t xml:space="preserve">detection overlays</w:t>
            </w:r>
            <w:r>
              <w:t xml:space="preserve"> </w:t>
            </w:r>
            <w:r>
              <w:t xml:space="preserve">sent from Upload &amp;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&amp; Analysis</w:t>
            </w:r>
          </w:p>
        </w:tc>
        <w:tc>
          <w:tcPr/>
          <w:p>
            <w:pPr>
              <w:pStyle w:val="Compact"/>
            </w:pPr>
            <w:r>
              <w:t xml:space="preserve">Run AI on your own imagery:</w:t>
            </w:r>
            <w:r>
              <w:t xml:space="preserve"> </w:t>
            </w:r>
            <w:r>
              <w:rPr>
                <w:b/>
                <w:bCs/>
              </w:rPr>
              <w:t xml:space="preserve">AI Segmentation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Change Detection</w:t>
            </w:r>
            <w:r>
              <w:t xml:space="preserve"> </w:t>
            </w:r>
            <w:r>
              <w:t xml:space="preserve">(two images),</w:t>
            </w:r>
            <w:r>
              <w:t xml:space="preserve"> </w:t>
            </w:r>
            <w:r>
              <w:rPr>
                <w:b/>
                <w:bCs/>
              </w:rPr>
              <w:t xml:space="preserve">Boundary Analysis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Mask Overlay</w:t>
            </w:r>
            <w:r>
              <w:t xml:space="preserve">. Supports up to</w:t>
            </w:r>
            <w:r>
              <w:t xml:space="preserve"> </w:t>
            </w:r>
            <w:r>
              <w:rPr>
                <w:b/>
                <w:bCs/>
              </w:rPr>
              <w:t xml:space="preserve">500 MB</w:t>
            </w:r>
            <w:r>
              <w:t xml:space="preserve"> </w:t>
            </w:r>
            <w:r>
              <w:t xml:space="preserve">images via temporary cloud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Logs</w:t>
            </w:r>
          </w:p>
        </w:tc>
        <w:tc>
          <w:tcPr/>
          <w:p>
            <w:pPr>
              <w:pStyle w:val="Compact"/>
            </w:pPr>
            <w:r>
              <w:t xml:space="preserve">Processing history and dataset/run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DSS</w:t>
            </w:r>
          </w:p>
        </w:tc>
        <w:tc>
          <w:tcPr/>
          <w:p>
            <w:pPr>
              <w:pStyle w:val="Compact"/>
            </w:pPr>
            <w:r>
              <w:t xml:space="preserve">Decision-Support dashboards and analytics.</w:t>
            </w:r>
          </w:p>
        </w:tc>
      </w:tr>
    </w:tbl>
    <w:bookmarkStart w:id="91" w:name="quick-workflows"/>
    <w:p>
      <w:pPr>
        <w:pStyle w:val="Heading3"/>
      </w:pPr>
      <w:r>
        <w:t xml:space="preserve">17.1 Quick Workflows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Analyze an AOI:</w:t>
      </w:r>
      <w:r>
        <w:t xml:space="preserve"> </w:t>
      </w:r>
      <w:r>
        <w:t xml:space="preserve">Mapping → pick State/District →</w:t>
      </w:r>
      <w:r>
        <w:t xml:space="preserve"> </w:t>
      </w:r>
      <w:r>
        <w:rPr>
          <w:i/>
          <w:iCs/>
        </w:rPr>
        <w:t xml:space="preserve">Draw AOI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Upload</w:t>
      </w:r>
      <w:r>
        <w:t xml:space="preserve"> </w:t>
      </w:r>
      <w:r>
        <w:t xml:space="preserve">a boundary (GeoJSON/Shapefile/KML/GeoPackage) → the map auto-detects the district, clips data to the boundary, and shows counts of buildings, water bodies, and road length. Multi-polygon files let you click any parcel to see its individual stats.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Segment an image:</w:t>
      </w:r>
      <w:r>
        <w:t xml:space="preserve"> </w:t>
      </w:r>
      <w:r>
        <w:t xml:space="preserve">Upload &amp; Analysis →</w:t>
      </w:r>
      <w:r>
        <w:t xml:space="preserve"> </w:t>
      </w:r>
      <w:r>
        <w:rPr>
          <w:i/>
          <w:iCs/>
        </w:rPr>
        <w:t xml:space="preserve">AI Segmentation</w:t>
      </w:r>
      <w:r>
        <w:t xml:space="preserve"> </w:t>
      </w:r>
      <w:r>
        <w:t xml:space="preserve">→ drop one or more images → run → view input vs. colored mask + class-distribution stats → download.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Plot a GeoTIFF on the map:</w:t>
      </w:r>
      <w:r>
        <w:t xml:space="preserve"> </w:t>
      </w:r>
      <w:r>
        <w:t xml:space="preserve">after segmenting a GeoTIFF, click</w:t>
      </w:r>
      <w:r>
        <w:t xml:space="preserve"> </w:t>
      </w:r>
      <w:r>
        <w:rPr>
          <w:b/>
          <w:bCs/>
        </w:rPr>
        <w:t xml:space="preserve">“Plot Detection Overlay on Map”</w:t>
      </w:r>
      <w:r>
        <w:t xml:space="preserve"> </w:t>
      </w:r>
      <w:r>
        <w:t xml:space="preserve">→ it is placed as a geo-referenced overlay on the Mapping page with opacity / zoom-to / remove controls.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 change:</w:t>
      </w:r>
      <w:r>
        <w:t xml:space="preserve"> </w:t>
      </w:r>
      <w:r>
        <w:t xml:space="preserve">Upload &amp; Analysis →</w:t>
      </w:r>
      <w:r>
        <w:t xml:space="preserve"> </w:t>
      </w:r>
      <w:r>
        <w:rPr>
          <w:i/>
          <w:iCs/>
        </w:rPr>
        <w:t xml:space="preserve">Change Detection</w:t>
      </w:r>
      <w:r>
        <w:t xml:space="preserve"> </w:t>
      </w:r>
      <w:r>
        <w:t xml:space="preserve">→ upload a PAST and a PRESENT image → run → view past mask, present mask, change map + per-category change percentages.</w:t>
      </w:r>
    </w:p>
    <w:bookmarkEnd w:id="91"/>
    <w:bookmarkStart w:id="92" w:name="auto-guide-mode"/>
    <w:p>
      <w:pPr>
        <w:pStyle w:val="Heading3"/>
      </w:pPr>
      <w:r>
        <w:t xml:space="preserve">17.2 Auto-Guide Mode</w:t>
      </w:r>
    </w:p>
    <w:p>
      <w:pPr>
        <w:pStyle w:val="FirstParagraph"/>
      </w:pPr>
      <w:r>
        <w:t xml:space="preserve">The platform includes an in-app</w:t>
      </w:r>
      <w:r>
        <w:t xml:space="preserve"> </w:t>
      </w:r>
      <w:r>
        <w:rPr>
          <w:b/>
          <w:bCs/>
        </w:rPr>
        <w:t xml:space="preserve">Auto-Guide tour</w:t>
      </w:r>
      <w:r>
        <w:t xml:space="preserve"> </w:t>
      </w:r>
      <w:r>
        <w:t xml:space="preserve">that automatically walks new users through every feature — highlighting each control, explaining what it does, and demonstrating a sample workflow. Launch it from the help/guide control; it narrates and visually points to the navigation, AOI tools, layer toggles, analytics panel, and the Upload &amp; Analysis options, so first-time stakeholders can self-onboard without training.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platform-screenshots"/>
    <w:p>
      <w:pPr>
        <w:pStyle w:val="Heading2"/>
      </w:pPr>
      <w:r>
        <w:t xml:space="preserve">18. Platform Screenshots</w:t>
      </w:r>
    </w:p>
    <w:p>
      <w:pPr>
        <w:pStyle w:val="BlockText"/>
      </w:pPr>
      <w:r>
        <w:rPr>
          <w:i/>
          <w:iCs/>
        </w:rPr>
        <w:t xml:space="preserve">Screenshots to be inserted by the team (one per row). Replace each placeholder with the corresponding capture.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 / landing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Mapping — LULC + layers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Mapping — AOI draw + analytics popup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Upload &amp; Analysis — segmentation result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Upload &amp; Analysis — change detection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Detection overlay on map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Auto-Guide tour in action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[insert screenshot]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9" w:name="future-scope"/>
    <w:p>
      <w:pPr>
        <w:pStyle w:val="Heading2"/>
      </w:pPr>
      <w:r>
        <w:t xml:space="preserve">19. Future Scope</w:t>
      </w:r>
    </w:p>
    <w:bookmarkStart w:id="95" w:name="d-mapping-building-height-estimation"/>
    <w:p>
      <w:pPr>
        <w:pStyle w:val="Heading3"/>
      </w:pPr>
      <w:r>
        <w:t xml:space="preserve">19.1 3D Mapping &amp; Building Height Estimation</w:t>
      </w:r>
    </w:p>
    <w:p>
      <w:pPr>
        <w:pStyle w:val="FirstParagraph"/>
      </w:pPr>
      <w:r>
        <w:t xml:space="preserve">Extend the 2D LULC pipeline into the third dimension: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Building height estimation</w:t>
      </w:r>
      <w:r>
        <w:t xml:space="preserve"> </w:t>
      </w:r>
      <w:r>
        <w:t xml:space="preserve">— derive per-building height from monocular shadow-length analysis, off-nadir parallax, or stereo/tri-stereo imagery; fuse with DSM/DEM (e.g., Cartosat, SRTM) where available.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3D building footprints / LoD1–LoD2 models</w:t>
      </w:r>
      <w:r>
        <w:t xml:space="preserve"> </w:t>
      </w:r>
      <w:r>
        <w:t xml:space="preserve">— extrude regularized footprints by estimated height to produce city-scale 3D massing models for urban planning and viewshed analysis.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Floor / built-up volume estimation</w:t>
      </w:r>
      <w:r>
        <w:t xml:space="preserve"> </w:t>
      </w:r>
      <w:r>
        <w:t xml:space="preserve">— approximate number of floors and built-up volume (height ÷ typical floor height) for property assessment and FSI/FAR compliance.</w:t>
      </w:r>
    </w:p>
    <w:bookmarkEnd w:id="95"/>
    <w:bookmarkStart w:id="96" w:name="improved-footprint-calculations"/>
    <w:p>
      <w:pPr>
        <w:pStyle w:val="Heading3"/>
      </w:pPr>
      <w:r>
        <w:t xml:space="preserve">19.2 Improved Footprint Calculations</w:t>
      </w:r>
    </w:p>
    <w:p>
      <w:pPr>
        <w:pStyle w:val="Compact"/>
        <w:numPr>
          <w:ilvl w:val="0"/>
          <w:numId w:val="1007"/>
        </w:numPr>
      </w:pPr>
      <w:r>
        <w:t xml:space="preserve">More accurate</w:t>
      </w:r>
      <w:r>
        <w:t xml:space="preserve"> </w:t>
      </w:r>
      <w:r>
        <w:rPr>
          <w:b/>
          <w:bCs/>
        </w:rPr>
        <w:t xml:space="preserve">area (m²)</w:t>
      </w:r>
      <w:r>
        <w:t xml:space="preserve"> </w:t>
      </w:r>
      <w:r>
        <w:t xml:space="preserve">and perimeter via sub-pixel boundary refinement and orthorectification.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Footprint regularization v2</w:t>
      </w:r>
      <w:r>
        <w:t xml:space="preserve"> </w:t>
      </w:r>
      <w:r>
        <w:t xml:space="preserve">— RANSAC/learned polygonization for cleaner, vector-ready building outlines.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Per-parcel aggregation</w:t>
      </w:r>
      <w:r>
        <w:t xml:space="preserve"> </w:t>
      </w:r>
      <w:r>
        <w:t xml:space="preserve">— coverage ratio, open-space ratio, and road-frontage metrics per cadastral parcel.</w:t>
      </w:r>
    </w:p>
    <w:bookmarkEnd w:id="96"/>
    <w:bookmarkStart w:id="97" w:name="learned-road-completion-model"/>
    <w:p>
      <w:pPr>
        <w:pStyle w:val="Heading3"/>
      </w:pPr>
      <w:r>
        <w:t xml:space="preserve">19.3 Learned Road-Completion Model</w:t>
      </w:r>
    </w:p>
    <w:p>
      <w:pPr>
        <w:pStyle w:val="FirstParagraph"/>
      </w:pPr>
      <w:r>
        <w:t xml:space="preserve">A dedicated graph- or GAN-based road-connectivity model to supplement the geometric skeleton healer (§9.3) for complex interchanges, flyovers, and dense urban grids.</w:t>
      </w:r>
    </w:p>
    <w:bookmarkEnd w:id="97"/>
    <w:bookmarkStart w:id="98" w:name="production-hardening"/>
    <w:p>
      <w:pPr>
        <w:pStyle w:val="Heading3"/>
      </w:pPr>
      <w:r>
        <w:t xml:space="preserve">19.4 Production Hardening</w:t>
      </w:r>
    </w:p>
    <w:p>
      <w:pPr>
        <w:pStyle w:val="Compact"/>
        <w:numPr>
          <w:ilvl w:val="0"/>
          <w:numId w:val="1008"/>
        </w:numPr>
      </w:pPr>
      <w:r>
        <w:t xml:space="preserve">Migrate inference to the GPU production tier (AWS SageMaker / GPU Space) for full-resolution, full-district processing.</w:t>
      </w:r>
    </w:p>
    <w:p>
      <w:pPr>
        <w:pStyle w:val="Compact"/>
        <w:numPr>
          <w:ilvl w:val="0"/>
          <w:numId w:val="1008"/>
        </w:numPr>
      </w:pPr>
      <w:r>
        <w:t xml:space="preserve">Result persistence (Supabase / database) for analysis history and user accounts.</w:t>
      </w:r>
    </w:p>
    <w:p>
      <w:pPr>
        <w:pStyle w:val="Compact"/>
        <w:numPr>
          <w:ilvl w:val="0"/>
          <w:numId w:val="1008"/>
        </w:numPr>
      </w:pPr>
      <w:r>
        <w:t xml:space="preserve">Scheduled monitoring + ArcGIS Online hosted layers (§11.B, §12).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onclusion"/>
    <w:p>
      <w:pPr>
        <w:pStyle w:val="Heading2"/>
      </w:pPr>
      <w:r>
        <w:t xml:space="preserve">20. Conclusion</w:t>
      </w:r>
    </w:p>
    <w:p>
      <w:pPr>
        <w:pStyle w:val="FirstParagraph"/>
      </w:pPr>
      <w:r>
        <w:t xml:space="preserve">The V6 Pro pipeline is a significant advancement in automated LULC mapping for Andhra Pradesh. The 84M-parameter SegFormer-B5 transformer — trained for 60 epochs on a custom-prepared dataset of 18,240 chips across 5 districts — combined with multi-scale Focal Tversky training, 4-way TTA, and geometry-aware post-processing (convex-hull building regularization + skeleton-based road auto-completion), delivers strong segmentation accuracy for the PS-6 use case.</w:t>
      </w:r>
    </w:p>
    <w:p>
      <w:pPr>
        <w:pStyle w:val="BodyText"/>
      </w:pPr>
      <w:r>
        <w:t xml:space="preserve">The current live prototype (Hugging Face Spaces + Vercel + Cloudflare R2) makes the system usable today through an interactive web application with AOI analytics, upload-and-analyze, change detection, and an Auto-Guide tour. The target production architecture (AWS SageMaker scheduled inference + ArcGIS Online hosted layers) will transform it into a continuous, automated monitoring platform, with 3D building-height mapping as the next major capability.</w:t>
      </w:r>
    </w:p>
    <w:p>
      <w:pPr>
        <w:pStyle w:val="BodyText"/>
      </w:pPr>
      <w:r>
        <w:rPr>
          <w:i/>
          <w:iCs/>
        </w:rPr>
        <w:t xml:space="preserve">Prepared by Yantrikaran Innovation Pvt. Ltd.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70" Target="media/rId70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9" Target="https://smart-property-identification-urban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mart-property-identification-urban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2026-06-28T12:53:06Z</dcterms:created>
  <dcterms:modified xsi:type="dcterms:W3CDTF">2026-06-28T12:53:06Z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