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/>
          <w:sz w:val="21"/>
          <w:szCs w:val="21"/>
        </w:rPr>
        <w:t>PocketMenu non-visual menus for touch screen devices</w:t>
      </w:r>
    </w:p>
    <w:p/>
    <w:p>
      <w:p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【Summary】：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We introduced PocketMenu, which is optimized for non-visual, in-pocket interaction with menus on touchscreen handheld devices. Interact with tactile functions by arranging menu items along the boundaries of the touch screen. Additional haptic feedback and voice allow non-visual recognition of individual menu items.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PocketMenu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】：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Layout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As a solution, PocketMenu (see Fig. 2) combines previous approaches into a new concept. The menu items are laid out along the screen’s border.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Browse Items：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To browse the menu, the user slides her/his finger along the screen’s border.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Cancel Browsing：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Browsing the menu can be aborted by simply releasing the finger.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Select and Alter：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The PocketMenu offers two kinds of items: button-like items that trigger associated actions (e.g. Play or Pause) and slider-like items that allow to continuously ad-just a value (e.g. Volume). The selection of button items is inspired by the classic PieMenu [2]: by swiping the finger towards the middle of the screen the associated action is exe-cuted. A short tactile pulse (100ms) confirms that the button item has been ’pressed’. Slider items are selected in a similar way. The associated value can be adjusted by swiping more or less far away from the menu border before lifting the fin-ger. A series of short tactile pulses (&lt; 10ms) issued when moving the finger indicate that the associated value is altered.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6640195" cy="33521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【Important Reference】:</w:t>
      </w:r>
    </w:p>
    <w:p>
      <w:pP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Bonner, M. N., Brudvik, J. T., Abowd, G. D., and Edwards, W. K. No-look notes: Accessible eyes-free multi-touch text entry. In Pervasive (2010).</w:t>
      </w:r>
    </w:p>
    <w:p>
      <w:pP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Yatani, K., and Truong, K. N. Semfeel: a user interface with semantic tactile feedback for mobile touch-screen devices. In Proc. UIST (2009).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0E33"/>
    <w:rsid w:val="01A322C2"/>
    <w:rsid w:val="05522D40"/>
    <w:rsid w:val="074C172A"/>
    <w:rsid w:val="18237579"/>
    <w:rsid w:val="182A5A59"/>
    <w:rsid w:val="1A3C0924"/>
    <w:rsid w:val="2C2472F4"/>
    <w:rsid w:val="2D4E2206"/>
    <w:rsid w:val="310D6505"/>
    <w:rsid w:val="345D57EC"/>
    <w:rsid w:val="365908FC"/>
    <w:rsid w:val="3A943DDE"/>
    <w:rsid w:val="3DBD3E74"/>
    <w:rsid w:val="402330EB"/>
    <w:rsid w:val="43405E53"/>
    <w:rsid w:val="48270C44"/>
    <w:rsid w:val="565B1DFA"/>
    <w:rsid w:val="6D0A05ED"/>
    <w:rsid w:val="7086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2019-12-11T11:55:34Z</dcterms:created>
  <dc:creator>mmy</dc:creator>
  <cp:lastModifiedBy>mmy</cp:lastModifiedBy>
  <dcterms:modified xsi:type="dcterms:W3CDTF">2019-12-11T11:59:56Z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