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Here is a list of the professional firms that have been active in coming up with the market studies that have supported recent power project financings.</w:t>
      </w:r>
    </w:p>
    <w:p w:rsidR="00000000" w:rsidDel="00000000" w:rsidP="00000000" w:rsidRDefault="00000000" w:rsidRPr="00000000">
      <w:pPr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1.   </w:t>
        <w:tab/>
        <w:t xml:space="preserve">Leidos Energy</w:t>
      </w:r>
    </w:p>
    <w:p w:rsidR="00000000" w:rsidDel="00000000" w:rsidP="00000000" w:rsidRDefault="00000000" w:rsidRPr="00000000">
      <w:pPr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2.   </w:t>
        <w:tab/>
        <w:t xml:space="preserve">Charles River Associates</w:t>
      </w:r>
    </w:p>
    <w:p w:rsidR="00000000" w:rsidDel="00000000" w:rsidP="00000000" w:rsidRDefault="00000000" w:rsidRPr="00000000">
      <w:pPr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3.   </w:t>
        <w:tab/>
        <w:t xml:space="preserve">Brattle 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1f497d"/>
          <w:rtl w:val="0"/>
        </w:rPr>
        <w:t xml:space="preserve">4.   </w:t>
        <w:tab/>
        <w:t xml:space="preserve">PA consultants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