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160"/>
        <w:tabs defTabSz="720">
          <w:tab w:val="right" w:pos="9026" w:leader="none"/>
        </w:tabs>
        <w:rPr>
          <w:i/>
          <w:iCs/>
          <w:u w:color="auto" w:val="single"/>
        </w:rPr>
      </w:pPr>
      <w:r>
        <w:rPr>
          <w:u w:color="auto" w:val="single"/>
        </w:rPr>
        <w:t>No.4071/{so_no}/PV(DM)</w:t>
      </w:r>
      <w:r>
        <w:tab/>
      </w:r>
      <w:r>
        <w:rPr>
          <w:i/>
          <w:iCs/>
          <w:u w:color="auto" w:val="single"/>
        </w:rPr>
        <w:t>Date: {</w:t>
      </w:r>
      <w:r>
        <w:rPr>
          <w:i/>
          <w:iCs/>
          <w:u w:color="auto" w:val="single"/>
        </w:rPr>
        <w:t>doc_date</w:t>
      </w:r>
      <w:r>
        <w:rPr>
          <w:i/>
          <w:iCs/>
          <w:u w:color="auto" w:val="single"/>
        </w:rPr>
        <w:t>}</w:t>
      </w:r>
      <w:r>
        <w:rPr>
          <w:i/>
          <w:iCs/>
          <w:u w:color="auto" w:val="single"/>
        </w:rPr>
      </w:r>
    </w:p>
    <w:p>
      <w:pPr>
        <w:spacing w:after="200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TPC-II BRIEF FOR RE-FIXATION OF DELIVERY PERIOD OR OTHERWISE AGAINST GEM CONTRACT NO. GEMC-{gemc_no}, Dtd. {gemc_date} (OFBL S.O. NO.</w:t>
      </w:r>
      <w:r>
        <w:rPr>
          <w:b/>
          <w:bCs/>
          <w:u w:color="auto" w:val="single"/>
        </w:rPr>
        <w:t>{so_no}</w:t>
      </w:r>
      <w:r>
        <w:rPr>
          <w:b/>
          <w:bCs/>
          <w:sz w:val="23"/>
          <w:szCs w:val="23"/>
        </w:rPr>
        <w:t xml:space="preserve">  {</w:t>
      </w:r>
      <w:r>
        <w:rPr>
          <w:b/>
          <w:bCs/>
          <w:sz w:val="23"/>
          <w:szCs w:val="23"/>
        </w:rPr>
        <w:t>gemc_date</w:t>
      </w:r>
      <w:r>
        <w:rPr>
          <w:b/>
          <w:bCs/>
          <w:sz w:val="23"/>
          <w:szCs w:val="23"/>
        </w:rPr>
        <w:t>}), QTY. {</w:t>
      </w:r>
      <w:r>
        <w:rPr>
          <w:b/>
          <w:bCs/>
          <w:sz w:val="23"/>
          <w:szCs w:val="23"/>
        </w:rPr>
        <w:t>qty</w:t>
      </w:r>
      <w:r>
        <w:rPr>
          <w:b/>
          <w:bCs/>
          <w:sz w:val="23"/>
          <w:szCs w:val="23"/>
        </w:rPr>
        <w:t>} SET PLACED ON {</w:t>
      </w:r>
      <w:r>
        <w:rPr>
          <w:b/>
          <w:bCs/>
          <w:sz w:val="23"/>
          <w:szCs w:val="23"/>
        </w:rPr>
        <w:t>supplier_name</w:t>
      </w:r>
      <w:r>
        <w:rPr>
          <w:b/>
          <w:bCs/>
          <w:sz w:val="23"/>
          <w:szCs w:val="23"/>
        </w:rPr>
        <w:t>} FOR THE ITEM {</w:t>
      </w:r>
      <w:r>
        <w:rPr>
          <w:b/>
          <w:bCs/>
          <w:sz w:val="23"/>
          <w:szCs w:val="23"/>
        </w:rPr>
        <w:t>item_name</w:t>
      </w:r>
      <w:r>
        <w:rPr>
          <w:b/>
          <w:bCs/>
          <w:sz w:val="23"/>
          <w:szCs w:val="23"/>
        </w:rPr>
        <w:t>}</w:t>
      </w:r>
      <w:r>
        <w:rPr>
          <w:b/>
          <w:bCs/>
          <w:sz w:val="23"/>
          <w:szCs w:val="23"/>
        </w:rPr>
      </w:r>
    </w:p>
    <w:tbl>
      <w:tblPr>
        <w:tblStyle w:val="TableNormal"/>
        <w:name w:val="Table3"/>
        <w:tabOrder w:val="0"/>
        <w:jc w:val="left"/>
        <w:tblInd w:w="0" w:type="dxa"/>
        <w:tblW w:w="10466" w:type="dxa"/>
        <w:tblLook w:val="04A0" w:firstRow="1" w:lastRow="0" w:firstColumn="1" w:lastColumn="0" w:noHBand="0" w:noVBand="1"/>
      </w:tblPr>
      <w:tblGrid>
        <w:gridCol w:w="351"/>
        <w:gridCol w:w="10115"/>
      </w:tblGrid>
      <w:tr>
        <w:trPr>
          <w:tblHeader w:val="0"/>
          <w:cantSplit w:val="0"/>
          <w:trHeight w:val="0" w:hRule="auto"/>
        </w:trPr>
        <w:tc>
          <w:tcPr>
            <w:tcW w:w="351" w:type="dxa"/>
            <w:shd w:val="none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82444041" protected="0"/>
          </w:tcPr>
          <w:p>
            <w:pPr>
              <w:spacing/>
              <w:jc w:val="center"/>
            </w:pPr>
            <w:r>
              <w:rPr>
                <w:b/>
                <w:bCs/>
              </w:rPr>
              <w:t>A</w:t>
            </w:r>
            <w:r/>
          </w:p>
        </w:tc>
        <w:tc>
          <w:tcPr>
            <w:tcW w:w="10115" w:type="dxa"/>
            <w:shd w:val="none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82444041" protected="0"/>
          </w:tcPr>
          <w:p>
            <w:pPr>
              <w:spacing w:after="80"/>
            </w:pPr>
            <w:r>
              <w:rPr>
                <w:b/>
                <w:bCs/>
                <w:u w:color="auto" w:val="single"/>
              </w:rPr>
              <w:t>BACKGROUND OF THE CASE:-</w:t>
            </w:r>
            <w:r/>
          </w:p>
          <w:p>
            <w:pPr>
              <w:spacing w:after="100"/>
              <w:jc w:val="both"/>
            </w:pPr>
            <w:r>
              <w:t>The supply order bearing GeM Contract No. GEMC-{gemc_no}, Dtd. {gemc_date} (OFBL S.O. NO. {so_no}, {gemc_date}), QTY. {qty} SET PLACED ON {supplier_name} &amp; with Option Clause up to {option_clause_ptc}% through LTE (Split 60:40). The details of order placed are mentioned below:</w:t>
            </w:r>
          </w:p>
          <w:tbl>
            <w:tblPr>
              <w:tblStyle w:val="TableNormal"/>
              <w:name w:val="Table1"/>
              <w:tabOrder w:val="0"/>
              <w:jc w:val="left"/>
              <w:tblInd w:w="0" w:type="dxa"/>
              <w:tblW w:w="9700" w:type="dxa"/>
              <w:tblLook w:val="04A0" w:firstRow="1" w:lastRow="0" w:firstColumn="1" w:lastColumn="0" w:noHBand="0" w:noVBand="1"/>
            </w:tblPr>
            <w:tblGrid>
              <w:gridCol w:w="500"/>
              <w:gridCol w:w="2150"/>
              <w:gridCol w:w="300"/>
              <w:gridCol w:w="6750"/>
            </w:tblGrid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1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ITEM NOMENCLATURE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{item_nomenclature}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2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S.O No.&amp; Date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GeM Contract No. GEMC-{gemc_no}, Dtd. {gemc_date} (OFBL S.O. No. {so_no}, {gemc_date}). P/{p_number}. SAP order No.-{sap_order_no}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3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LEVEL OF TPC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TPC-II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4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NAME OF THE SUPPLIER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{supplier_name}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5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ITEM CODE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{item_code}/(SAP-{sap_item_code}).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6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QUANTITY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{qty} Set + {option_clause_ptc}% option (not operated).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7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UNIT RATE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Rs {unit_rate}/Set (All Inclusive, GST@18%).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8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TOTAL COST OF THE SO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Rs {total_cost} (All Inclusive, GST@18%).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9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PSD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Rs {psd} (5% of the S.O. value, Rounded-off).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10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ORIGINAL DP AS PER SO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{#1_stagger_qty}</w:t>
                  </w:r>
                </w:p>
                <w:p>
                  <w:pPr/>
                  <w:r>
                    <w:t>1st Stagger Qty.-{1_stagger_qty} Set: From {1_stagger_start} to {1_stagger_end}</w:t>
                  </w:r>
                </w:p>
                <w:p>
                  <w:pPr/>
                  <w:r>
                    <w:t>{/1_stagger_qty}</w:t>
                  </w:r>
                </w:p>
                <w:p>
                  <w:pPr/>
                  <w:r>
                    <w:t>{#2_stagger_qty}</w:t>
                  </w:r>
                </w:p>
                <w:p>
                  <w:pPr/>
                  <w:r>
                    <w:t>2nd Stagger Qty.-{2_stagger_qty} Set: From {2_stagger_start} to {2_stagger_end}</w:t>
                  </w:r>
                </w:p>
                <w:p>
                  <w:pPr/>
                  <w:r>
                    <w:t>{/2_stagger_qty}</w:t>
                  </w:r>
                </w:p>
                <w:p>
                  <w:pPr/>
                  <w:r>
                    <w:t>{#3_stagger_qty}</w:t>
                  </w:r>
                </w:p>
                <w:p>
                  <w:pPr/>
                  <w:r>
                    <w:t>3rd Stagger Qty.-{3_stagger_qty} Set: From {3_stagger_start} to {3_stagger_end}</w:t>
                  </w:r>
                </w:p>
                <w:p>
                  <w:pPr/>
                  <w:r>
                    <w:t>{/3_stagger_qty}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11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END USE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{end_use}</w:t>
                  </w:r>
                </w:p>
              </w:tc>
            </w:tr>
          </w:tbl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1" w:type="dxa"/>
            <w:shd w:val="none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82444041" protected="0"/>
          </w:tcPr>
          <w:p>
            <w:pPr>
              <w:spacing/>
              <w:jc w:val="center"/>
            </w:pPr>
            <w:r>
              <w:rPr>
                <w:b/>
                <w:bCs/>
              </w:rPr>
              <w:t>B</w:t>
            </w:r>
            <w:r/>
          </w:p>
        </w:tc>
        <w:tc>
          <w:tcPr>
            <w:tcW w:w="10115" w:type="dxa"/>
            <w:shd w:val="none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82444041" protected="0"/>
          </w:tcPr>
          <w:p>
            <w:pPr>
              <w:spacing w:after="80"/>
            </w:pPr>
            <w:r>
              <w:rPr>
                <w:b/>
                <w:bCs/>
                <w:u w:color="auto" w:val="single"/>
              </w:rPr>
              <w:t>PO DUES DETAILS AS PER SAP DATA SHEET DATED {doc_date} :- P/432:</w:t>
            </w:r>
            <w:r/>
          </w:p>
          <w:tbl>
            <w:tblPr>
              <w:tblStyle w:val="TableNormal"/>
              <w:name w:val="Table2"/>
              <w:tabOrder w:val="0"/>
              <w:jc w:val="left"/>
              <w:tblInd w:w="0" w:type="dxa"/>
              <w:tblW w:w="9699" w:type="dxa"/>
              <w:tblLook w:val="04A0" w:firstRow="1" w:lastRow="0" w:firstColumn="1" w:lastColumn="0" w:noHBand="0" w:noVBand="1"/>
            </w:tblPr>
            <w:tblGrid>
              <w:gridCol w:w="1598"/>
              <w:gridCol w:w="1677"/>
              <w:gridCol w:w="685"/>
              <w:gridCol w:w="1176"/>
              <w:gridCol w:w="890"/>
              <w:gridCol w:w="1552"/>
              <w:gridCol w:w="2121"/>
            </w:tblGrid>
            <w:tr>
              <w:trPr>
                <w:tblHeader/>
                <w:cantSplit w:val="0"/>
                <w:trHeight w:val="0" w:hRule="auto"/>
              </w:trPr>
              <w:tc>
                <w:tcPr>
                  <w:tcW w:w="1598" w:type="dxa"/>
                  <w:shd w:val="solid" w:color="EAEAEA" tmshd="6553856, 15395562, 16777215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rPr>
                      <w:b/>
                      <w:bCs/>
                    </w:rPr>
                    <w:t>SO No., DT. &amp; Rate (All)</w:t>
                  </w:r>
                  <w:r/>
                </w:p>
              </w:tc>
              <w:tc>
                <w:tcPr>
                  <w:tcW w:w="1677" w:type="dxa"/>
                  <w:shd w:val="solid" w:color="EAEAEA" tmshd="6553856, 15395562, 16777215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rPr>
                      <w:b/>
                      <w:bCs/>
                    </w:rPr>
                    <w:t>Firm</w:t>
                  </w:r>
                  <w:r/>
                </w:p>
              </w:tc>
              <w:tc>
                <w:tcPr>
                  <w:tcW w:w="685" w:type="dxa"/>
                  <w:shd w:val="solid" w:color="EAEAEA" tmshd="6553856, 15395562, 16777215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</w:rPr>
                    <w:t>Total Qty.</w:t>
                  </w:r>
                  <w:r/>
                </w:p>
              </w:tc>
              <w:tc>
                <w:tcPr>
                  <w:tcW w:w="1176" w:type="dxa"/>
                  <w:shd w:val="solid" w:color="EAEAEA" tmshd="6553856, 15395562, 16777215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</w:rPr>
                    <w:t>Open Qty.</w:t>
                  </w:r>
                  <w:r/>
                </w:p>
              </w:tc>
              <w:tc>
                <w:tcPr>
                  <w:tcW w:w="890" w:type="dxa"/>
                  <w:shd w:val="solid" w:color="EAEAEA" tmshd="6553856, 15395562, 16777215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</w:rPr>
                    <w:t>Qty. in Quality</w:t>
                  </w:r>
                  <w:r/>
                </w:p>
              </w:tc>
              <w:tc>
                <w:tcPr>
                  <w:tcW w:w="1552" w:type="dxa"/>
                  <w:shd w:val="solid" w:color="EAEAEA" tmshd="6553856, 15395562, 16777215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</w:rPr>
                    <w:t>Delivery date</w:t>
                  </w:r>
                  <w:r/>
                </w:p>
              </w:tc>
              <w:tc>
                <w:tcPr>
                  <w:tcW w:w="2121" w:type="dxa"/>
                  <w:shd w:val="solid" w:color="EAEAEA" tmshd="6553856, 15395562, 16777215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</w:rPr>
                    <w:t>Unit Basic price</w:t>
                  </w:r>
                  <w:r/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1598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{sap_order_no} [OFBL LEGACY S.O.- {so_no}, Dtd. {gemc_date} Rs.{unit_rate}]</w:t>
                  </w:r>
                </w:p>
              </w:tc>
              <w:tc>
                <w:tcPr>
                  <w:tcW w:w="1677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/>
                  <w:r>
                    <w:t>{supplier_name}</w:t>
                  </w:r>
                </w:p>
              </w:tc>
              <w:tc>
                <w:tcPr>
                  <w:tcW w:w="685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{qty}</w:t>
                  </w:r>
                </w:p>
              </w:tc>
              <w:tc>
                <w:tcPr>
                  <w:tcW w:w="1176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{open_qty}</w:t>
                  </w:r>
                </w:p>
              </w:tc>
              <w:tc>
                <w:tcPr>
                  <w:tcW w:w="89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bookmarkStart w:id="0" w:name="_GoBack"/>
                  <w:r/>
                  <w:bookmarkEnd w:id="0"/>
                  <w:r>
                    <w:t>{qty_in_quality}</w:t>
                  </w:r>
                </w:p>
              </w:tc>
              <w:tc>
                <w:tcPr>
                  <w:tcW w:w="1552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{delivery_date}</w:t>
                  </w:r>
                </w:p>
              </w:tc>
              <w:tc>
                <w:tcPr>
                  <w:tcW w:w="2121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444041" protected="0"/>
                </w:tcPr>
                <w:p>
                  <w:pPr>
                    <w:spacing/>
                    <w:jc w:val="center"/>
                  </w:pPr>
                  <w:r>
                    <w:t>Rs.{unit_basic_price}</w:t>
                  </w:r>
                </w:p>
              </w:tc>
            </w:tr>
          </w:tbl>
          <w:p>
            <w:pPr>
              <w:spacing w:before="140"/>
              <w:jc w:val="center"/>
            </w:pPr>
            <w:r>
              <w:rPr>
                <w:b/>
                <w:bCs/>
              </w:rPr>
              <w:t>Total PO dues:   {open_qty} Set</w:t>
            </w:r>
            <w:r/>
          </w:p>
        </w:tc>
      </w:tr>
    </w:tbl>
    <w:p>
      <w:pPr>
        <w:spacing w:before="120"/>
        <w:jc w:val="right"/>
      </w:pPr>
      <w:r>
        <w:rPr>
          <w:i/>
          <w:iCs/>
        </w:rPr>
        <w:t>Page 1 of 5</w: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720" w:top="560" w:right="720" w:bottom="56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2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2">
    <w:multiLevelType w:val="hybridMultilevel"/>
    <w:name w:val="Numbered list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3">
    <w:multiLevelType w:val="hybridMultilevel"/>
    <w:name w:val="Numbered list 3"/>
    <w:lvl w:ilvl="0">
      <w:start w:val="0"/>
      <w:numFmt w:val="none"/>
      <w:suff w:val="tab"/>
      <w:lvlText w:val=""/>
      <w:lvlJc w:val="left"/>
      <w:pPr>
        <w:ind w:left="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6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"/>
      <w:tmLastPosIdx w:val="221"/>
    </w:tmLastPosCaret>
    <w:tmLastPosAnchor>
      <w:tmLastPosPgfIdx w:val="0"/>
      <w:tmLastPosIdx w:val="0"/>
    </w:tmLastPosAnchor>
    <w:tmLastPosTblRect w:left="0" w:top="0" w:right="0" w:bottom="0"/>
  </w:tmLastPos>
  <w:tmAppRevision w:date="1782444041" w:val="1234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pPr>
      <w:outlineLvl w:val="0"/>
    </w:pPr>
    <w:rPr>
      <w:rFonts w:ascii="Arial" w:hAnsi="Arial" w:eastAsia="Arial" w:cs="Arial"/>
      <w:color w:val="2e74b5"/>
      <w:sz w:val="32"/>
      <w:szCs w:val="32"/>
      <w:lang w:val="en-us" w:eastAsia="zh-cn" w:bidi="ar-sa"/>
    </w:rPr>
  </w:style>
  <w:style w:type="paragraph" w:styleId="para2">
    <w:name w:val="heading 2"/>
    <w:qFormat/>
    <w:pPr>
      <w:outlineLvl w:val="1"/>
    </w:pPr>
    <w:rPr>
      <w:rFonts w:ascii="Arial" w:hAnsi="Arial" w:eastAsia="Arial" w:cs="Arial"/>
      <w:color w:val="2e74b5"/>
      <w:sz w:val="26"/>
      <w:szCs w:val="26"/>
      <w:lang w:val="en-us" w:eastAsia="zh-cn" w:bidi="ar-sa"/>
    </w:rPr>
  </w:style>
  <w:style w:type="paragraph" w:styleId="para3">
    <w:name w:val="heading 3"/>
    <w:qFormat/>
    <w:pPr>
      <w:outlineLvl w:val="2"/>
    </w:pPr>
    <w:rPr>
      <w:rFonts w:ascii="Arial" w:hAnsi="Arial" w:eastAsia="Arial" w:cs="Arial"/>
      <w:color w:val="1f4d78"/>
      <w:sz w:val="24"/>
      <w:szCs w:val="24"/>
      <w:lang w:val="en-us" w:eastAsia="zh-cn" w:bidi="ar-sa"/>
    </w:rPr>
  </w:style>
  <w:style w:type="paragraph" w:styleId="para4">
    <w:name w:val="heading 4"/>
    <w:qFormat/>
    <w:pPr>
      <w:outlineLvl w:val="3"/>
    </w:pPr>
    <w:rPr>
      <w:rFonts w:ascii="Arial" w:hAnsi="Arial" w:eastAsia="Arial" w:cs="Arial"/>
      <w:i/>
      <w:iCs/>
      <w:color w:val="2e74b5"/>
      <w:sz w:val="21"/>
      <w:szCs w:val="21"/>
      <w:lang w:val="en-us" w:eastAsia="zh-cn" w:bidi="ar-sa"/>
    </w:rPr>
  </w:style>
  <w:style w:type="paragraph" w:styleId="para5">
    <w:name w:val="heading 5"/>
    <w:qFormat/>
    <w:pPr>
      <w:outlineLvl w:val="4"/>
    </w:pPr>
    <w:rPr>
      <w:rFonts w:ascii="Arial" w:hAnsi="Arial" w:eastAsia="Arial" w:cs="Arial"/>
      <w:color w:val="2e74b5"/>
      <w:sz w:val="21"/>
      <w:szCs w:val="21"/>
      <w:lang w:val="en-us" w:eastAsia="zh-cn" w:bidi="ar-sa"/>
    </w:rPr>
  </w:style>
  <w:style w:type="paragraph" w:styleId="para6">
    <w:name w:val="heading 6"/>
    <w:qFormat/>
    <w:pPr>
      <w:outlineLvl w:val="5"/>
    </w:pPr>
    <w:rPr>
      <w:rFonts w:ascii="Arial" w:hAnsi="Arial" w:eastAsia="Arial" w:cs="Arial"/>
      <w:color w:val="1f4d78"/>
      <w:sz w:val="21"/>
      <w:szCs w:val="21"/>
      <w:lang w:val="en-us" w:eastAsia="zh-cn" w:bidi="ar-sa"/>
    </w:rPr>
  </w:style>
  <w:style w:type="paragraph" w:styleId="para7">
    <w:name w:val="Title"/>
    <w:qFormat/>
    <w:rPr>
      <w:rFonts w:ascii="Arial" w:hAnsi="Arial" w:eastAsia="Arial" w:cs="Arial"/>
      <w:sz w:val="56"/>
      <w:szCs w:val="56"/>
      <w:lang w:val="en-us" w:eastAsia="zh-cn" w:bidi="ar-sa"/>
    </w:rPr>
  </w:style>
  <w:style w:type="paragraph" w:styleId="para8" w:customStyle="1">
    <w:name w:val="Strong1"/>
    <w:qFormat/>
    <w:rPr>
      <w:rFonts w:ascii="Arial" w:hAnsi="Arial" w:eastAsia="Arial" w:cs="Arial"/>
      <w:b/>
      <w:bCs/>
      <w:sz w:val="21"/>
      <w:szCs w:val="21"/>
      <w:lang w:val="en-us" w:eastAsia="zh-cn" w:bidi="ar-sa"/>
    </w:rPr>
  </w:style>
  <w:style w:type="paragraph" w:styleId="para9">
    <w:name w:val="List Paragraph"/>
    <w:qFormat/>
    <w:rPr>
      <w:rFonts w:ascii="Arial" w:hAnsi="Arial" w:eastAsia="Arial" w:cs="Arial"/>
      <w:sz w:val="21"/>
      <w:szCs w:val="21"/>
      <w:lang w:val="en-us" w:eastAsia="zh-cn" w:bidi="ar-sa"/>
    </w:rPr>
  </w:style>
  <w:style w:type="paragraph" w:styleId="para10">
    <w:name w:val="Footnote Text"/>
    <w:qFormat/>
    <w:rPr>
      <w:rFonts w:ascii="Arial" w:hAnsi="Arial" w:eastAsia="Arial" w:cs="Arial"/>
      <w:sz w:val="21"/>
      <w:szCs w:val="21"/>
      <w:lang w:val="en-us" w:eastAsia="zh-cn" w:bidi="ar-sa"/>
    </w:rPr>
  </w:style>
  <w:style w:type="paragraph" w:styleId="para11">
    <w:name w:val="Endnote Text"/>
    <w:qFormat/>
    <w:rPr>
      <w:rFonts w:ascii="Arial" w:hAnsi="Arial" w:eastAsia="Arial" w:cs="Arial"/>
      <w:sz w:val="21"/>
      <w:szCs w:val="21"/>
      <w:lang w:val="en-us" w:eastAsia="zh-cn" w:bidi="ar-sa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pPr>
      <w:outlineLvl w:val="0"/>
    </w:pPr>
    <w:rPr>
      <w:rFonts w:ascii="Arial" w:hAnsi="Arial" w:eastAsia="Arial" w:cs="Arial"/>
      <w:color w:val="2e74b5"/>
      <w:sz w:val="32"/>
      <w:szCs w:val="32"/>
      <w:lang w:val="en-us" w:eastAsia="zh-cn" w:bidi="ar-sa"/>
    </w:rPr>
  </w:style>
  <w:style w:type="paragraph" w:styleId="para2">
    <w:name w:val="heading 2"/>
    <w:qFormat/>
    <w:pPr>
      <w:outlineLvl w:val="1"/>
    </w:pPr>
    <w:rPr>
      <w:rFonts w:ascii="Arial" w:hAnsi="Arial" w:eastAsia="Arial" w:cs="Arial"/>
      <w:color w:val="2e74b5"/>
      <w:sz w:val="26"/>
      <w:szCs w:val="26"/>
      <w:lang w:val="en-us" w:eastAsia="zh-cn" w:bidi="ar-sa"/>
    </w:rPr>
  </w:style>
  <w:style w:type="paragraph" w:styleId="para3">
    <w:name w:val="heading 3"/>
    <w:qFormat/>
    <w:pPr>
      <w:outlineLvl w:val="2"/>
    </w:pPr>
    <w:rPr>
      <w:rFonts w:ascii="Arial" w:hAnsi="Arial" w:eastAsia="Arial" w:cs="Arial"/>
      <w:color w:val="1f4d78"/>
      <w:sz w:val="24"/>
      <w:szCs w:val="24"/>
      <w:lang w:val="en-us" w:eastAsia="zh-cn" w:bidi="ar-sa"/>
    </w:rPr>
  </w:style>
  <w:style w:type="paragraph" w:styleId="para4">
    <w:name w:val="heading 4"/>
    <w:qFormat/>
    <w:pPr>
      <w:outlineLvl w:val="3"/>
    </w:pPr>
    <w:rPr>
      <w:rFonts w:ascii="Arial" w:hAnsi="Arial" w:eastAsia="Arial" w:cs="Arial"/>
      <w:i/>
      <w:iCs/>
      <w:color w:val="2e74b5"/>
      <w:sz w:val="21"/>
      <w:szCs w:val="21"/>
      <w:lang w:val="en-us" w:eastAsia="zh-cn" w:bidi="ar-sa"/>
    </w:rPr>
  </w:style>
  <w:style w:type="paragraph" w:styleId="para5">
    <w:name w:val="heading 5"/>
    <w:qFormat/>
    <w:pPr>
      <w:outlineLvl w:val="4"/>
    </w:pPr>
    <w:rPr>
      <w:rFonts w:ascii="Arial" w:hAnsi="Arial" w:eastAsia="Arial" w:cs="Arial"/>
      <w:color w:val="2e74b5"/>
      <w:sz w:val="21"/>
      <w:szCs w:val="21"/>
      <w:lang w:val="en-us" w:eastAsia="zh-cn" w:bidi="ar-sa"/>
    </w:rPr>
  </w:style>
  <w:style w:type="paragraph" w:styleId="para6">
    <w:name w:val="heading 6"/>
    <w:qFormat/>
    <w:pPr>
      <w:outlineLvl w:val="5"/>
    </w:pPr>
    <w:rPr>
      <w:rFonts w:ascii="Arial" w:hAnsi="Arial" w:eastAsia="Arial" w:cs="Arial"/>
      <w:color w:val="1f4d78"/>
      <w:sz w:val="21"/>
      <w:szCs w:val="21"/>
      <w:lang w:val="en-us" w:eastAsia="zh-cn" w:bidi="ar-sa"/>
    </w:rPr>
  </w:style>
  <w:style w:type="paragraph" w:styleId="para7">
    <w:name w:val="Title"/>
    <w:qFormat/>
    <w:rPr>
      <w:rFonts w:ascii="Arial" w:hAnsi="Arial" w:eastAsia="Arial" w:cs="Arial"/>
      <w:sz w:val="56"/>
      <w:szCs w:val="56"/>
      <w:lang w:val="en-us" w:eastAsia="zh-cn" w:bidi="ar-sa"/>
    </w:rPr>
  </w:style>
  <w:style w:type="paragraph" w:styleId="para8" w:customStyle="1">
    <w:name w:val="Strong1"/>
    <w:qFormat/>
    <w:rPr>
      <w:rFonts w:ascii="Arial" w:hAnsi="Arial" w:eastAsia="Arial" w:cs="Arial"/>
      <w:b/>
      <w:bCs/>
      <w:sz w:val="21"/>
      <w:szCs w:val="21"/>
      <w:lang w:val="en-us" w:eastAsia="zh-cn" w:bidi="ar-sa"/>
    </w:rPr>
  </w:style>
  <w:style w:type="paragraph" w:styleId="para9">
    <w:name w:val="List Paragraph"/>
    <w:qFormat/>
    <w:rPr>
      <w:rFonts w:ascii="Arial" w:hAnsi="Arial" w:eastAsia="Arial" w:cs="Arial"/>
      <w:sz w:val="21"/>
      <w:szCs w:val="21"/>
      <w:lang w:val="en-us" w:eastAsia="zh-cn" w:bidi="ar-sa"/>
    </w:rPr>
  </w:style>
  <w:style w:type="paragraph" w:styleId="para10">
    <w:name w:val="Footnote Text"/>
    <w:qFormat/>
    <w:rPr>
      <w:rFonts w:ascii="Arial" w:hAnsi="Arial" w:eastAsia="Arial" w:cs="Arial"/>
      <w:sz w:val="21"/>
      <w:szCs w:val="21"/>
      <w:lang w:val="en-us" w:eastAsia="zh-cn" w:bidi="ar-sa"/>
    </w:rPr>
  </w:style>
  <w:style w:type="paragraph" w:styleId="para11">
    <w:name w:val="Endnote Text"/>
    <w:qFormat/>
    <w:rPr>
      <w:rFonts w:ascii="Arial" w:hAnsi="Arial" w:eastAsia="Arial" w:cs="Arial"/>
      <w:sz w:val="21"/>
      <w:szCs w:val="21"/>
      <w:lang w:val="en-us" w:eastAsia="zh-cn" w:bidi="ar-sa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6</cp:revision>
  <dcterms:created xsi:type="dcterms:W3CDTF">2026-06-25T02:16:00Z</dcterms:created>
  <dcterms:modified xsi:type="dcterms:W3CDTF">2026-06-26T03:20:41Z</dcterms:modified>
</cp:coreProperties>
</file>