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691AE" w14:textId="77777777" w:rsidR="00586EC8" w:rsidRDefault="00586EC8">
      <w:pPr>
        <w:pStyle w:val="Heading1"/>
      </w:pPr>
    </w:p>
    <w:p w14:paraId="63F11801" w14:textId="7BFB2F24" w:rsidR="00586EC8" w:rsidRPr="00586EC8" w:rsidRDefault="00586EC8" w:rsidP="00586EC8">
      <w:pPr>
        <w:pStyle w:val="Heading2"/>
        <w:jc w:val="center"/>
      </w:pPr>
      <w:r w:rsidRPr="00586EC8">
        <w:t>Week 1</w:t>
      </w:r>
      <w:r w:rsidR="00C92747">
        <w:t>4</w:t>
      </w:r>
      <w:r w:rsidRPr="00586EC8">
        <w:t xml:space="preserve"> Team Assignment</w:t>
      </w:r>
    </w:p>
    <w:p w14:paraId="3332D760" w14:textId="77777777" w:rsidR="00586EC8" w:rsidRPr="00586EC8" w:rsidRDefault="00586EC8" w:rsidP="00586EC8">
      <w:pPr>
        <w:pStyle w:val="Heading2"/>
        <w:jc w:val="center"/>
      </w:pPr>
      <w:r w:rsidRPr="00586EC8">
        <w:t>GROUP 2</w:t>
      </w:r>
    </w:p>
    <w:p w14:paraId="407D3EC3" w14:textId="77777777" w:rsidR="00586EC8" w:rsidRPr="00586EC8" w:rsidRDefault="00586EC8" w:rsidP="00586EC8">
      <w:pPr>
        <w:pStyle w:val="Heading2"/>
        <w:jc w:val="center"/>
      </w:pPr>
      <w:r w:rsidRPr="00586EC8">
        <w:t>Ashlesha Gottipati</w:t>
      </w:r>
    </w:p>
    <w:p w14:paraId="1FDDA438" w14:textId="77777777" w:rsidR="00586EC8" w:rsidRPr="00586EC8" w:rsidRDefault="00586EC8" w:rsidP="00586EC8">
      <w:pPr>
        <w:pStyle w:val="Heading2"/>
        <w:jc w:val="center"/>
      </w:pPr>
      <w:r w:rsidRPr="00586EC8">
        <w:t>Ayesha Siddiqui</w:t>
      </w:r>
    </w:p>
    <w:p w14:paraId="14F1C8F8" w14:textId="77777777" w:rsidR="00586EC8" w:rsidRPr="00586EC8" w:rsidRDefault="00586EC8" w:rsidP="00586EC8">
      <w:pPr>
        <w:pStyle w:val="Heading2"/>
        <w:jc w:val="center"/>
      </w:pPr>
      <w:r w:rsidRPr="00586EC8">
        <w:t>Sai Bhavesh Nooka</w:t>
      </w:r>
    </w:p>
    <w:p w14:paraId="1AB796A8" w14:textId="77777777" w:rsidR="00586EC8" w:rsidRPr="00586EC8" w:rsidRDefault="00586EC8" w:rsidP="00586EC8">
      <w:pPr>
        <w:pStyle w:val="Heading2"/>
        <w:jc w:val="center"/>
      </w:pPr>
      <w:r w:rsidRPr="00586EC8">
        <w:t>Sai Keshav Pavushetty</w:t>
      </w:r>
    </w:p>
    <w:p w14:paraId="101B663A" w14:textId="77777777" w:rsidR="00586EC8" w:rsidRPr="00586EC8" w:rsidRDefault="00586EC8" w:rsidP="00586EC8">
      <w:pPr>
        <w:pStyle w:val="Heading2"/>
        <w:jc w:val="center"/>
      </w:pPr>
      <w:r w:rsidRPr="00586EC8">
        <w:t>Timothy Manohar Gorrepati</w:t>
      </w:r>
    </w:p>
    <w:p w14:paraId="062D8595" w14:textId="77777777" w:rsidR="00586EC8" w:rsidRPr="00586EC8" w:rsidRDefault="00586EC8" w:rsidP="00586EC8">
      <w:pPr>
        <w:pStyle w:val="Heading2"/>
        <w:jc w:val="center"/>
      </w:pPr>
      <w:r w:rsidRPr="00586EC8">
        <w:t>Zahid Hossain</w:t>
      </w:r>
    </w:p>
    <w:p w14:paraId="1B6A55AF" w14:textId="77777777" w:rsidR="00586EC8" w:rsidRPr="00586EC8" w:rsidRDefault="00586EC8" w:rsidP="00586EC8">
      <w:pPr>
        <w:pStyle w:val="Heading2"/>
        <w:jc w:val="center"/>
      </w:pPr>
      <w:r w:rsidRPr="00586EC8">
        <w:t>Wayland Baptist University</w:t>
      </w:r>
    </w:p>
    <w:p w14:paraId="5965E906" w14:textId="77777777" w:rsidR="00586EC8" w:rsidRPr="00586EC8" w:rsidRDefault="00586EC8" w:rsidP="00586EC8">
      <w:pPr>
        <w:pStyle w:val="Heading2"/>
        <w:jc w:val="center"/>
      </w:pPr>
      <w:r w:rsidRPr="00586EC8">
        <w:t>FOUNDATIONS OF ECONOMIC &amp; FINANCE THRY INTL-3 16WKS 2024 IS01</w:t>
      </w:r>
    </w:p>
    <w:p w14:paraId="35A96BD7" w14:textId="77777777" w:rsidR="00586EC8" w:rsidRPr="00586EC8" w:rsidRDefault="00586EC8" w:rsidP="00586EC8">
      <w:pPr>
        <w:pStyle w:val="Heading2"/>
        <w:jc w:val="center"/>
      </w:pPr>
      <w:r w:rsidRPr="00586EC8">
        <w:t>BUAD5302INTL-316WKS2024IS01</w:t>
      </w:r>
    </w:p>
    <w:p w14:paraId="3F9AD6B8" w14:textId="77777777" w:rsidR="00586EC8" w:rsidRPr="00586EC8" w:rsidRDefault="00586EC8" w:rsidP="00586EC8">
      <w:pPr>
        <w:pStyle w:val="Heading2"/>
        <w:jc w:val="center"/>
      </w:pPr>
      <w:r w:rsidRPr="00586EC8">
        <w:t>Prof. Rossano Gerald</w:t>
      </w:r>
    </w:p>
    <w:p w14:paraId="43B2CC1F" w14:textId="652133D1" w:rsidR="00586EC8" w:rsidRDefault="00586EC8" w:rsidP="00586EC8">
      <w:pPr>
        <w:pStyle w:val="Heading2"/>
        <w:jc w:val="center"/>
      </w:pPr>
      <w:r w:rsidRPr="00586EC8">
        <w:t xml:space="preserve">February </w:t>
      </w:r>
      <w:r>
        <w:t>22</w:t>
      </w:r>
      <w:r w:rsidRPr="00586EC8">
        <w:t>, 2025</w:t>
      </w:r>
    </w:p>
    <w:p w14:paraId="6577C3CA" w14:textId="77777777" w:rsidR="00586EC8" w:rsidRDefault="00586EC8" w:rsidP="00586EC8">
      <w:pPr>
        <w:pStyle w:val="Heading2"/>
        <w:jc w:val="center"/>
      </w:pPr>
    </w:p>
    <w:p w14:paraId="73A936C1" w14:textId="77777777" w:rsidR="00586EC8" w:rsidRDefault="00586EC8" w:rsidP="00586EC8">
      <w:pPr>
        <w:pStyle w:val="Heading2"/>
        <w:jc w:val="center"/>
      </w:pPr>
    </w:p>
    <w:p w14:paraId="38F85877" w14:textId="77777777" w:rsidR="00586EC8" w:rsidRDefault="00586EC8">
      <w:pPr>
        <w:pStyle w:val="Heading1"/>
      </w:pPr>
    </w:p>
    <w:p w14:paraId="408B7F0C" w14:textId="77777777" w:rsidR="00586EC8" w:rsidRDefault="00586EC8">
      <w:pPr>
        <w:pStyle w:val="Heading1"/>
      </w:pPr>
    </w:p>
    <w:p w14:paraId="04CDB84D" w14:textId="77777777" w:rsidR="00586EC8" w:rsidRDefault="00586EC8">
      <w:pPr>
        <w:pStyle w:val="Heading1"/>
      </w:pPr>
    </w:p>
    <w:p w14:paraId="7B4083F8" w14:textId="77777777" w:rsidR="00586EC8" w:rsidRDefault="00586EC8">
      <w:pPr>
        <w:pStyle w:val="Heading1"/>
      </w:pPr>
    </w:p>
    <w:p w14:paraId="4EFAB42F" w14:textId="20128389" w:rsidR="001B0A07" w:rsidRDefault="00000000" w:rsidP="00586EC8">
      <w:pPr>
        <w:pStyle w:val="Heading2"/>
      </w:pPr>
      <w:r w:rsidRPr="006E37E1">
        <w:rPr>
          <w:sz w:val="28"/>
          <w:szCs w:val="28"/>
        </w:rPr>
        <w:lastRenderedPageBreak/>
        <w:t xml:space="preserve">Stable Price Level (Inflation) </w:t>
      </w:r>
      <w:r w:rsidR="006E37E1" w:rsidRPr="006E37E1">
        <w:rPr>
          <w:sz w:val="28"/>
          <w:szCs w:val="28"/>
        </w:rPr>
        <w:t>,</w:t>
      </w:r>
      <w:r w:rsidRPr="006E37E1">
        <w:rPr>
          <w:sz w:val="28"/>
          <w:szCs w:val="28"/>
        </w:rPr>
        <w:t xml:space="preserve"> Productivity</w:t>
      </w:r>
      <w:r w:rsidR="006E37E1" w:rsidRPr="006E37E1">
        <w:rPr>
          <w:sz w:val="28"/>
          <w:szCs w:val="28"/>
        </w:rPr>
        <w:t xml:space="preserve">, </w:t>
      </w:r>
      <w:r w:rsidR="006E37E1" w:rsidRPr="00586EC8">
        <w:rPr>
          <w:sz w:val="28"/>
          <w:szCs w:val="28"/>
        </w:rPr>
        <w:t>National Debt</w:t>
      </w:r>
      <w:r w:rsidR="006E37E1">
        <w:t xml:space="preserve"> </w:t>
      </w:r>
      <w:r>
        <w:t>Analysis</w:t>
      </w:r>
    </w:p>
    <w:p w14:paraId="02DF52CF" w14:textId="39AC15A1" w:rsidR="001B0A07" w:rsidRDefault="00000000">
      <w:r>
        <w:t>Impact on Gilead Sciences, Regeneron, and Vertex Pharmaceuticals</w:t>
      </w:r>
    </w:p>
    <w:p w14:paraId="4C78799C" w14:textId="77777777" w:rsidR="001B0A07" w:rsidRDefault="00000000">
      <w:pPr>
        <w:pStyle w:val="Heading2"/>
      </w:pPr>
      <w:r>
        <w:t>Objectives</w:t>
      </w:r>
    </w:p>
    <w:p w14:paraId="3FE39146" w14:textId="473D4B99" w:rsidR="0056488A" w:rsidRDefault="00000000" w:rsidP="00C14C26">
      <w:pPr>
        <w:spacing w:after="0" w:line="240" w:lineRule="auto"/>
      </w:pPr>
      <w:r>
        <w:t>1. To understand the impact of stable price levels and inflation on the pharmaceutical sector.</w:t>
      </w:r>
      <w:r>
        <w:br/>
        <w:t>2. To analyze inflation trends in Switzerland and Ireland and their effects on multinational corporations.</w:t>
      </w:r>
      <w:r>
        <w:br/>
        <w:t>3. To evaluate strategic implications for pharmaceutical firms operating in these countries.</w:t>
      </w:r>
      <w:r>
        <w:br/>
        <w:t>4. To understand productivity trends in developed and emerging economies.</w:t>
      </w:r>
      <w:r>
        <w:br/>
        <w:t>5. To analyze productivity’s role in economic growth and business success.</w:t>
      </w:r>
    </w:p>
    <w:p w14:paraId="701095FD" w14:textId="3C8822B8" w:rsidR="0056488A" w:rsidRDefault="0056488A" w:rsidP="00C14C26">
      <w:pPr>
        <w:spacing w:after="0" w:line="240" w:lineRule="auto"/>
      </w:pPr>
      <w:r>
        <w:t>6.</w:t>
      </w:r>
      <w:r w:rsidR="00C14C26">
        <w:t xml:space="preserve"> </w:t>
      </w:r>
      <w:r w:rsidRPr="0056488A">
        <w:t>To assess the impact of national debt levels on economic stability and business operations in Switzerland and Ireland.</w:t>
      </w:r>
    </w:p>
    <w:p w14:paraId="5DDFA995" w14:textId="6EAEA799" w:rsidR="0056488A" w:rsidRDefault="0056488A" w:rsidP="00C14C26">
      <w:pPr>
        <w:spacing w:after="0" w:line="240" w:lineRule="auto"/>
      </w:pPr>
      <w:r>
        <w:t>7.</w:t>
      </w:r>
      <w:r w:rsidRPr="0056488A">
        <w:t>To evaluate how national debt influences government policies, taxation, and investment opportunities for pharmaceutical firms.</w:t>
      </w:r>
    </w:p>
    <w:p w14:paraId="417C2E35" w14:textId="77777777" w:rsidR="005C3A62" w:rsidRDefault="005C3A62"/>
    <w:p w14:paraId="19B7E9F1" w14:textId="51E34958" w:rsidR="001B0A07" w:rsidRPr="00586EC8" w:rsidRDefault="005D529C">
      <w:pPr>
        <w:pStyle w:val="Heading2"/>
        <w:rPr>
          <w:sz w:val="28"/>
          <w:szCs w:val="28"/>
        </w:rPr>
      </w:pPr>
      <w:r>
        <w:rPr>
          <w:sz w:val="28"/>
          <w:szCs w:val="28"/>
        </w:rPr>
        <w:t>1.</w:t>
      </w:r>
      <w:r w:rsidRPr="00586EC8">
        <w:rPr>
          <w:sz w:val="28"/>
          <w:szCs w:val="28"/>
        </w:rPr>
        <w:t>Stable Price Level (Inflation) Analysis</w:t>
      </w:r>
    </w:p>
    <w:p w14:paraId="3F9680BE" w14:textId="77777777" w:rsidR="001B0A07" w:rsidRDefault="00000000">
      <w:pPr>
        <w:pStyle w:val="Heading3"/>
      </w:pPr>
      <w:r>
        <w:t>Introduction</w:t>
      </w:r>
    </w:p>
    <w:p w14:paraId="0BD5C9BA" w14:textId="77777777" w:rsidR="001B0A07" w:rsidRDefault="00000000">
      <w:r>
        <w:t>Inflation refers to the rate at which the general price level of goods and services rises, eroding purchasing power. A stable price level means inflation is controlled within a desirable range, ensuring economic predictability. Pharmaceutical companies operating in Switzerland and Ireland experience different inflation dynamics impacting their business strategies.</w:t>
      </w:r>
    </w:p>
    <w:p w14:paraId="23A889BD" w14:textId="77777777" w:rsidR="001B0A07" w:rsidRDefault="00000000">
      <w:pPr>
        <w:pStyle w:val="Heading3"/>
      </w:pPr>
      <w:r>
        <w:t>Inflation Trends</w:t>
      </w:r>
    </w:p>
    <w:p w14:paraId="13B8CEBC" w14:textId="77777777" w:rsidR="001B0A07" w:rsidRDefault="00000000">
      <w:r>
        <w:t>Switzerland: Inflation remains between 0-2%, driven by a strong Swiss franc and stable monetary policies.</w:t>
      </w:r>
    </w:p>
    <w:p w14:paraId="33DFC92E" w14:textId="77777777" w:rsidR="001B0A07" w:rsidRDefault="00000000">
      <w:r>
        <w:t>Ireland: More volatile inflation (2.5% - 4.1% in recent years) due to economic fluctuations and energy costs.</w:t>
      </w:r>
    </w:p>
    <w:p w14:paraId="47A49504" w14:textId="77777777" w:rsidR="001B0A07" w:rsidRDefault="00000000">
      <w:pPr>
        <w:pStyle w:val="Heading3"/>
      </w:pPr>
      <w:r>
        <w:t>Impact on Pharmaceutical Companies</w:t>
      </w:r>
    </w:p>
    <w:p w14:paraId="0FF59CFD" w14:textId="77777777" w:rsidR="001B0A07" w:rsidRDefault="00000000">
      <w:r>
        <w:t>• Gilead Sciences: Stability in Switzerland ensures predictable business costs.</w:t>
      </w:r>
    </w:p>
    <w:p w14:paraId="5C9443EA" w14:textId="77777777" w:rsidR="001B0A07" w:rsidRDefault="00000000">
      <w:r>
        <w:t>• Regeneron: Faces cost fluctuations in Ireland due to inflation volatility.</w:t>
      </w:r>
    </w:p>
    <w:p w14:paraId="3EFE5614" w14:textId="77777777" w:rsidR="001B0A07" w:rsidRDefault="00000000">
      <w:r>
        <w:t>• Vertex Pharmaceuticals: Operates in both regions, requiring adaptable financial strategies.</w:t>
      </w:r>
    </w:p>
    <w:p w14:paraId="3E391096" w14:textId="77777777" w:rsidR="001B0A07" w:rsidRDefault="00000000">
      <w:pPr>
        <w:pStyle w:val="Heading3"/>
      </w:pPr>
      <w:r>
        <w:t>Comparative Inflation Analysis</w:t>
      </w:r>
    </w:p>
    <w:p w14:paraId="2E3E23BC" w14:textId="77777777" w:rsidR="001B0A07" w:rsidRDefault="00000000">
      <w:r>
        <w:t>• Switzerland: Predictable inflation fosters long-term investment and stable revenue growth.</w:t>
      </w:r>
    </w:p>
    <w:p w14:paraId="20EDA396" w14:textId="77777777" w:rsidR="001B0A07" w:rsidRDefault="00000000">
      <w:r>
        <w:t>• Ireland: Requires flexible cost-control and pricing strategies due to inflation variations.</w:t>
      </w:r>
    </w:p>
    <w:p w14:paraId="57A9857C" w14:textId="77777777" w:rsidR="001B0A07" w:rsidRDefault="00000000">
      <w:pPr>
        <w:pStyle w:val="Heading3"/>
      </w:pPr>
      <w:r>
        <w:lastRenderedPageBreak/>
        <w:t>Numerical Insights</w:t>
      </w:r>
    </w:p>
    <w:p w14:paraId="1D72D7A4" w14:textId="77777777" w:rsidR="001B0A07" w:rsidRDefault="00000000">
      <w:r>
        <w:t>Switzerland: Average inflation 1.2% (2022-2024), wage growth ~1.5%, stable energy prices.</w:t>
      </w:r>
    </w:p>
    <w:p w14:paraId="59C77024" w14:textId="77777777" w:rsidR="001B0A07" w:rsidRDefault="00000000">
      <w:r>
        <w:t>Ireland: Inflation fluctuates between 2.5%-4.1%, wage growth inconsistent, high energy cost variations.</w:t>
      </w:r>
    </w:p>
    <w:p w14:paraId="70ECA34F" w14:textId="77777777" w:rsidR="001B0A07" w:rsidRDefault="00000000">
      <w:pPr>
        <w:pStyle w:val="Heading3"/>
      </w:pPr>
      <w:r>
        <w:t>Strategic Implications</w:t>
      </w:r>
    </w:p>
    <w:p w14:paraId="4141FBFE" w14:textId="77777777" w:rsidR="001B0A07" w:rsidRDefault="00000000">
      <w:r>
        <w:t>• Switzerland: Stable investment environment and long-term financial security.</w:t>
      </w:r>
    </w:p>
    <w:p w14:paraId="1B6D2780" w14:textId="77777777" w:rsidR="001B0A07" w:rsidRDefault="00000000">
      <w:r>
        <w:t>• Ireland: Requires dynamic financial strategies to counter inflation volatility.</w:t>
      </w:r>
    </w:p>
    <w:p w14:paraId="45912660" w14:textId="62EB4EDE" w:rsidR="001B0A07" w:rsidRPr="00586EC8" w:rsidRDefault="005D529C">
      <w:pPr>
        <w:pStyle w:val="Heading2"/>
        <w:rPr>
          <w:sz w:val="28"/>
          <w:szCs w:val="28"/>
        </w:rPr>
      </w:pPr>
      <w:r>
        <w:rPr>
          <w:sz w:val="28"/>
          <w:szCs w:val="28"/>
        </w:rPr>
        <w:t>2.</w:t>
      </w:r>
      <w:r w:rsidRPr="00586EC8">
        <w:rPr>
          <w:sz w:val="28"/>
          <w:szCs w:val="28"/>
        </w:rPr>
        <w:t>Productivity Analysis</w:t>
      </w:r>
    </w:p>
    <w:p w14:paraId="6C7A18A6" w14:textId="77777777" w:rsidR="001B0A07" w:rsidRDefault="00000000">
      <w:pPr>
        <w:pStyle w:val="Heading3"/>
      </w:pPr>
      <w:r>
        <w:t>Introduction</w:t>
      </w:r>
    </w:p>
    <w:p w14:paraId="2310881A" w14:textId="77777777" w:rsidR="001B0A07" w:rsidRDefault="00000000">
      <w:r>
        <w:t>Productivity measures the efficiency of production and is calculated as the ratio of output to input. Higher productivity leads to economic growth, increased profitability, and improved living standards. Various factors influence productivity, including technology, workforce skills, and economic policies.</w:t>
      </w:r>
    </w:p>
    <w:p w14:paraId="4C420138" w14:textId="77777777" w:rsidR="001B0A07" w:rsidRDefault="00000000">
      <w:pPr>
        <w:pStyle w:val="Heading3"/>
      </w:pPr>
      <w:r>
        <w:t>Global &amp; Sector-Specific Productivity Trends</w:t>
      </w:r>
    </w:p>
    <w:p w14:paraId="1B35AEE4" w14:textId="77777777" w:rsidR="001B0A07" w:rsidRDefault="00000000">
      <w:r>
        <w:t>• Developed economies: Steady productivity growth due to technological advancements.</w:t>
      </w:r>
    </w:p>
    <w:p w14:paraId="758329BB" w14:textId="77777777" w:rsidR="001B0A07" w:rsidRDefault="00000000">
      <w:r>
        <w:t>• Emerging markets: Mixed trends, with industrialized regions growing rapidly while others stagnate.</w:t>
      </w:r>
    </w:p>
    <w:p w14:paraId="3E9960D9" w14:textId="77777777" w:rsidR="001B0A07" w:rsidRDefault="00000000">
      <w:pPr>
        <w:pStyle w:val="Heading3"/>
      </w:pPr>
      <w:r>
        <w:t>Factors Affecting Productivity</w:t>
      </w:r>
    </w:p>
    <w:p w14:paraId="1D252B1E" w14:textId="77777777" w:rsidR="001B0A07" w:rsidRDefault="00000000">
      <w:r>
        <w:t>1. Technology &amp; Innovation: AI, automation, and digital tools enhance efficiency.</w:t>
      </w:r>
    </w:p>
    <w:p w14:paraId="35F3DFE9" w14:textId="77777777" w:rsidR="001B0A07" w:rsidRDefault="00000000">
      <w:r>
        <w:t>2. Workforce Skills: Higher education and training improve productivity.</w:t>
      </w:r>
    </w:p>
    <w:p w14:paraId="67E1C875" w14:textId="77777777" w:rsidR="001B0A07" w:rsidRDefault="00000000">
      <w:r>
        <w:t>3. Infrastructure: Efficient transport and energy systems boost production capacity.</w:t>
      </w:r>
    </w:p>
    <w:p w14:paraId="5BD41009" w14:textId="77777777" w:rsidR="001B0A07" w:rsidRDefault="00000000">
      <w:r>
        <w:t>4. Economic Policies: Taxation, investment, and trade regulations impact productivity.</w:t>
      </w:r>
    </w:p>
    <w:p w14:paraId="717819CF" w14:textId="77777777" w:rsidR="001B0A07" w:rsidRDefault="00000000">
      <w:pPr>
        <w:pStyle w:val="Heading3"/>
      </w:pPr>
      <w:r>
        <w:t>Comparative Productivity Insights</w:t>
      </w:r>
    </w:p>
    <w:p w14:paraId="278313A9" w14:textId="77777777" w:rsidR="001B0A07" w:rsidRDefault="00000000">
      <w:r>
        <w:t>• Developed Economies: 1.5%-2.5% annual productivity growth driven by digital transformation.</w:t>
      </w:r>
    </w:p>
    <w:p w14:paraId="175CF875" w14:textId="68DE2D5E" w:rsidR="001B0A07" w:rsidRDefault="00000000">
      <w:r>
        <w:t>• Emerging Markets: 2%-5% growth, but reliant on sector-specific investments.</w:t>
      </w:r>
    </w:p>
    <w:p w14:paraId="64B46F40" w14:textId="77777777" w:rsidR="001B0A07" w:rsidRDefault="00000000">
      <w:pPr>
        <w:pStyle w:val="Heading3"/>
      </w:pPr>
      <w:r>
        <w:t>Strategic Implications</w:t>
      </w:r>
    </w:p>
    <w:p w14:paraId="791CE6C7" w14:textId="77777777" w:rsidR="001B0A07" w:rsidRDefault="00000000">
      <w:r>
        <w:t>• Investment in AI and automation is crucial for sustained productivity growth.</w:t>
      </w:r>
    </w:p>
    <w:p w14:paraId="64CE5C26" w14:textId="77777777" w:rsidR="001B0A07" w:rsidRDefault="00000000">
      <w:r>
        <w:t>• Workforce development through training and education enhances efficiency.</w:t>
      </w:r>
    </w:p>
    <w:p w14:paraId="5BB20162" w14:textId="77777777" w:rsidR="001B0A07" w:rsidRDefault="00000000">
      <w:r>
        <w:t>• Businesses need agile strategies to adapt to economic fluctuations.</w:t>
      </w:r>
    </w:p>
    <w:p w14:paraId="34B91F7C" w14:textId="77777777" w:rsidR="00755A94" w:rsidRDefault="00755A94" w:rsidP="00755A94">
      <w:pPr>
        <w:rPr>
          <w:b/>
          <w:bCs/>
        </w:rPr>
      </w:pPr>
    </w:p>
    <w:p w14:paraId="4ED189AD" w14:textId="77777777" w:rsidR="00755A94" w:rsidRDefault="00755A94" w:rsidP="00755A94">
      <w:pPr>
        <w:rPr>
          <w:b/>
          <w:bCs/>
        </w:rPr>
      </w:pPr>
    </w:p>
    <w:p w14:paraId="054AB09D" w14:textId="77777777" w:rsidR="00755A94" w:rsidRDefault="00755A94" w:rsidP="00755A94">
      <w:pPr>
        <w:rPr>
          <w:b/>
          <w:bCs/>
        </w:rPr>
      </w:pPr>
    </w:p>
    <w:p w14:paraId="25FA69B8" w14:textId="579B8BB0" w:rsidR="00755A94" w:rsidRPr="00755A94" w:rsidRDefault="00755A94" w:rsidP="00755A94">
      <w:pPr>
        <w:pStyle w:val="Heading3"/>
      </w:pPr>
      <w:r w:rsidRPr="00755A94">
        <w:t>Economic Components for Three Foreign Nations</w:t>
      </w:r>
    </w:p>
    <w:tbl>
      <w:tblPr>
        <w:tblStyle w:val="TableGrid"/>
        <w:tblW w:w="0" w:type="auto"/>
        <w:tblLook w:val="04A0" w:firstRow="1" w:lastRow="0" w:firstColumn="1" w:lastColumn="0" w:noHBand="0" w:noVBand="1"/>
      </w:tblPr>
      <w:tblGrid>
        <w:gridCol w:w="2157"/>
        <w:gridCol w:w="2157"/>
        <w:gridCol w:w="2158"/>
        <w:gridCol w:w="2158"/>
      </w:tblGrid>
      <w:tr w:rsidR="00755A94" w:rsidRPr="00755A94" w14:paraId="49BB2452" w14:textId="77777777" w:rsidTr="00FC7ECB">
        <w:tc>
          <w:tcPr>
            <w:tcW w:w="2157" w:type="dxa"/>
            <w:tcBorders>
              <w:top w:val="single" w:sz="4" w:space="0" w:color="auto"/>
              <w:left w:val="single" w:sz="4" w:space="0" w:color="auto"/>
              <w:bottom w:val="single" w:sz="4" w:space="0" w:color="auto"/>
              <w:right w:val="single" w:sz="4" w:space="0" w:color="auto"/>
            </w:tcBorders>
            <w:hideMark/>
          </w:tcPr>
          <w:p w14:paraId="12B671C4" w14:textId="77777777" w:rsidR="00755A94" w:rsidRPr="00755A94" w:rsidRDefault="00755A94" w:rsidP="00755A94">
            <w:pPr>
              <w:spacing w:after="200" w:line="276" w:lineRule="auto"/>
            </w:pPr>
            <w:r w:rsidRPr="00755A94">
              <w:t>Country</w:t>
            </w:r>
          </w:p>
        </w:tc>
        <w:tc>
          <w:tcPr>
            <w:tcW w:w="2157" w:type="dxa"/>
            <w:tcBorders>
              <w:top w:val="single" w:sz="4" w:space="0" w:color="auto"/>
              <w:left w:val="single" w:sz="4" w:space="0" w:color="auto"/>
              <w:bottom w:val="single" w:sz="4" w:space="0" w:color="auto"/>
              <w:right w:val="single" w:sz="4" w:space="0" w:color="auto"/>
            </w:tcBorders>
            <w:hideMark/>
          </w:tcPr>
          <w:p w14:paraId="7C372F56" w14:textId="77777777" w:rsidR="00755A94" w:rsidRPr="00755A94" w:rsidRDefault="00755A94" w:rsidP="00755A94">
            <w:pPr>
              <w:spacing w:after="200" w:line="276" w:lineRule="auto"/>
            </w:pPr>
            <w:r w:rsidRPr="00755A94">
              <w:t>GDP Growth (Next 3 Years)</w:t>
            </w:r>
          </w:p>
        </w:tc>
        <w:tc>
          <w:tcPr>
            <w:tcW w:w="2158" w:type="dxa"/>
            <w:tcBorders>
              <w:top w:val="single" w:sz="4" w:space="0" w:color="auto"/>
              <w:left w:val="single" w:sz="4" w:space="0" w:color="auto"/>
              <w:bottom w:val="single" w:sz="4" w:space="0" w:color="auto"/>
              <w:right w:val="single" w:sz="4" w:space="0" w:color="auto"/>
            </w:tcBorders>
            <w:hideMark/>
          </w:tcPr>
          <w:p w14:paraId="6C1FECDA" w14:textId="77777777" w:rsidR="00755A94" w:rsidRPr="00755A94" w:rsidRDefault="00755A94" w:rsidP="00755A94">
            <w:pPr>
              <w:spacing w:after="200" w:line="276" w:lineRule="auto"/>
            </w:pPr>
            <w:r w:rsidRPr="00755A94">
              <w:t>Financial Segment Profitability</w:t>
            </w:r>
          </w:p>
        </w:tc>
        <w:tc>
          <w:tcPr>
            <w:tcW w:w="2158" w:type="dxa"/>
            <w:tcBorders>
              <w:top w:val="single" w:sz="4" w:space="0" w:color="auto"/>
              <w:left w:val="single" w:sz="4" w:space="0" w:color="auto"/>
              <w:bottom w:val="single" w:sz="4" w:space="0" w:color="auto"/>
              <w:right w:val="single" w:sz="4" w:space="0" w:color="auto"/>
            </w:tcBorders>
            <w:hideMark/>
          </w:tcPr>
          <w:p w14:paraId="1FCE55B8" w14:textId="77777777" w:rsidR="00755A94" w:rsidRPr="00755A94" w:rsidRDefault="00755A94" w:rsidP="00755A94">
            <w:pPr>
              <w:spacing w:after="200" w:line="276" w:lineRule="auto"/>
            </w:pPr>
            <w:r w:rsidRPr="00755A94">
              <w:t>Cost Structure &amp; Distribution</w:t>
            </w:r>
          </w:p>
        </w:tc>
      </w:tr>
      <w:tr w:rsidR="00755A94" w:rsidRPr="00755A94" w14:paraId="4C411FA9" w14:textId="77777777" w:rsidTr="00FC7ECB">
        <w:tc>
          <w:tcPr>
            <w:tcW w:w="2157" w:type="dxa"/>
            <w:tcBorders>
              <w:top w:val="single" w:sz="4" w:space="0" w:color="auto"/>
              <w:left w:val="single" w:sz="4" w:space="0" w:color="auto"/>
              <w:bottom w:val="single" w:sz="4" w:space="0" w:color="auto"/>
              <w:right w:val="single" w:sz="4" w:space="0" w:color="auto"/>
            </w:tcBorders>
            <w:hideMark/>
          </w:tcPr>
          <w:p w14:paraId="2B6D4BA3" w14:textId="77777777" w:rsidR="00755A94" w:rsidRPr="00755A94" w:rsidRDefault="00755A94" w:rsidP="00755A94">
            <w:pPr>
              <w:spacing w:after="200" w:line="276" w:lineRule="auto"/>
            </w:pPr>
            <w:r w:rsidRPr="00755A94">
              <w:t>Switzerland</w:t>
            </w:r>
          </w:p>
        </w:tc>
        <w:tc>
          <w:tcPr>
            <w:tcW w:w="2157" w:type="dxa"/>
            <w:tcBorders>
              <w:top w:val="single" w:sz="4" w:space="0" w:color="auto"/>
              <w:left w:val="single" w:sz="4" w:space="0" w:color="auto"/>
              <w:bottom w:val="single" w:sz="4" w:space="0" w:color="auto"/>
              <w:right w:val="single" w:sz="4" w:space="0" w:color="auto"/>
            </w:tcBorders>
            <w:hideMark/>
          </w:tcPr>
          <w:p w14:paraId="1AFB6AA2" w14:textId="77777777" w:rsidR="00755A94" w:rsidRPr="00755A94" w:rsidRDefault="00755A94" w:rsidP="00755A94">
            <w:pPr>
              <w:spacing w:after="200" w:line="276" w:lineRule="auto"/>
            </w:pPr>
            <w:r w:rsidRPr="00755A94">
              <w:t>1.2%</w:t>
            </w:r>
          </w:p>
        </w:tc>
        <w:tc>
          <w:tcPr>
            <w:tcW w:w="2158" w:type="dxa"/>
            <w:tcBorders>
              <w:top w:val="single" w:sz="4" w:space="0" w:color="auto"/>
              <w:left w:val="single" w:sz="4" w:space="0" w:color="auto"/>
              <w:bottom w:val="single" w:sz="4" w:space="0" w:color="auto"/>
              <w:right w:val="single" w:sz="4" w:space="0" w:color="auto"/>
            </w:tcBorders>
            <w:hideMark/>
          </w:tcPr>
          <w:p w14:paraId="3A368817" w14:textId="77777777" w:rsidR="00755A94" w:rsidRPr="00755A94" w:rsidRDefault="00755A94" w:rsidP="00755A94">
            <w:pPr>
              <w:spacing w:after="200" w:line="276" w:lineRule="auto"/>
            </w:pPr>
            <w:r w:rsidRPr="00755A94">
              <w:t>Stable, biotech investments</w:t>
            </w:r>
          </w:p>
        </w:tc>
        <w:tc>
          <w:tcPr>
            <w:tcW w:w="2158" w:type="dxa"/>
            <w:tcBorders>
              <w:top w:val="single" w:sz="4" w:space="0" w:color="auto"/>
              <w:left w:val="single" w:sz="4" w:space="0" w:color="auto"/>
              <w:bottom w:val="single" w:sz="4" w:space="0" w:color="auto"/>
              <w:right w:val="single" w:sz="4" w:space="0" w:color="auto"/>
            </w:tcBorders>
            <w:hideMark/>
          </w:tcPr>
          <w:p w14:paraId="590FBFE2" w14:textId="77777777" w:rsidR="00755A94" w:rsidRPr="00755A94" w:rsidRDefault="00755A94" w:rsidP="00755A94">
            <w:pPr>
              <w:spacing w:after="200" w:line="276" w:lineRule="auto"/>
            </w:pPr>
            <w:r w:rsidRPr="00755A94">
              <w:t>High R&amp;D and labor costs</w:t>
            </w:r>
          </w:p>
        </w:tc>
      </w:tr>
      <w:tr w:rsidR="00755A94" w:rsidRPr="00755A94" w14:paraId="1763593A" w14:textId="77777777" w:rsidTr="00FC7ECB">
        <w:tc>
          <w:tcPr>
            <w:tcW w:w="2157" w:type="dxa"/>
            <w:tcBorders>
              <w:top w:val="single" w:sz="4" w:space="0" w:color="auto"/>
              <w:left w:val="single" w:sz="4" w:space="0" w:color="auto"/>
              <w:bottom w:val="single" w:sz="4" w:space="0" w:color="auto"/>
              <w:right w:val="single" w:sz="4" w:space="0" w:color="auto"/>
            </w:tcBorders>
            <w:hideMark/>
          </w:tcPr>
          <w:p w14:paraId="79687912" w14:textId="77777777" w:rsidR="00755A94" w:rsidRPr="00755A94" w:rsidRDefault="00755A94" w:rsidP="00755A94">
            <w:pPr>
              <w:spacing w:after="200" w:line="276" w:lineRule="auto"/>
            </w:pPr>
            <w:r w:rsidRPr="00755A94">
              <w:t>Ireland</w:t>
            </w:r>
          </w:p>
        </w:tc>
        <w:tc>
          <w:tcPr>
            <w:tcW w:w="2157" w:type="dxa"/>
            <w:tcBorders>
              <w:top w:val="single" w:sz="4" w:space="0" w:color="auto"/>
              <w:left w:val="single" w:sz="4" w:space="0" w:color="auto"/>
              <w:bottom w:val="single" w:sz="4" w:space="0" w:color="auto"/>
              <w:right w:val="single" w:sz="4" w:space="0" w:color="auto"/>
            </w:tcBorders>
            <w:hideMark/>
          </w:tcPr>
          <w:p w14:paraId="37F9B036" w14:textId="77777777" w:rsidR="00755A94" w:rsidRPr="00755A94" w:rsidRDefault="00755A94" w:rsidP="00755A94">
            <w:pPr>
              <w:spacing w:after="200" w:line="276" w:lineRule="auto"/>
            </w:pPr>
            <w:r w:rsidRPr="00755A94">
              <w:t>3.0%</w:t>
            </w:r>
          </w:p>
        </w:tc>
        <w:tc>
          <w:tcPr>
            <w:tcW w:w="2158" w:type="dxa"/>
            <w:tcBorders>
              <w:top w:val="single" w:sz="4" w:space="0" w:color="auto"/>
              <w:left w:val="single" w:sz="4" w:space="0" w:color="auto"/>
              <w:bottom w:val="single" w:sz="4" w:space="0" w:color="auto"/>
              <w:right w:val="single" w:sz="4" w:space="0" w:color="auto"/>
            </w:tcBorders>
            <w:hideMark/>
          </w:tcPr>
          <w:p w14:paraId="00E9C716" w14:textId="77777777" w:rsidR="00755A94" w:rsidRPr="00755A94" w:rsidRDefault="00755A94" w:rsidP="00755A94">
            <w:pPr>
              <w:spacing w:after="200" w:line="276" w:lineRule="auto"/>
            </w:pPr>
            <w:r w:rsidRPr="00755A94">
              <w:t>Strong due to corporate tax benefits</w:t>
            </w:r>
          </w:p>
        </w:tc>
        <w:tc>
          <w:tcPr>
            <w:tcW w:w="2158" w:type="dxa"/>
            <w:tcBorders>
              <w:top w:val="single" w:sz="4" w:space="0" w:color="auto"/>
              <w:left w:val="single" w:sz="4" w:space="0" w:color="auto"/>
              <w:bottom w:val="single" w:sz="4" w:space="0" w:color="auto"/>
              <w:right w:val="single" w:sz="4" w:space="0" w:color="auto"/>
            </w:tcBorders>
            <w:hideMark/>
          </w:tcPr>
          <w:p w14:paraId="238744B3" w14:textId="77777777" w:rsidR="00755A94" w:rsidRPr="00755A94" w:rsidRDefault="00755A94" w:rsidP="00755A94">
            <w:pPr>
              <w:spacing w:after="200" w:line="276" w:lineRule="auto"/>
            </w:pPr>
            <w:r w:rsidRPr="00755A94">
              <w:t>Moderate costs, EU trade hub</w:t>
            </w:r>
          </w:p>
        </w:tc>
      </w:tr>
    </w:tbl>
    <w:p w14:paraId="29FDE7A6" w14:textId="77777777" w:rsidR="00755A94" w:rsidRDefault="00755A94"/>
    <w:p w14:paraId="29B0BAC5" w14:textId="690C6CAF" w:rsidR="00586EC8" w:rsidRPr="00586EC8" w:rsidRDefault="005D529C" w:rsidP="00586EC8">
      <w:pPr>
        <w:pStyle w:val="Heading2"/>
        <w:rPr>
          <w:sz w:val="28"/>
          <w:szCs w:val="28"/>
        </w:rPr>
      </w:pPr>
      <w:r>
        <w:rPr>
          <w:sz w:val="28"/>
          <w:szCs w:val="28"/>
        </w:rPr>
        <w:t>3.</w:t>
      </w:r>
      <w:r w:rsidR="00586EC8" w:rsidRPr="00586EC8">
        <w:rPr>
          <w:sz w:val="28"/>
          <w:szCs w:val="28"/>
        </w:rPr>
        <w:t xml:space="preserve">National Debt Analysis </w:t>
      </w:r>
    </w:p>
    <w:p w14:paraId="7BF9F18D" w14:textId="77777777" w:rsidR="00586EC8" w:rsidRPr="00EF6766" w:rsidRDefault="00586EC8" w:rsidP="00586EC8">
      <w:pPr>
        <w:pStyle w:val="Heading2"/>
        <w:rPr>
          <w:sz w:val="22"/>
          <w:szCs w:val="22"/>
        </w:rPr>
      </w:pPr>
      <w:r w:rsidRPr="00EF6766">
        <w:rPr>
          <w:sz w:val="22"/>
          <w:szCs w:val="22"/>
        </w:rPr>
        <w:t>Introduction</w:t>
      </w:r>
    </w:p>
    <w:p w14:paraId="3EB4B432" w14:textId="77777777" w:rsidR="00586EC8" w:rsidRPr="00586EC8" w:rsidRDefault="00586EC8" w:rsidP="00586EC8">
      <w:r w:rsidRPr="00586EC8">
        <w:t>National debt is a crucial macroeconomic factor that influences a country's economic stability, interest rates, and business environment. For multinational pharmaceutical companies like Gilead Sciences, Regeneron, and Vertex Pharmaceuticals, understanding the national debt dynamics in Switzerland and Ireland is essential for strategic financial planning and investment decisions. This analysis examines national debt trends in these countries and assesses their potential impacts on these companies.</w:t>
      </w:r>
    </w:p>
    <w:p w14:paraId="3571B350" w14:textId="77777777" w:rsidR="00586EC8" w:rsidRPr="00EF6766" w:rsidRDefault="00586EC8" w:rsidP="00586EC8">
      <w:pPr>
        <w:pStyle w:val="Heading2"/>
        <w:rPr>
          <w:sz w:val="22"/>
          <w:szCs w:val="22"/>
        </w:rPr>
      </w:pPr>
      <w:r w:rsidRPr="00EF6766">
        <w:rPr>
          <w:sz w:val="22"/>
          <w:szCs w:val="22"/>
        </w:rPr>
        <w:t>National Debt in Switzerland and Ireland</w:t>
      </w:r>
    </w:p>
    <w:p w14:paraId="65F8D309" w14:textId="77777777" w:rsidR="00586EC8" w:rsidRPr="00EF6766" w:rsidRDefault="00586EC8" w:rsidP="00586EC8">
      <w:pPr>
        <w:pStyle w:val="Heading2"/>
        <w:rPr>
          <w:sz w:val="22"/>
          <w:szCs w:val="22"/>
        </w:rPr>
      </w:pPr>
      <w:r w:rsidRPr="00EF6766">
        <w:rPr>
          <w:sz w:val="22"/>
          <w:szCs w:val="22"/>
        </w:rPr>
        <w:t>Switzerland</w:t>
      </w:r>
    </w:p>
    <w:p w14:paraId="15C4EB58" w14:textId="77777777" w:rsidR="00586EC8" w:rsidRPr="00586EC8" w:rsidRDefault="00586EC8" w:rsidP="00586EC8">
      <w:r w:rsidRPr="00586EC8">
        <w:t>Switzerland maintains a stable public debt ratio, approximately 40-45% of GDP. This fiscal prudence provides a favorable economic environment for businesses, as it suggests lower future tax burdens and stable public finances. Pharmaceutical companies benefit from this stability, which supports sustained investment and operational planning.</w:t>
      </w:r>
    </w:p>
    <w:p w14:paraId="3E855819" w14:textId="77777777" w:rsidR="00586EC8" w:rsidRPr="00EF6766" w:rsidRDefault="00586EC8" w:rsidP="00586EC8">
      <w:pPr>
        <w:pStyle w:val="Heading2"/>
        <w:rPr>
          <w:sz w:val="22"/>
          <w:szCs w:val="22"/>
        </w:rPr>
      </w:pPr>
      <w:r w:rsidRPr="00EF6766">
        <w:rPr>
          <w:sz w:val="22"/>
          <w:szCs w:val="22"/>
        </w:rPr>
        <w:t>Ireland</w:t>
      </w:r>
    </w:p>
    <w:p w14:paraId="1C919BB7" w14:textId="77777777" w:rsidR="00586EC8" w:rsidRDefault="00586EC8" w:rsidP="00586EC8">
      <w:r w:rsidRPr="00586EC8">
        <w:t>Ireland has transformed its economy remarkably since the global financial crisis, achieving significant budget surpluses in recent years. In 2024, the government reported a surplus of €8.6 billion, attributed to robust tax revenues from multinational corporations, including those in the pharmaceutical sector. This fiscal health allows for potential reinvestment into infrastructure and public services, indirectly benefiting companies through improved operating conditions.</w:t>
      </w:r>
    </w:p>
    <w:p w14:paraId="203E4931" w14:textId="77777777" w:rsidR="00610CDB" w:rsidRPr="00610CDB" w:rsidRDefault="00610CDB" w:rsidP="00610CDB">
      <w:pPr>
        <w:pStyle w:val="Heading2"/>
        <w:rPr>
          <w:sz w:val="22"/>
          <w:szCs w:val="22"/>
        </w:rPr>
      </w:pPr>
      <w:r w:rsidRPr="00610CDB">
        <w:rPr>
          <w:sz w:val="22"/>
          <w:szCs w:val="22"/>
        </w:rPr>
        <w:lastRenderedPageBreak/>
        <w:t>Measuring Nations’ Income &amp; Cost of Living</w:t>
      </w:r>
    </w:p>
    <w:p w14:paraId="43E20094" w14:textId="40A84F43" w:rsidR="00610CDB" w:rsidRPr="00586EC8" w:rsidRDefault="00610CDB" w:rsidP="00586EC8">
      <w:r w:rsidRPr="00610CDB">
        <w:t>• Switzerland: High GDP per capita ($90,000), strong purchasing power but expensive labor.</w:t>
      </w:r>
      <w:r w:rsidRPr="00610CDB">
        <w:br/>
        <w:t>• Ireland: Moderate GDP per capita ($65,000), strong economic growth, corporate tax benefits.</w:t>
      </w:r>
    </w:p>
    <w:p w14:paraId="190F6CC9" w14:textId="77777777" w:rsidR="00586EC8" w:rsidRPr="00586EC8" w:rsidRDefault="00586EC8" w:rsidP="00586EC8">
      <w:pPr>
        <w:pStyle w:val="Heading2"/>
      </w:pPr>
      <w:r w:rsidRPr="00586EC8">
        <w:t>Conclusion</w:t>
      </w:r>
    </w:p>
    <w:p w14:paraId="61BDB8D7" w14:textId="4669012C" w:rsidR="0069011D" w:rsidRDefault="00586EC8" w:rsidP="0069011D">
      <w:r w:rsidRPr="00586EC8">
        <w:t>Switzerland’s fiscal stability offers a predictable business environment, while Ireland’s budget surpluses drive growth but require adaptive financial planning. Gilead Sciences, Regeneron, and Vertex Pharmaceuticals can optimize profitability by aligning with these macroeconomic conditions. Stable inflation and high productivity are crucial for long-term success. Switzerland ensures financial security, while Ireland demands agility in operations. Leveraging technology, automation, and workforce development enhances efficiency. Monitoring economic trends and adapting strategies will sustain competitive advantage in global markets.</w:t>
      </w:r>
    </w:p>
    <w:p w14:paraId="628D67F3" w14:textId="77777777" w:rsidR="00AC2F9A" w:rsidRDefault="00AC2F9A">
      <w:pPr>
        <w:pStyle w:val="Heading2"/>
      </w:pPr>
    </w:p>
    <w:p w14:paraId="6B5C40DA" w14:textId="77777777" w:rsidR="00AC2F9A" w:rsidRDefault="00AC2F9A">
      <w:pPr>
        <w:pStyle w:val="Heading2"/>
      </w:pPr>
    </w:p>
    <w:p w14:paraId="6739AB98" w14:textId="77777777" w:rsidR="00AC2F9A" w:rsidRDefault="00AC2F9A">
      <w:pPr>
        <w:pStyle w:val="Heading2"/>
      </w:pPr>
    </w:p>
    <w:p w14:paraId="75D16C97" w14:textId="77777777" w:rsidR="00AC2F9A" w:rsidRDefault="00AC2F9A">
      <w:pPr>
        <w:pStyle w:val="Heading2"/>
      </w:pPr>
    </w:p>
    <w:p w14:paraId="113448BC" w14:textId="77777777" w:rsidR="00AC2F9A" w:rsidRDefault="00AC2F9A">
      <w:pPr>
        <w:pStyle w:val="Heading2"/>
      </w:pPr>
    </w:p>
    <w:p w14:paraId="60EF9EF5" w14:textId="77777777" w:rsidR="00AC2F9A" w:rsidRDefault="00AC2F9A" w:rsidP="00AC2F9A"/>
    <w:p w14:paraId="3FA1F3C2" w14:textId="77777777" w:rsidR="00AC2F9A" w:rsidRDefault="00AC2F9A" w:rsidP="00AC2F9A"/>
    <w:p w14:paraId="0657B730" w14:textId="77777777" w:rsidR="00AC2F9A" w:rsidRDefault="00AC2F9A" w:rsidP="00AC2F9A"/>
    <w:p w14:paraId="2AB16BE4" w14:textId="77777777" w:rsidR="00AC2F9A" w:rsidRDefault="00AC2F9A" w:rsidP="00AC2F9A"/>
    <w:p w14:paraId="4739A12E" w14:textId="77777777" w:rsidR="00AC2F9A" w:rsidRDefault="00AC2F9A" w:rsidP="00AC2F9A"/>
    <w:p w14:paraId="75A16D46" w14:textId="77777777" w:rsidR="00AC2F9A" w:rsidRDefault="00AC2F9A" w:rsidP="00AC2F9A"/>
    <w:p w14:paraId="483CFB96" w14:textId="77777777" w:rsidR="00AC2F9A" w:rsidRDefault="00AC2F9A" w:rsidP="00AC2F9A"/>
    <w:p w14:paraId="36F90CAA" w14:textId="77777777" w:rsidR="00AC2F9A" w:rsidRDefault="00AC2F9A" w:rsidP="00AC2F9A"/>
    <w:p w14:paraId="232FF91C" w14:textId="77777777" w:rsidR="00AC2F9A" w:rsidRDefault="00AC2F9A" w:rsidP="00AC2F9A"/>
    <w:p w14:paraId="48B196D7" w14:textId="77777777" w:rsidR="00AC2F9A" w:rsidRDefault="00AC2F9A" w:rsidP="00AC2F9A"/>
    <w:p w14:paraId="47201E9C" w14:textId="77777777" w:rsidR="00AC2F9A" w:rsidRDefault="00AC2F9A" w:rsidP="00AC2F9A"/>
    <w:p w14:paraId="2FDFB42F" w14:textId="3478968C" w:rsidR="001B0A07" w:rsidRPr="00AC2F9A" w:rsidRDefault="00000000" w:rsidP="00AC2F9A">
      <w:pPr>
        <w:pStyle w:val="Heading2"/>
        <w:jc w:val="center"/>
        <w:rPr>
          <w:sz w:val="40"/>
          <w:szCs w:val="40"/>
        </w:rPr>
      </w:pPr>
      <w:r w:rsidRPr="00AC2F9A">
        <w:rPr>
          <w:sz w:val="40"/>
          <w:szCs w:val="40"/>
        </w:rPr>
        <w:lastRenderedPageBreak/>
        <w:t>References</w:t>
      </w:r>
    </w:p>
    <w:p w14:paraId="7E3053B8" w14:textId="77777777" w:rsidR="001E3152" w:rsidRPr="001E3152" w:rsidRDefault="001E3152" w:rsidP="00EF6766">
      <w:pPr>
        <w:spacing w:after="120"/>
      </w:pPr>
      <w:r w:rsidRPr="001E3152">
        <w:t>Journal of Health Economics, &amp; International Journal of Pharmaceutical Sciences. (n.d.). Various articles on economic trends and pharmaceutical industry analysis.</w:t>
      </w:r>
    </w:p>
    <w:p w14:paraId="1F08B0C2" w14:textId="283A0725" w:rsidR="001E3152" w:rsidRPr="001E3152" w:rsidRDefault="001E3152" w:rsidP="00EF6766">
      <w:pPr>
        <w:spacing w:after="120"/>
        <w:rPr>
          <w:rFonts w:asciiTheme="majorHAnsi" w:hAnsiTheme="majorHAnsi" w:cstheme="majorHAnsi"/>
        </w:rPr>
      </w:pPr>
      <w:r w:rsidRPr="001E3152">
        <w:rPr>
          <w:rFonts w:asciiTheme="majorHAnsi" w:hAnsiTheme="majorHAnsi" w:cstheme="majorHAnsi"/>
        </w:rPr>
        <w:t xml:space="preserve">World Bank, &amp; Organization for Economic Co-operation and Development (OECD). (n.d.). </w:t>
      </w:r>
      <w:r w:rsidRPr="001E3152">
        <w:rPr>
          <w:rFonts w:asciiTheme="majorHAnsi" w:hAnsiTheme="majorHAnsi" w:cstheme="majorHAnsi"/>
          <w:i/>
          <w:iCs/>
        </w:rPr>
        <w:t>Reports on inflation and productivity trends</w:t>
      </w:r>
      <w:r w:rsidRPr="001E3152">
        <w:rPr>
          <w:rFonts w:asciiTheme="majorHAnsi" w:hAnsiTheme="majorHAnsi" w:cstheme="majorHAnsi"/>
        </w:rPr>
        <w:t xml:space="preserve">. Retrieved from </w:t>
      </w:r>
      <w:hyperlink r:id="rId8" w:tgtFrame="_new" w:history="1">
        <w:r w:rsidRPr="001E3152">
          <w:rPr>
            <w:rStyle w:val="Hyperlink"/>
            <w:rFonts w:asciiTheme="majorHAnsi" w:hAnsiTheme="majorHAnsi" w:cstheme="majorHAnsi"/>
          </w:rPr>
          <w:t>World Bank Website</w:t>
        </w:r>
      </w:hyperlink>
      <w:r w:rsidRPr="001E3152">
        <w:rPr>
          <w:rFonts w:asciiTheme="majorHAnsi" w:hAnsiTheme="majorHAnsi" w:cstheme="majorHAnsi"/>
        </w:rPr>
        <w:t xml:space="preserve"> and </w:t>
      </w:r>
      <w:hyperlink r:id="rId9" w:tgtFrame="_new" w:history="1">
        <w:r w:rsidRPr="001E3152">
          <w:rPr>
            <w:rStyle w:val="Hyperlink"/>
            <w:rFonts w:asciiTheme="majorHAnsi" w:hAnsiTheme="majorHAnsi" w:cstheme="majorHAnsi"/>
          </w:rPr>
          <w:t>OECD Website</w:t>
        </w:r>
      </w:hyperlink>
    </w:p>
    <w:p w14:paraId="2B71C025" w14:textId="77777777" w:rsidR="001E3152" w:rsidRPr="001E3152" w:rsidRDefault="001E3152" w:rsidP="00EF6766">
      <w:pPr>
        <w:spacing w:after="120"/>
        <w:rPr>
          <w:rFonts w:asciiTheme="majorHAnsi" w:hAnsiTheme="majorHAnsi" w:cstheme="majorHAnsi"/>
        </w:rPr>
      </w:pPr>
      <w:r w:rsidRPr="001E3152">
        <w:rPr>
          <w:rFonts w:asciiTheme="majorHAnsi" w:hAnsiTheme="majorHAnsi" w:cstheme="majorHAnsi"/>
        </w:rPr>
        <w:t xml:space="preserve">Swiss Federal Statistics Office, &amp; Ireland’s Central Statistics Office. (n.d.). </w:t>
      </w:r>
      <w:r w:rsidRPr="001E3152">
        <w:rPr>
          <w:rFonts w:asciiTheme="majorHAnsi" w:hAnsiTheme="majorHAnsi" w:cstheme="majorHAnsi"/>
          <w:i/>
          <w:iCs/>
        </w:rPr>
        <w:t>Macroeconomic indicators and statistical analysis reports</w:t>
      </w:r>
      <w:r w:rsidRPr="001E3152">
        <w:rPr>
          <w:rFonts w:asciiTheme="majorHAnsi" w:hAnsiTheme="majorHAnsi" w:cstheme="majorHAnsi"/>
        </w:rPr>
        <w:t xml:space="preserve">. Retrieved from Swiss Federal Statistics Office and </w:t>
      </w:r>
      <w:hyperlink r:id="rId10" w:tgtFrame="_new" w:history="1">
        <w:r w:rsidRPr="001E3152">
          <w:rPr>
            <w:rStyle w:val="Hyperlink"/>
            <w:rFonts w:asciiTheme="majorHAnsi" w:hAnsiTheme="majorHAnsi" w:cstheme="majorHAnsi"/>
          </w:rPr>
          <w:t>Ireland’s CSO</w:t>
        </w:r>
      </w:hyperlink>
    </w:p>
    <w:p w14:paraId="45E511B9" w14:textId="77777777" w:rsidR="001E3152" w:rsidRPr="001E3152" w:rsidRDefault="001E3152" w:rsidP="00EF6766">
      <w:pPr>
        <w:spacing w:after="120"/>
        <w:rPr>
          <w:rFonts w:asciiTheme="majorHAnsi" w:hAnsiTheme="majorHAnsi" w:cstheme="majorHAnsi"/>
        </w:rPr>
      </w:pPr>
      <w:r w:rsidRPr="001E3152">
        <w:rPr>
          <w:rFonts w:asciiTheme="majorHAnsi" w:hAnsiTheme="majorHAnsi" w:cstheme="majorHAnsi"/>
        </w:rPr>
        <w:t xml:space="preserve">McKinsey &amp; Company, &amp; Deloitte. (n.d.). </w:t>
      </w:r>
      <w:r w:rsidRPr="001E3152">
        <w:rPr>
          <w:rFonts w:asciiTheme="majorHAnsi" w:hAnsiTheme="majorHAnsi" w:cstheme="majorHAnsi"/>
          <w:i/>
          <w:iCs/>
        </w:rPr>
        <w:t>Industry reports on productivity factors and economic performance</w:t>
      </w:r>
      <w:r w:rsidRPr="001E3152">
        <w:rPr>
          <w:rFonts w:asciiTheme="majorHAnsi" w:hAnsiTheme="majorHAnsi" w:cstheme="majorHAnsi"/>
        </w:rPr>
        <w:t xml:space="preserve">. Retrieved from </w:t>
      </w:r>
      <w:hyperlink r:id="rId11" w:tgtFrame="_new" w:history="1">
        <w:r w:rsidRPr="001E3152">
          <w:rPr>
            <w:rStyle w:val="Hyperlink"/>
            <w:rFonts w:asciiTheme="majorHAnsi" w:hAnsiTheme="majorHAnsi" w:cstheme="majorHAnsi"/>
          </w:rPr>
          <w:t>McKinsey &amp; Company</w:t>
        </w:r>
      </w:hyperlink>
      <w:r w:rsidRPr="001E3152">
        <w:rPr>
          <w:rFonts w:asciiTheme="majorHAnsi" w:hAnsiTheme="majorHAnsi" w:cstheme="majorHAnsi"/>
        </w:rPr>
        <w:t xml:space="preserve"> and </w:t>
      </w:r>
      <w:hyperlink r:id="rId12" w:tgtFrame="_new" w:history="1">
        <w:r w:rsidRPr="001E3152">
          <w:rPr>
            <w:rStyle w:val="Hyperlink"/>
            <w:rFonts w:asciiTheme="majorHAnsi" w:hAnsiTheme="majorHAnsi" w:cstheme="majorHAnsi"/>
          </w:rPr>
          <w:t>Deloitte</w:t>
        </w:r>
      </w:hyperlink>
    </w:p>
    <w:p w14:paraId="7FE5CE94" w14:textId="77777777" w:rsidR="001E3152" w:rsidRPr="001E3152" w:rsidRDefault="001E3152" w:rsidP="00EF6766">
      <w:pPr>
        <w:spacing w:after="120"/>
        <w:rPr>
          <w:rFonts w:asciiTheme="majorHAnsi" w:hAnsiTheme="majorHAnsi" w:cstheme="majorHAnsi"/>
        </w:rPr>
      </w:pPr>
      <w:r w:rsidRPr="001E3152">
        <w:rPr>
          <w:rFonts w:asciiTheme="majorHAnsi" w:hAnsiTheme="majorHAnsi" w:cstheme="majorHAnsi"/>
        </w:rPr>
        <w:t xml:space="preserve">Organisation for Economic Co-operation and Development (OECD), &amp; European Central Bank. (n.d.). </w:t>
      </w:r>
      <w:r w:rsidRPr="001E3152">
        <w:rPr>
          <w:rFonts w:asciiTheme="majorHAnsi" w:hAnsiTheme="majorHAnsi" w:cstheme="majorHAnsi"/>
          <w:i/>
          <w:iCs/>
        </w:rPr>
        <w:t>OECD Economic Outlook and financial data analysis</w:t>
      </w:r>
      <w:r w:rsidRPr="001E3152">
        <w:rPr>
          <w:rFonts w:asciiTheme="majorHAnsi" w:hAnsiTheme="majorHAnsi" w:cstheme="majorHAnsi"/>
        </w:rPr>
        <w:t xml:space="preserve">. Retrieved from </w:t>
      </w:r>
      <w:hyperlink r:id="rId13" w:tgtFrame="_new" w:history="1">
        <w:r w:rsidRPr="001E3152">
          <w:rPr>
            <w:rStyle w:val="Hyperlink"/>
            <w:rFonts w:asciiTheme="majorHAnsi" w:hAnsiTheme="majorHAnsi" w:cstheme="majorHAnsi"/>
          </w:rPr>
          <w:t>OECD</w:t>
        </w:r>
      </w:hyperlink>
      <w:r w:rsidRPr="001E3152">
        <w:rPr>
          <w:rFonts w:asciiTheme="majorHAnsi" w:hAnsiTheme="majorHAnsi" w:cstheme="majorHAnsi"/>
        </w:rPr>
        <w:t xml:space="preserve"> and </w:t>
      </w:r>
      <w:hyperlink r:id="rId14" w:tgtFrame="_new" w:history="1">
        <w:r w:rsidRPr="001E3152">
          <w:rPr>
            <w:rStyle w:val="Hyperlink"/>
            <w:rFonts w:asciiTheme="majorHAnsi" w:hAnsiTheme="majorHAnsi" w:cstheme="majorHAnsi"/>
          </w:rPr>
          <w:t>European Central Bank</w:t>
        </w:r>
      </w:hyperlink>
    </w:p>
    <w:p w14:paraId="2E3304F2" w14:textId="77777777" w:rsidR="001E3152" w:rsidRPr="001E3152" w:rsidRDefault="001E3152" w:rsidP="00EF6766">
      <w:pPr>
        <w:spacing w:after="120"/>
        <w:rPr>
          <w:rFonts w:asciiTheme="majorHAnsi" w:hAnsiTheme="majorHAnsi" w:cstheme="majorHAnsi"/>
        </w:rPr>
      </w:pPr>
      <w:r w:rsidRPr="001E3152">
        <w:rPr>
          <w:rFonts w:asciiTheme="majorHAnsi" w:hAnsiTheme="majorHAnsi" w:cstheme="majorHAnsi"/>
        </w:rPr>
        <w:t xml:space="preserve">Gapminder. (n.d.). </w:t>
      </w:r>
      <w:r w:rsidRPr="001E3152">
        <w:rPr>
          <w:rFonts w:asciiTheme="majorHAnsi" w:hAnsiTheme="majorHAnsi" w:cstheme="majorHAnsi"/>
          <w:i/>
          <w:iCs/>
        </w:rPr>
        <w:t>Graphical representations of inflation and productivity data</w:t>
      </w:r>
      <w:r w:rsidRPr="001E3152">
        <w:rPr>
          <w:rFonts w:asciiTheme="majorHAnsi" w:hAnsiTheme="majorHAnsi" w:cstheme="majorHAnsi"/>
        </w:rPr>
        <w:t xml:space="preserve">. Retrieved from </w:t>
      </w:r>
      <w:hyperlink r:id="rId15" w:tgtFrame="_new" w:history="1">
        <w:r w:rsidRPr="001E3152">
          <w:rPr>
            <w:rStyle w:val="Hyperlink"/>
            <w:rFonts w:asciiTheme="majorHAnsi" w:hAnsiTheme="majorHAnsi" w:cstheme="majorHAnsi"/>
          </w:rPr>
          <w:t>Gapminder</w:t>
        </w:r>
      </w:hyperlink>
    </w:p>
    <w:p w14:paraId="76517115" w14:textId="77777777" w:rsidR="001E3152" w:rsidRPr="001E3152" w:rsidRDefault="001E3152" w:rsidP="00EF6766">
      <w:pPr>
        <w:spacing w:after="120"/>
        <w:rPr>
          <w:rFonts w:asciiTheme="majorHAnsi" w:hAnsiTheme="majorHAnsi" w:cstheme="majorHAnsi"/>
        </w:rPr>
      </w:pPr>
      <w:r w:rsidRPr="001E3152">
        <w:rPr>
          <w:rFonts w:asciiTheme="majorHAnsi" w:hAnsiTheme="majorHAnsi" w:cstheme="majorHAnsi"/>
        </w:rPr>
        <w:t xml:space="preserve">World Bank, &amp; OECD. (n.d.). </w:t>
      </w:r>
      <w:r w:rsidRPr="001E3152">
        <w:rPr>
          <w:rFonts w:asciiTheme="majorHAnsi" w:hAnsiTheme="majorHAnsi" w:cstheme="majorHAnsi"/>
          <w:i/>
          <w:iCs/>
        </w:rPr>
        <w:t>Global productivity trends and economic growth reports</w:t>
      </w:r>
      <w:r w:rsidRPr="001E3152">
        <w:rPr>
          <w:rFonts w:asciiTheme="majorHAnsi" w:hAnsiTheme="majorHAnsi" w:cstheme="majorHAnsi"/>
        </w:rPr>
        <w:t xml:space="preserve">. Retrieved from </w:t>
      </w:r>
      <w:hyperlink r:id="rId16" w:tgtFrame="_new" w:history="1">
        <w:r w:rsidRPr="001E3152">
          <w:rPr>
            <w:rStyle w:val="Hyperlink"/>
            <w:rFonts w:asciiTheme="majorHAnsi" w:hAnsiTheme="majorHAnsi" w:cstheme="majorHAnsi"/>
          </w:rPr>
          <w:t>World Bank</w:t>
        </w:r>
      </w:hyperlink>
      <w:r w:rsidRPr="001E3152">
        <w:rPr>
          <w:rFonts w:asciiTheme="majorHAnsi" w:hAnsiTheme="majorHAnsi" w:cstheme="majorHAnsi"/>
        </w:rPr>
        <w:t xml:space="preserve"> and </w:t>
      </w:r>
      <w:hyperlink r:id="rId17" w:tgtFrame="_new" w:history="1">
        <w:r w:rsidRPr="001E3152">
          <w:rPr>
            <w:rStyle w:val="Hyperlink"/>
            <w:rFonts w:asciiTheme="majorHAnsi" w:hAnsiTheme="majorHAnsi" w:cstheme="majorHAnsi"/>
          </w:rPr>
          <w:t>OECD</w:t>
        </w:r>
      </w:hyperlink>
    </w:p>
    <w:p w14:paraId="68C6EA2B" w14:textId="081525E5" w:rsidR="001E3152" w:rsidRPr="001E3152" w:rsidRDefault="001E3152" w:rsidP="00EF6766">
      <w:pPr>
        <w:spacing w:after="120"/>
        <w:rPr>
          <w:rFonts w:asciiTheme="majorHAnsi" w:hAnsiTheme="majorHAnsi" w:cstheme="majorHAnsi"/>
        </w:rPr>
      </w:pPr>
      <w:r w:rsidRPr="001E3152">
        <w:rPr>
          <w:rFonts w:asciiTheme="majorHAnsi" w:hAnsiTheme="majorHAnsi" w:cstheme="majorHAnsi"/>
        </w:rPr>
        <w:t xml:space="preserve">Journal of Economic Perspectives. (n.d.). </w:t>
      </w:r>
      <w:r w:rsidRPr="001E3152">
        <w:rPr>
          <w:rFonts w:asciiTheme="majorHAnsi" w:hAnsiTheme="majorHAnsi" w:cstheme="majorHAnsi"/>
          <w:i/>
          <w:iCs/>
        </w:rPr>
        <w:t>Research articles on productivity factors and economic performance</w:t>
      </w:r>
      <w:r w:rsidRPr="001E3152">
        <w:rPr>
          <w:rFonts w:asciiTheme="majorHAnsi" w:hAnsiTheme="majorHAnsi" w:cstheme="majorHAnsi"/>
        </w:rPr>
        <w:t>. Retrieved from American Economic Association.</w:t>
      </w:r>
    </w:p>
    <w:p w14:paraId="79C663FE" w14:textId="77777777" w:rsidR="001E3152" w:rsidRDefault="001E3152"/>
    <w:sectPr w:rsidR="001E3152"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FDA294" w14:textId="77777777" w:rsidR="00DA1AC8" w:rsidRDefault="00DA1AC8" w:rsidP="00586EC8">
      <w:pPr>
        <w:spacing w:after="0" w:line="240" w:lineRule="auto"/>
      </w:pPr>
      <w:r>
        <w:separator/>
      </w:r>
    </w:p>
  </w:endnote>
  <w:endnote w:type="continuationSeparator" w:id="0">
    <w:p w14:paraId="06F97C41" w14:textId="77777777" w:rsidR="00DA1AC8" w:rsidRDefault="00DA1AC8" w:rsidP="00586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BA59E5" w14:textId="77777777" w:rsidR="00DA1AC8" w:rsidRDefault="00DA1AC8" w:rsidP="00586EC8">
      <w:pPr>
        <w:spacing w:after="0" w:line="240" w:lineRule="auto"/>
      </w:pPr>
      <w:r>
        <w:separator/>
      </w:r>
    </w:p>
  </w:footnote>
  <w:footnote w:type="continuationSeparator" w:id="0">
    <w:p w14:paraId="7EE091E9" w14:textId="77777777" w:rsidR="00DA1AC8" w:rsidRDefault="00DA1AC8" w:rsidP="00586E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6618773">
    <w:abstractNumId w:val="8"/>
  </w:num>
  <w:num w:numId="2" w16cid:durableId="121655709">
    <w:abstractNumId w:val="6"/>
  </w:num>
  <w:num w:numId="3" w16cid:durableId="1951232064">
    <w:abstractNumId w:val="5"/>
  </w:num>
  <w:num w:numId="4" w16cid:durableId="893932625">
    <w:abstractNumId w:val="4"/>
  </w:num>
  <w:num w:numId="5" w16cid:durableId="1774011281">
    <w:abstractNumId w:val="7"/>
  </w:num>
  <w:num w:numId="6" w16cid:durableId="1182433187">
    <w:abstractNumId w:val="3"/>
  </w:num>
  <w:num w:numId="7" w16cid:durableId="1451167229">
    <w:abstractNumId w:val="2"/>
  </w:num>
  <w:num w:numId="8" w16cid:durableId="189073839">
    <w:abstractNumId w:val="1"/>
  </w:num>
  <w:num w:numId="9" w16cid:durableId="87415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B0A07"/>
    <w:rsid w:val="001E3152"/>
    <w:rsid w:val="0029639D"/>
    <w:rsid w:val="00326F90"/>
    <w:rsid w:val="00471E50"/>
    <w:rsid w:val="0056488A"/>
    <w:rsid w:val="00586EC8"/>
    <w:rsid w:val="005C3A62"/>
    <w:rsid w:val="005D401B"/>
    <w:rsid w:val="005D529C"/>
    <w:rsid w:val="005F34D8"/>
    <w:rsid w:val="00610CDB"/>
    <w:rsid w:val="0069011D"/>
    <w:rsid w:val="006E37E1"/>
    <w:rsid w:val="00755A94"/>
    <w:rsid w:val="007C012D"/>
    <w:rsid w:val="00AA1D8D"/>
    <w:rsid w:val="00AC2F9A"/>
    <w:rsid w:val="00AC4F4F"/>
    <w:rsid w:val="00B47730"/>
    <w:rsid w:val="00BE4C14"/>
    <w:rsid w:val="00C14C26"/>
    <w:rsid w:val="00C723AC"/>
    <w:rsid w:val="00C92747"/>
    <w:rsid w:val="00CB0664"/>
    <w:rsid w:val="00DA1AC8"/>
    <w:rsid w:val="00EC109E"/>
    <w:rsid w:val="00EF6766"/>
    <w:rsid w:val="00FC693F"/>
    <w:rsid w:val="00FC7E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6B3905"/>
  <w14:defaultImageDpi w14:val="300"/>
  <w15:docId w15:val="{58945F23-C6BC-44D6-B34D-86FCFE137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E3152"/>
    <w:rPr>
      <w:color w:val="0000FF" w:themeColor="hyperlink"/>
      <w:u w:val="single"/>
    </w:rPr>
  </w:style>
  <w:style w:type="character" w:styleId="UnresolvedMention">
    <w:name w:val="Unresolved Mention"/>
    <w:basedOn w:val="DefaultParagraphFont"/>
    <w:uiPriority w:val="99"/>
    <w:semiHidden/>
    <w:unhideWhenUsed/>
    <w:rsid w:val="001E3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523686">
      <w:bodyDiv w:val="1"/>
      <w:marLeft w:val="0"/>
      <w:marRight w:val="0"/>
      <w:marTop w:val="0"/>
      <w:marBottom w:val="0"/>
      <w:divBdr>
        <w:top w:val="none" w:sz="0" w:space="0" w:color="auto"/>
        <w:left w:val="none" w:sz="0" w:space="0" w:color="auto"/>
        <w:bottom w:val="none" w:sz="0" w:space="0" w:color="auto"/>
        <w:right w:val="none" w:sz="0" w:space="0" w:color="auto"/>
      </w:divBdr>
    </w:div>
    <w:div w:id="150366089">
      <w:bodyDiv w:val="1"/>
      <w:marLeft w:val="0"/>
      <w:marRight w:val="0"/>
      <w:marTop w:val="0"/>
      <w:marBottom w:val="0"/>
      <w:divBdr>
        <w:top w:val="none" w:sz="0" w:space="0" w:color="auto"/>
        <w:left w:val="none" w:sz="0" w:space="0" w:color="auto"/>
        <w:bottom w:val="none" w:sz="0" w:space="0" w:color="auto"/>
        <w:right w:val="none" w:sz="0" w:space="0" w:color="auto"/>
      </w:divBdr>
    </w:div>
    <w:div w:id="168254272">
      <w:bodyDiv w:val="1"/>
      <w:marLeft w:val="0"/>
      <w:marRight w:val="0"/>
      <w:marTop w:val="0"/>
      <w:marBottom w:val="0"/>
      <w:divBdr>
        <w:top w:val="none" w:sz="0" w:space="0" w:color="auto"/>
        <w:left w:val="none" w:sz="0" w:space="0" w:color="auto"/>
        <w:bottom w:val="none" w:sz="0" w:space="0" w:color="auto"/>
        <w:right w:val="none" w:sz="0" w:space="0" w:color="auto"/>
      </w:divBdr>
    </w:div>
    <w:div w:id="274793394">
      <w:bodyDiv w:val="1"/>
      <w:marLeft w:val="0"/>
      <w:marRight w:val="0"/>
      <w:marTop w:val="0"/>
      <w:marBottom w:val="0"/>
      <w:divBdr>
        <w:top w:val="none" w:sz="0" w:space="0" w:color="auto"/>
        <w:left w:val="none" w:sz="0" w:space="0" w:color="auto"/>
        <w:bottom w:val="none" w:sz="0" w:space="0" w:color="auto"/>
        <w:right w:val="none" w:sz="0" w:space="0" w:color="auto"/>
      </w:divBdr>
    </w:div>
    <w:div w:id="295062607">
      <w:bodyDiv w:val="1"/>
      <w:marLeft w:val="0"/>
      <w:marRight w:val="0"/>
      <w:marTop w:val="0"/>
      <w:marBottom w:val="0"/>
      <w:divBdr>
        <w:top w:val="none" w:sz="0" w:space="0" w:color="auto"/>
        <w:left w:val="none" w:sz="0" w:space="0" w:color="auto"/>
        <w:bottom w:val="none" w:sz="0" w:space="0" w:color="auto"/>
        <w:right w:val="none" w:sz="0" w:space="0" w:color="auto"/>
      </w:divBdr>
    </w:div>
    <w:div w:id="335232315">
      <w:bodyDiv w:val="1"/>
      <w:marLeft w:val="0"/>
      <w:marRight w:val="0"/>
      <w:marTop w:val="0"/>
      <w:marBottom w:val="0"/>
      <w:divBdr>
        <w:top w:val="none" w:sz="0" w:space="0" w:color="auto"/>
        <w:left w:val="none" w:sz="0" w:space="0" w:color="auto"/>
        <w:bottom w:val="none" w:sz="0" w:space="0" w:color="auto"/>
        <w:right w:val="none" w:sz="0" w:space="0" w:color="auto"/>
      </w:divBdr>
    </w:div>
    <w:div w:id="400716912">
      <w:bodyDiv w:val="1"/>
      <w:marLeft w:val="0"/>
      <w:marRight w:val="0"/>
      <w:marTop w:val="0"/>
      <w:marBottom w:val="0"/>
      <w:divBdr>
        <w:top w:val="none" w:sz="0" w:space="0" w:color="auto"/>
        <w:left w:val="none" w:sz="0" w:space="0" w:color="auto"/>
        <w:bottom w:val="none" w:sz="0" w:space="0" w:color="auto"/>
        <w:right w:val="none" w:sz="0" w:space="0" w:color="auto"/>
      </w:divBdr>
    </w:div>
    <w:div w:id="414665695">
      <w:bodyDiv w:val="1"/>
      <w:marLeft w:val="0"/>
      <w:marRight w:val="0"/>
      <w:marTop w:val="0"/>
      <w:marBottom w:val="0"/>
      <w:divBdr>
        <w:top w:val="none" w:sz="0" w:space="0" w:color="auto"/>
        <w:left w:val="none" w:sz="0" w:space="0" w:color="auto"/>
        <w:bottom w:val="none" w:sz="0" w:space="0" w:color="auto"/>
        <w:right w:val="none" w:sz="0" w:space="0" w:color="auto"/>
      </w:divBdr>
    </w:div>
    <w:div w:id="547376658">
      <w:bodyDiv w:val="1"/>
      <w:marLeft w:val="0"/>
      <w:marRight w:val="0"/>
      <w:marTop w:val="0"/>
      <w:marBottom w:val="0"/>
      <w:divBdr>
        <w:top w:val="none" w:sz="0" w:space="0" w:color="auto"/>
        <w:left w:val="none" w:sz="0" w:space="0" w:color="auto"/>
        <w:bottom w:val="none" w:sz="0" w:space="0" w:color="auto"/>
        <w:right w:val="none" w:sz="0" w:space="0" w:color="auto"/>
      </w:divBdr>
    </w:div>
    <w:div w:id="553079628">
      <w:bodyDiv w:val="1"/>
      <w:marLeft w:val="0"/>
      <w:marRight w:val="0"/>
      <w:marTop w:val="0"/>
      <w:marBottom w:val="0"/>
      <w:divBdr>
        <w:top w:val="none" w:sz="0" w:space="0" w:color="auto"/>
        <w:left w:val="none" w:sz="0" w:space="0" w:color="auto"/>
        <w:bottom w:val="none" w:sz="0" w:space="0" w:color="auto"/>
        <w:right w:val="none" w:sz="0" w:space="0" w:color="auto"/>
      </w:divBdr>
    </w:div>
    <w:div w:id="612784499">
      <w:bodyDiv w:val="1"/>
      <w:marLeft w:val="0"/>
      <w:marRight w:val="0"/>
      <w:marTop w:val="0"/>
      <w:marBottom w:val="0"/>
      <w:divBdr>
        <w:top w:val="none" w:sz="0" w:space="0" w:color="auto"/>
        <w:left w:val="none" w:sz="0" w:space="0" w:color="auto"/>
        <w:bottom w:val="none" w:sz="0" w:space="0" w:color="auto"/>
        <w:right w:val="none" w:sz="0" w:space="0" w:color="auto"/>
      </w:divBdr>
    </w:div>
    <w:div w:id="707144685">
      <w:bodyDiv w:val="1"/>
      <w:marLeft w:val="0"/>
      <w:marRight w:val="0"/>
      <w:marTop w:val="0"/>
      <w:marBottom w:val="0"/>
      <w:divBdr>
        <w:top w:val="none" w:sz="0" w:space="0" w:color="auto"/>
        <w:left w:val="none" w:sz="0" w:space="0" w:color="auto"/>
        <w:bottom w:val="none" w:sz="0" w:space="0" w:color="auto"/>
        <w:right w:val="none" w:sz="0" w:space="0" w:color="auto"/>
      </w:divBdr>
    </w:div>
    <w:div w:id="921451309">
      <w:bodyDiv w:val="1"/>
      <w:marLeft w:val="0"/>
      <w:marRight w:val="0"/>
      <w:marTop w:val="0"/>
      <w:marBottom w:val="0"/>
      <w:divBdr>
        <w:top w:val="none" w:sz="0" w:space="0" w:color="auto"/>
        <w:left w:val="none" w:sz="0" w:space="0" w:color="auto"/>
        <w:bottom w:val="none" w:sz="0" w:space="0" w:color="auto"/>
        <w:right w:val="none" w:sz="0" w:space="0" w:color="auto"/>
      </w:divBdr>
    </w:div>
    <w:div w:id="1074551538">
      <w:bodyDiv w:val="1"/>
      <w:marLeft w:val="0"/>
      <w:marRight w:val="0"/>
      <w:marTop w:val="0"/>
      <w:marBottom w:val="0"/>
      <w:divBdr>
        <w:top w:val="none" w:sz="0" w:space="0" w:color="auto"/>
        <w:left w:val="none" w:sz="0" w:space="0" w:color="auto"/>
        <w:bottom w:val="none" w:sz="0" w:space="0" w:color="auto"/>
        <w:right w:val="none" w:sz="0" w:space="0" w:color="auto"/>
      </w:divBdr>
    </w:div>
    <w:div w:id="1154571063">
      <w:bodyDiv w:val="1"/>
      <w:marLeft w:val="0"/>
      <w:marRight w:val="0"/>
      <w:marTop w:val="0"/>
      <w:marBottom w:val="0"/>
      <w:divBdr>
        <w:top w:val="none" w:sz="0" w:space="0" w:color="auto"/>
        <w:left w:val="none" w:sz="0" w:space="0" w:color="auto"/>
        <w:bottom w:val="none" w:sz="0" w:space="0" w:color="auto"/>
        <w:right w:val="none" w:sz="0" w:space="0" w:color="auto"/>
      </w:divBdr>
    </w:div>
    <w:div w:id="1346783109">
      <w:bodyDiv w:val="1"/>
      <w:marLeft w:val="0"/>
      <w:marRight w:val="0"/>
      <w:marTop w:val="0"/>
      <w:marBottom w:val="0"/>
      <w:divBdr>
        <w:top w:val="none" w:sz="0" w:space="0" w:color="auto"/>
        <w:left w:val="none" w:sz="0" w:space="0" w:color="auto"/>
        <w:bottom w:val="none" w:sz="0" w:space="0" w:color="auto"/>
        <w:right w:val="none" w:sz="0" w:space="0" w:color="auto"/>
      </w:divBdr>
    </w:div>
    <w:div w:id="1354653785">
      <w:bodyDiv w:val="1"/>
      <w:marLeft w:val="0"/>
      <w:marRight w:val="0"/>
      <w:marTop w:val="0"/>
      <w:marBottom w:val="0"/>
      <w:divBdr>
        <w:top w:val="none" w:sz="0" w:space="0" w:color="auto"/>
        <w:left w:val="none" w:sz="0" w:space="0" w:color="auto"/>
        <w:bottom w:val="none" w:sz="0" w:space="0" w:color="auto"/>
        <w:right w:val="none" w:sz="0" w:space="0" w:color="auto"/>
      </w:divBdr>
    </w:div>
    <w:div w:id="1557625465">
      <w:bodyDiv w:val="1"/>
      <w:marLeft w:val="0"/>
      <w:marRight w:val="0"/>
      <w:marTop w:val="0"/>
      <w:marBottom w:val="0"/>
      <w:divBdr>
        <w:top w:val="none" w:sz="0" w:space="0" w:color="auto"/>
        <w:left w:val="none" w:sz="0" w:space="0" w:color="auto"/>
        <w:bottom w:val="none" w:sz="0" w:space="0" w:color="auto"/>
        <w:right w:val="none" w:sz="0" w:space="0" w:color="auto"/>
      </w:divBdr>
    </w:div>
    <w:div w:id="16985839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bank.org" TargetMode="External"/><Relationship Id="rId13" Type="http://schemas.openxmlformats.org/officeDocument/2006/relationships/hyperlink" Target="https://www.oecd.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2.deloitte.com" TargetMode="External"/><Relationship Id="rId17" Type="http://schemas.openxmlformats.org/officeDocument/2006/relationships/hyperlink" Target="https://www.oecd.org" TargetMode="External"/><Relationship Id="rId2" Type="http://schemas.openxmlformats.org/officeDocument/2006/relationships/numbering" Target="numbering.xml"/><Relationship Id="rId16" Type="http://schemas.openxmlformats.org/officeDocument/2006/relationships/hyperlink" Target="https://www.worldbank.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ckinsey.com" TargetMode="External"/><Relationship Id="rId5" Type="http://schemas.openxmlformats.org/officeDocument/2006/relationships/webSettings" Target="webSettings.xml"/><Relationship Id="rId15" Type="http://schemas.openxmlformats.org/officeDocument/2006/relationships/hyperlink" Target="https://www.gapminder.org" TargetMode="External"/><Relationship Id="rId10" Type="http://schemas.openxmlformats.org/officeDocument/2006/relationships/hyperlink" Target="https://www.cso.i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oecd.org" TargetMode="External"/><Relationship Id="rId14" Type="http://schemas.openxmlformats.org/officeDocument/2006/relationships/hyperlink" Target="https://www.ecb.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1266</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8467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Ashlesha Gottipati 19251A04D2</cp:lastModifiedBy>
  <cp:revision>2</cp:revision>
  <dcterms:created xsi:type="dcterms:W3CDTF">2025-02-22T21:06:00Z</dcterms:created>
  <dcterms:modified xsi:type="dcterms:W3CDTF">2025-02-22T21:06:00Z</dcterms:modified>
  <cp:category/>
</cp:coreProperties>
</file>