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F4E78"/>
          <w:sz w:val="32"/>
        </w:rPr>
        <w:t>Data Science Internship - Week 1 Assignment: Final Report</w:t>
      </w:r>
    </w:p>
    <w:p>
      <w:pPr>
        <w:jc w:val="center"/>
      </w:pPr>
      <w:r>
        <w:rPr>
          <w:rFonts w:ascii="Arial" w:hAnsi="Arial"/>
          <w:color w:val="595959"/>
          <w:sz w:val="20"/>
        </w:rPr>
        <w:t>Organization: WeIntern Pvt Ltd | Intern Name: Ashlesha Anil Khose</w:t>
        <w:br/>
        <w:t>Repository: data-science-week1-assignment</w:t>
      </w:r>
    </w:p>
    <w:p/>
    <w:p>
      <w:pPr>
        <w:pStyle w:val="Heading1"/>
      </w:pPr>
      <w:r>
        <w:rPr>
          <w:rFonts w:ascii="Arial" w:hAnsi="Arial"/>
          <w:b/>
          <w:color w:val="2C3E50"/>
          <w:sz w:val="24"/>
        </w:rPr>
        <w:t>1. Title and Objective</w:t>
      </w:r>
    </w:p>
    <w:p>
      <w:r>
        <w:rPr>
          <w:rFonts w:ascii="Arial" w:hAnsi="Arial"/>
          <w:color w:val="333333"/>
          <w:sz w:val="20"/>
        </w:rPr>
        <w:t>• Project Title: E-Commerce Data Cleaning, Analysis, and Visualization Master Report</w:t>
        <w:br/>
        <w:t>• Objective: Fulfill all core requirements outlined in the Week 1 Internship Handbook, including systematic data inspection and cleaning, robust KPI computation, trend analysis, customer behavioral insights, professional visualization design, and executive reporting.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2. Dataset Overview</w:t>
      </w:r>
    </w:p>
    <w:p>
      <w:r>
        <w:rPr>
          <w:rFonts w:ascii="Arial" w:hAnsi="Arial"/>
          <w:color w:val="333333"/>
          <w:sz w:val="20"/>
        </w:rPr>
        <w:t>• File Used: ecommerce_cleaned.csv</w:t>
        <w:br/>
        <w:t>• Dimensions: 1,000 transaction rows and 11 distinct attributes.</w:t>
        <w:br/>
        <w:t>• Key Fields: Order ID, Customer ID, Product Name, Category, Quantity, Unit Price, Total Amount, Order Date, Payment Mode, Delivery Status, and City/Region.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3. Data Cleaning Summary (Task 1)</w:t>
      </w:r>
    </w:p>
    <w:p>
      <w:r>
        <w:rPr>
          <w:rFonts w:ascii="Arial" w:hAnsi="Arial"/>
          <w:color w:val="333333"/>
          <w:sz w:val="20"/>
        </w:rPr>
        <w:t>• Missing Value Handling: Column-by-column inspection verified 0 null values across all 1,000 rows. Standard imputation workflows (median for numeric, 'Unknown' for categorical) were established.</w:t>
        <w:br/>
        <w:t>• Duplicate Detection: Checked for fully duplicated rows and repeated Order ID entries. Zero redundant duplicate transactions were identified.</w:t>
        <w:br/>
        <w:t>• Data Validation: Ensured logical consistency (quantities &gt;= 1, unit prices &gt; 0), standardized delivery statuses, and fixed spelling inconsistencies in category names.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4. KPI Summary Table (Task 2)</w:t>
      </w:r>
    </w:p>
    <w:p>
      <w:r>
        <w:rPr>
          <w:rFonts w:ascii="Arial" w:hAnsi="Arial"/>
          <w:color w:val="333333"/>
          <w:sz w:val="20"/>
        </w:rPr>
        <w:t>Core business performance indicators calculated from the dataset:</w:t>
        <w:br/>
        <w:t>- Total Revenue: ₹7,952,313.00 (Total monetary value of all completed sales transactions)</w:t>
        <w:br/>
        <w:t>- Total Orders: 1,000 (Total count of valid order transactions processed)</w:t>
        <w:br/>
        <w:t>- Average Order Value (AOV): ₹7,952.31 (Average revenue generated per individual order transaction)</w:t>
        <w:br/>
        <w:t>- Total Units Sold: 2,996 (Cumulative sum of product units sold across all transactions)</w:t>
        <w:br/>
        <w:t>- Top-Selling Category: Electronics (₹2,525,064.00) (Product category contributing the highest total revenue)</w:t>
        <w:br/>
        <w:t>- Best Product: Bluetooth Speaker (₹594,681.00) (Specific product generating the highest overall demand and revenue)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5. Trend Analysis (Task 2)</w:t>
      </w:r>
    </w:p>
    <w:p>
      <w:r>
        <w:rPr>
          <w:rFonts w:ascii="Arial" w:hAnsi="Arial"/>
          <w:color w:val="333333"/>
          <w:sz w:val="20"/>
        </w:rPr>
        <w:t>• Monthly Sales Growth &amp; Seasonality: Monthly revenue fluctuated between ₹6.2L and ₹7.5L, with prominent sales peaks in May (₹739,754) and October (₹745,468).</w:t>
        <w:br/>
        <w:t>• Category Performance Over Time: Electronics consistently outperformed other verticals in revenue contribution due to higher price points, while Fashion and Sports dominated unit volume turnover.</w:t>
        <w:br/>
        <w:t>• Regional Distribution: Order density remained stable across major cities like Nagpur (108 orders), Bengaluru (104 orders), and Pune (103 orders).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6. Customer Insights (Task 2)</w:t>
      </w:r>
    </w:p>
    <w:p>
      <w:r>
        <w:rPr>
          <w:rFonts w:ascii="Arial" w:hAnsi="Arial"/>
          <w:color w:val="333333"/>
          <w:sz w:val="20"/>
        </w:rPr>
        <w:t>• Customer Concentration: 1,000 orders distributed across 288 unique customers, yielding an average repeat purchase frequency.</w:t>
        <w:br/>
        <w:t>• High-Value Segments: High-value order baskets were heavily concentrated in Tier-1 metropolitan hubs (Mumbai, Bengaluru, and Chennai).</w:t>
        <w:br/>
        <w:t>• Payment Preferences: Digital payment modes led transaction volume collectively, led by Credit Card (22.7%) and UPI (20.5%).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7. Visualization Section (Task 3)</w:t>
      </w:r>
    </w:p>
    <w:p>
      <w:r>
        <w:rPr>
          <w:rFonts w:ascii="Arial" w:hAnsi="Arial"/>
          <w:color w:val="333333"/>
          <w:sz w:val="20"/>
        </w:rPr>
        <w:t>• Bar Chart (Revenue by Category): Demonstrates Electronics leading revenue generation at ₹2.53M.</w:t>
        <w:br/>
        <w:t>• Line Chart (Monthly Sales Trend): Maps out revenue trajectory across 2025, capturing growth phases and highlighting the October seasonal peak.</w:t>
        <w:br/>
        <w:t>• Pie Chart (Payment Mode Share): Illustrates healthy adoption of digital payments.</w:t>
        <w:br/>
        <w:t>• Dashboard Mockup Structure: Power BI / layout mockups featuring top-level KPI cards, center trend analysis, and regional breakdowns.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8. Key Findings</w:t>
      </w:r>
    </w:p>
    <w:p>
      <w:r>
        <w:rPr>
          <w:rFonts w:ascii="Arial" w:hAnsi="Arial"/>
          <w:color w:val="333333"/>
          <w:sz w:val="20"/>
        </w:rPr>
        <w:t>• Revenue Driver Mismatch: While Sports and Fashion drive high unit volume turnover, Electronics is the definitive profit engine, driving over 31% of total enterprise revenue.</w:t>
        <w:br/>
        <w:t>• Predictable Seasonality: Sales follow a clear biannual rhythm with peaks in May and October, directly correlating with seasonal retail shopping calendars.</w:t>
        <w:br/>
        <w:t>• Robust Digital Adoption: Over 82% of transactions occur via digital modes, minimizing cash-flow friction.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9. Strategic Recommendations</w:t>
      </w:r>
    </w:p>
    <w:p>
      <w:r>
        <w:rPr>
          <w:rFonts w:ascii="Arial" w:hAnsi="Arial"/>
          <w:color w:val="333333"/>
          <w:sz w:val="20"/>
        </w:rPr>
        <w:t>• Inventory &amp; Ad Spend Acquisition: Shift marketing acquisition budgets toward high-margin categories like Electronics and Home &amp; Kitchen.</w:t>
        <w:br/>
        <w:t>• Proactive Stock Planning: Pre-position inventory stocks ahead of identified peak demand windows (May and October) to prevent stockouts.</w:t>
        <w:br/>
        <w:t>• Targeted Retention Campaigns: Leverage repeat customer frequency by introducing loyalty programs tailored to top regions like Nagpur, Mumbai, and Pune.</w:t>
      </w:r>
    </w:p>
    <w:p>
      <w:pPr>
        <w:pStyle w:val="Heading1"/>
      </w:pPr>
      <w:r>
        <w:rPr>
          <w:rFonts w:ascii="Arial" w:hAnsi="Arial"/>
          <w:b/>
          <w:color w:val="2C3E50"/>
          <w:sz w:val="24"/>
        </w:rPr>
        <w:t>10. Limitations &amp; Assumptions</w:t>
      </w:r>
    </w:p>
    <w:p>
      <w:r>
        <w:rPr>
          <w:rFonts w:ascii="Arial" w:hAnsi="Arial"/>
          <w:color w:val="333333"/>
          <w:sz w:val="20"/>
        </w:rPr>
        <w:t>• Temporal Scope: The dataset is bounded within calendar year 2025, limiting multi-year historical trend modeling.</w:t>
        <w:br/>
        <w:t>• Granular Cost Data: Profit margins are estimated based on revenue and unit price since procurement and shipping cost vectors were outside the scope of this transactional file.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