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left"/>
        <w:rPr/>
      </w:pPr>
      <w:r>
        <w:rPr/>
        <w:t>GRC Cybersecurity Portfolio</w:t>
      </w:r>
    </w:p>
    <w:p>
      <w:pPr>
        <w:pStyle w:val="BodyText"/>
        <w:bidi w:val="0"/>
        <w:jc w:val="left"/>
        <w:rPr/>
      </w:pPr>
      <w:r>
        <w:rPr>
          <w:rStyle w:val="Emphasis"/>
        </w:rPr>
        <w:t xml:space="preserve">Prepared by: </w:t>
      </w:r>
      <w:r>
        <w:rPr>
          <w:rStyle w:val="Emphasis"/>
        </w:rPr>
        <w:t>Ashley Bawa</w:t>
      </w:r>
      <w:r>
        <w:rPr/>
        <w:br/>
      </w:r>
      <w:r>
        <w:rPr>
          <w:rStyle w:val="Emphasis"/>
        </w:rPr>
        <w:t>Target Role: Governance, Risk &amp; Compliance (GRC) Analyst</w:t>
      </w:r>
    </w:p>
    <w:p>
      <w:pPr>
        <w:pStyle w:val="Heading2"/>
        <w:bidi w:val="0"/>
        <w:jc w:val="left"/>
        <w:rPr/>
      </w:pPr>
      <w:r>
        <w:rPr/>
        <w:t>1. Professional Summary</w:t>
      </w:r>
    </w:p>
    <w:p>
      <w:pPr>
        <w:pStyle w:val="BodyText"/>
        <w:bidi w:val="0"/>
        <w:jc w:val="left"/>
        <w:rPr/>
      </w:pPr>
      <w:r>
        <w:rPr/>
        <w:t xml:space="preserve">My name is </w:t>
      </w:r>
      <w:r>
        <w:rPr>
          <w:rStyle w:val="Strong"/>
          <w:b w:val="false"/>
          <w:bCs w:val="false"/>
        </w:rPr>
        <w:t>Ashley Bawa</w:t>
      </w:r>
      <w:r>
        <w:rPr/>
        <w:t xml:space="preserve">, and I am a cybersecurity professional with two years of experience working as a </w:t>
      </w:r>
      <w:r>
        <w:rPr/>
        <w:t>Junior</w:t>
      </w:r>
      <w:r>
        <w:rPr>
          <w:rStyle w:val="Strong"/>
        </w:rPr>
        <w:t xml:space="preserve"> </w:t>
      </w:r>
      <w:r>
        <w:rPr>
          <w:rStyle w:val="Strong"/>
          <w:b w:val="false"/>
          <w:bCs w:val="false"/>
        </w:rPr>
        <w:t>Cyber Analyst within the Department of Defence</w:t>
      </w:r>
      <w:r>
        <w:rPr/>
        <w:t>. In this role, I built a strong technical foundation while operating in highly regulated environments, gaining practical exposure to security operations, risk identification, and compliance-driven processes.</w:t>
      </w:r>
    </w:p>
    <w:p>
      <w:pPr>
        <w:pStyle w:val="BodyText"/>
        <w:bidi w:val="0"/>
        <w:jc w:val="left"/>
        <w:rPr/>
      </w:pPr>
      <w:r>
        <w:rPr/>
        <w:t xml:space="preserve">I am now seeking to transition into a </w:t>
      </w:r>
      <w:r>
        <w:rPr>
          <w:rStyle w:val="Strong"/>
          <w:b w:val="false"/>
          <w:bCs w:val="false"/>
        </w:rPr>
        <w:t>Governance, Risk, and Compliance (GRC)–focused role</w:t>
      </w:r>
      <w:r>
        <w:rPr/>
        <w:t>, where I can leverage my technical background to communicate cyber risk effectively, support compliance initiatives, and help design pragmatic, business-aligned security controls.</w:t>
      </w:r>
    </w:p>
    <w:p>
      <w:pPr>
        <w:pStyle w:val="BodyText"/>
        <w:bidi w:val="0"/>
        <w:jc w:val="left"/>
        <w:rPr/>
      </w:pPr>
      <w:r>
        <w:rPr/>
        <w:t xml:space="preserve">This portfolio demonstrates hands-on GRC capability through realistic artefacts </w:t>
      </w:r>
      <w:r>
        <w:rPr/>
        <w:t>and shows my readiness for a professional role in the cybersecurity governance space.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2</w:t>
      </w:r>
      <w:r>
        <w:rPr/>
        <w:t xml:space="preserve">. </w:t>
      </w:r>
      <w:r>
        <w:rPr/>
        <w:t xml:space="preserve">Fictional </w:t>
      </w:r>
      <w:r>
        <w:rPr/>
        <w:t>Company Overview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Southern Cross Health Systems (SCHS) is a fictional Australian healthcare technology provider delivering electronic health record (EHR) and managed IT services to private healthcare organisations across Victoria and New South Wales.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  <w:t>SCHS processes sensitive patient data and relies on highly available clinical systems, making strong governance, risk management, and compliance essential.</w:t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3</w:t>
      </w:r>
      <w:r>
        <w:rPr/>
        <w:t>. GRC Objective</w:t>
      </w:r>
    </w:p>
    <w:p>
      <w:pPr>
        <w:pStyle w:val="BodyText"/>
        <w:bidi w:val="0"/>
        <w:jc w:val="left"/>
        <w:rPr/>
      </w:pPr>
      <w:r>
        <w:rPr/>
        <w:t xml:space="preserve">The objective of this </w:t>
      </w:r>
      <w:r>
        <w:rPr/>
        <w:t>portfolio</w:t>
      </w:r>
      <w:r>
        <w:rPr/>
        <w:t xml:space="preserve"> is to: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Manage cyber and information security risk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Meet Australian regulatory obligations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Establish an ISO/IEC 27001–aligned ISMS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Prepare the organisation for future ISO 27001 certification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4. Risk Appetite Statement</w:t>
      </w:r>
    </w:p>
    <w:p>
      <w:pPr>
        <w:pStyle w:val="BlockQuotation"/>
        <w:bidi w:val="0"/>
        <w:spacing w:lineRule="auto" w:line="276" w:before="0" w:after="140"/>
        <w:ind w:hanging="0" w:left="0"/>
        <w:jc w:val="left"/>
        <w:rPr/>
      </w:pPr>
      <w:r>
        <w:rPr>
          <w:b w:val="false"/>
          <w:bCs w:val="false"/>
        </w:rPr>
        <w:t xml:space="preserve">SCHS has a </w:t>
      </w:r>
      <w:r>
        <w:rPr>
          <w:rStyle w:val="Strong"/>
          <w:b w:val="false"/>
          <w:bCs w:val="false"/>
        </w:rPr>
        <w:t>low tolerance for risks impacting patient data confidentiality and clinical system availability</w:t>
      </w:r>
      <w:r>
        <w:rPr>
          <w:b w:val="false"/>
          <w:bCs w:val="false"/>
        </w:rPr>
        <w:t xml:space="preserve">, and a </w:t>
      </w:r>
      <w:r>
        <w:rPr>
          <w:rStyle w:val="Strong"/>
          <w:b w:val="false"/>
          <w:bCs w:val="false"/>
        </w:rPr>
        <w:t>moderate tolerance for operational and technology risks</w:t>
      </w:r>
      <w:r>
        <w:rPr>
          <w:b w:val="false"/>
          <w:bCs w:val="false"/>
        </w:rPr>
        <w:t xml:space="preserve"> where appropriate controls and monitoring are in place.</w:t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5</w:t>
      </w:r>
      <w:r>
        <w:rPr/>
        <w:t xml:space="preserve">. Risk Register 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41"/>
        <w:gridCol w:w="2444"/>
        <w:gridCol w:w="1518"/>
        <w:gridCol w:w="919"/>
        <w:gridCol w:w="1213"/>
        <w:gridCol w:w="1086"/>
        <w:gridCol w:w="1817"/>
      </w:tblGrid>
      <w:tr>
        <w:trPr/>
        <w:tc>
          <w:tcPr>
            <w:tcW w:w="641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Risk ID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Risk Description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Asset / Area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Impact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Likelihood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Residual Risk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TableHeading"/>
              <w:bidi w:val="0"/>
              <w:rPr/>
            </w:pPr>
            <w:r>
              <w:rPr/>
              <w:t>Key Controls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R-01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Ransomware attack disrupts EHR availability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EHR Platform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Offline backups, EDR, IR plan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R-02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Compromised credentials lead to unauthorised access to PHI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Patient Data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Low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Low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MFA, RBAC, security logging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R-03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Cloud misconfiguration exposes sensitive data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Cloud Infrastructure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High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Change management, CSPM</w:t>
            </w:r>
          </w:p>
        </w:tc>
      </w:tr>
      <w:tr>
        <w:trPr/>
        <w:tc>
          <w:tcPr>
            <w:tcW w:w="641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R-04</w:t>
            </w:r>
          </w:p>
        </w:tc>
        <w:tc>
          <w:tcPr>
            <w:tcW w:w="2444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Third-party vendor breach impacts SCHS data</w:t>
            </w:r>
          </w:p>
        </w:tc>
        <w:tc>
          <w:tcPr>
            <w:tcW w:w="1518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Vendors</w:t>
            </w:r>
          </w:p>
        </w:tc>
        <w:tc>
          <w:tcPr>
            <w:tcW w:w="919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Medium</w:t>
            </w:r>
          </w:p>
        </w:tc>
        <w:tc>
          <w:tcPr>
            <w:tcW w:w="1213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Low</w:t>
            </w:r>
          </w:p>
        </w:tc>
        <w:tc>
          <w:tcPr>
            <w:tcW w:w="1086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Low</w:t>
            </w:r>
          </w:p>
        </w:tc>
        <w:tc>
          <w:tcPr>
            <w:tcW w:w="1817" w:type="dxa"/>
            <w:tcBorders/>
            <w:vAlign w:val="center"/>
          </w:tcPr>
          <w:p>
            <w:pPr>
              <w:pStyle w:val="TableContents"/>
              <w:bidi w:val="0"/>
              <w:jc w:val="left"/>
              <w:rPr/>
            </w:pPr>
            <w:r>
              <w:rPr/>
              <w:t>Vendor assessments, security clauses</w:t>
            </w:r>
          </w:p>
        </w:tc>
      </w:tr>
    </w:tbl>
    <w:p>
      <w:pPr>
        <w:pStyle w:val="Heading3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Risk Scoring Scheme</w:t>
      </w:r>
    </w:p>
    <w:p>
      <w:pPr>
        <w:pStyle w:val="BodyText"/>
        <w:bidi w:val="0"/>
        <w:jc w:val="left"/>
        <w:rPr/>
      </w:pPr>
      <w:r>
        <w:rPr/>
        <w:t>SCHS applies a simple qualitative risk scoring model aligned to ISO/IEC 27001.</w:t>
      </w:r>
    </w:p>
    <w:p>
      <w:pPr>
        <w:pStyle w:val="BodyText"/>
        <w:bidi w:val="0"/>
        <w:jc w:val="left"/>
        <w:rPr/>
      </w:pPr>
      <w:r>
        <w:rPr>
          <w:rStyle w:val="Strong"/>
        </w:rPr>
        <w:t>Impact Scale: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Low:</w:t>
      </w:r>
      <w:r>
        <w:rPr/>
        <w:t xml:space="preserve"> Minimal operational disruption, no regulatory impact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Medium:</w:t>
      </w:r>
      <w:r>
        <w:rPr/>
        <w:t xml:space="preserve"> Service degradation, limited regulatory or client impact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High:</w:t>
      </w:r>
      <w:r>
        <w:rPr/>
        <w:t xml:space="preserve"> Patient data compromise, significant regulatory or reputational impact</w:t>
      </w:r>
    </w:p>
    <w:p>
      <w:pPr>
        <w:pStyle w:val="BodyText"/>
        <w:bidi w:val="0"/>
        <w:jc w:val="left"/>
        <w:rPr/>
      </w:pPr>
      <w:r>
        <w:rPr>
          <w:rStyle w:val="Strong"/>
        </w:rPr>
        <w:t>Likelihood Scale: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Low:</w:t>
      </w:r>
      <w:r>
        <w:rPr/>
        <w:t xml:space="preserve"> Unlikely given current controls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Medium:</w:t>
      </w:r>
      <w:r>
        <w:rPr/>
        <w:t xml:space="preserve"> Possible under certain conditions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>
          <w:rStyle w:val="Strong"/>
        </w:rPr>
        <w:t>High:</w:t>
      </w:r>
      <w:r>
        <w:rPr/>
        <w:t xml:space="preserve"> Likely or previously observed</w:t>
      </w:r>
    </w:p>
    <w:p>
      <w:pPr>
        <w:pStyle w:val="BodyText"/>
        <w:bidi w:val="0"/>
        <w:jc w:val="left"/>
        <w:rPr/>
      </w:pPr>
      <w:r>
        <w:rPr>
          <w:rStyle w:val="Strong"/>
        </w:rPr>
        <w:t>Residual Risk Rating:</w:t>
      </w:r>
      <w:r>
        <w:rPr/>
        <w:t xml:space="preserve"> Derived from Impact × Likelihood after control effectiveness is considered.</w:t>
      </w:r>
    </w:p>
    <w:p>
      <w:pPr>
        <w:pStyle w:val="BodyText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6</w:t>
      </w:r>
      <w:r>
        <w:rPr/>
        <w:t>. ISO/IEC 27001 ISMS Overview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ISMS Scope</w:t>
      </w:r>
    </w:p>
    <w:p>
      <w:pPr>
        <w:pStyle w:val="BodyText"/>
        <w:bidi w:val="0"/>
        <w:jc w:val="left"/>
        <w:rPr/>
      </w:pPr>
      <w:r>
        <w:rPr/>
        <w:t>The ISMS covers: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EHR platforms and supporting infrastructure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Staff, contractors, and third parties with system access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Processes handling patient data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Control Coverage (Summary)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Access control and MFA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Asset management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Incident response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Logging and monitoring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Vendor risk management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7</w:t>
      </w:r>
      <w:r>
        <w:rPr/>
        <w:t>. Internal Audit Examples</w:t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Finding 1: Access Control</w:t>
      </w:r>
    </w:p>
    <w:p>
      <w:pPr>
        <w:pStyle w:val="BodyText"/>
        <w:bidi w:val="0"/>
        <w:jc w:val="left"/>
        <w:rPr/>
      </w:pPr>
      <w:r>
        <w:rPr>
          <w:rStyle w:val="Strong"/>
        </w:rPr>
        <w:t>Issue:</w:t>
      </w:r>
      <w:r>
        <w:rPr/>
        <w:t xml:space="preserve"> User access reviews are performed inconsistently, with limited evidence of management approval.</w:t>
      </w:r>
    </w:p>
    <w:p>
      <w:pPr>
        <w:pStyle w:val="BodyText"/>
        <w:bidi w:val="0"/>
        <w:jc w:val="left"/>
        <w:rPr/>
      </w:pPr>
      <w:r>
        <w:rPr>
          <w:rStyle w:val="Strong"/>
        </w:rPr>
        <w:t>Risk:</w:t>
      </w:r>
      <w:r>
        <w:rPr/>
        <w:t xml:space="preserve"> Excessive access may remain undetected, increasing the likelihood of data compromise.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Corrective Action:</w:t>
      </w:r>
      <w:r>
        <w:rPr/>
        <w:t xml:space="preserve"> Implement quarterly access reviews with documented system owner approval.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Finding 2: Logging &amp; Monitoring</w:t>
      </w:r>
    </w:p>
    <w:p>
      <w:pPr>
        <w:pStyle w:val="BodyText"/>
        <w:bidi w:val="0"/>
        <w:jc w:val="left"/>
        <w:rPr/>
      </w:pPr>
      <w:r>
        <w:rPr>
          <w:rStyle w:val="Strong"/>
        </w:rPr>
        <w:t>Issue:</w:t>
      </w:r>
      <w:r>
        <w:rPr/>
        <w:t xml:space="preserve"> Centralised logging is not consistently enabled across all production systems.</w:t>
      </w:r>
    </w:p>
    <w:p>
      <w:pPr>
        <w:pStyle w:val="BodyText"/>
        <w:bidi w:val="0"/>
        <w:jc w:val="left"/>
        <w:rPr/>
      </w:pPr>
      <w:r>
        <w:rPr>
          <w:rStyle w:val="Strong"/>
        </w:rPr>
        <w:t>Risk:</w:t>
      </w:r>
      <w:r>
        <w:rPr/>
        <w:t xml:space="preserve"> Delayed detection of security incidents and reduced forensic capability.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Corrective Action:</w:t>
      </w:r>
      <w:r>
        <w:rPr/>
        <w:t xml:space="preserve"> Enforce centralised logging standards and minimum retention periods.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3"/>
        <w:bidi w:val="0"/>
        <w:spacing w:lineRule="auto" w:line="276" w:before="0" w:after="140"/>
        <w:jc w:val="left"/>
        <w:rPr/>
      </w:pPr>
      <w:r>
        <w:rPr/>
        <w:t>Finding 3: Supplier Risk Management</w:t>
      </w:r>
    </w:p>
    <w:p>
      <w:pPr>
        <w:pStyle w:val="BodyText"/>
        <w:bidi w:val="0"/>
        <w:jc w:val="left"/>
        <w:rPr/>
      </w:pPr>
      <w:r>
        <w:rPr>
          <w:rStyle w:val="Strong"/>
        </w:rPr>
        <w:t>Issue:</w:t>
      </w:r>
      <w:r>
        <w:rPr/>
        <w:t xml:space="preserve"> Security reassessments of critical vendors are performed on an ad hoc basis.</w:t>
      </w:r>
    </w:p>
    <w:p>
      <w:pPr>
        <w:pStyle w:val="BodyText"/>
        <w:bidi w:val="0"/>
        <w:jc w:val="left"/>
        <w:rPr/>
      </w:pPr>
      <w:r>
        <w:rPr>
          <w:rStyle w:val="Strong"/>
        </w:rPr>
        <w:t>Risk:</w:t>
      </w:r>
      <w:r>
        <w:rPr/>
        <w:t xml:space="preserve"> Increased exposure to third-party security incidents.</w:t>
      </w:r>
    </w:p>
    <w:p>
      <w:pPr>
        <w:pStyle w:val="BodyText"/>
        <w:bidi w:val="0"/>
        <w:jc w:val="left"/>
        <w:rPr/>
      </w:pPr>
      <w:r>
        <w:rPr>
          <w:rStyle w:val="Strong"/>
        </w:rPr>
        <w:t>Corrective Action:</w:t>
      </w:r>
      <w:r>
        <w:rPr/>
        <w:t xml:space="preserve"> Establish an annual vendor risk reassessment schedule for critical suppliers.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8</w:t>
      </w:r>
      <w:r>
        <w:rPr/>
        <w:t>. Management Review Summary</w:t>
      </w:r>
    </w:p>
    <w:p>
      <w:pPr>
        <w:pStyle w:val="BodyText"/>
        <w:bidi w:val="0"/>
        <w:jc w:val="left"/>
        <w:rPr/>
      </w:pPr>
      <w:r>
        <w:rPr/>
        <w:t>Annual ISMS management review outcomes included: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Confirmation that the ISMS scope remains appropriate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Approval to improve centralised logging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Endorsement of annual third-party risk reassessments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Commitment to pursue ISO 27001 certification within 12 months</w:t>
      </w:r>
    </w:p>
    <w:p>
      <w:pPr>
        <w:pStyle w:val="BodyText"/>
        <w:bidi w:val="0"/>
        <w:jc w:val="left"/>
        <w:rPr/>
      </w:pPr>
      <w:r>
        <w:rPr/>
      </w:r>
    </w:p>
    <w:p>
      <w:pPr>
        <w:pStyle w:val="Heading2"/>
        <w:bidi w:val="0"/>
        <w:spacing w:lineRule="auto" w:line="276" w:before="0" w:after="140"/>
        <w:jc w:val="left"/>
        <w:rPr/>
      </w:pPr>
      <w:r>
        <w:rPr/>
        <w:t>9</w:t>
      </w:r>
      <w:r>
        <w:rPr/>
        <w:t>. Continuous Improvement</w:t>
      </w:r>
    </w:p>
    <w:p>
      <w:pPr>
        <w:pStyle w:val="BodyText"/>
        <w:bidi w:val="0"/>
        <w:jc w:val="left"/>
        <w:rPr/>
      </w:pPr>
      <w:r>
        <w:rPr/>
        <w:t>SCHS maintains ongoing improvement through: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Periodic risk reviews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Internal audits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Policy updates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left="709"/>
        <w:jc w:val="left"/>
        <w:rPr/>
      </w:pPr>
      <w:r>
        <w:rPr/>
        <w:t>Security awareness training</w:t>
      </w:r>
    </w:p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AU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AU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0"/>
      </w:num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outlineLvl w:val="2"/>
    </w:pPr>
    <w:rPr>
      <w:rFonts w:ascii="Liberation Serif" w:hAnsi="Liberation Serif" w:eastAsia="NSimSun" w:cs="Lucida Sans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BlockQuotation">
    <w:name w:val="Block Quotation"/>
    <w:basedOn w:val="Normal"/>
    <w:qFormat/>
    <w:pPr>
      <w:spacing w:before="0" w:after="283"/>
      <w:ind w:hanging="0" w:left="567" w:right="567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LibreOffice/25.2.7.2$Windows_X86_64 LibreOffice_project/5cbfd1ab6520636bb5f7b99185aa69bd7456825d</Application>
  <AppVersion>15.0000</AppVersion>
  <Pages>4</Pages>
  <Words>647</Words>
  <Characters>4013</Characters>
  <CharactersWithSpaces>4532</CharactersWithSpaces>
  <Paragraphs>101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2026-02-27T19:05:17Z</dcterms:created>
  <dc:creator/>
  <dc:description/>
  <dc:language>en-AU</dc:language>
  <cp:lastModifiedBy/>
  <dcterms:modified xsi:type="dcterms:W3CDTF">2026-02-27T19:05:45Z</dcterms:modified>
  <cp:revision>1</cp:revision>
  <dc:subject/>
  <dc:title/>
</cp:coreProperties>
</file>