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ECCS Canvas App Shell Factory - Updated Source Configuration Build</w:t>
      </w:r>
    </w:p>
    <w:p>
      <w:r>
        <w:rPr>
          <w:color w:val="54585A"/>
          <w:sz w:val="22"/>
        </w:rPr>
        <w:t>Developer Build Insert | Build 60.18U.1 | 09/22/2026</w:t>
      </w:r>
    </w:p>
    <w:p>
      <w:pPr>
        <w:pStyle w:val="Heading1"/>
      </w:pPr>
      <w:r>
        <w:t>1. Build objective</w:t>
      </w:r>
    </w:p>
    <w:p>
      <w:r>
        <w:t>Update the ECCS Canvas App shells from the supplied ECCS - Registration POC.msapp so the application family uses a consistent shell while domain-specific configuration and functions are traceable to the attached XLSB source workbooks.</w:t>
      </w:r>
    </w:p>
    <w:p>
      <w:pPr>
        <w:pStyle w:val="Heading1"/>
      </w:pPr>
      <w:r>
        <w:t>2. Source artifacts used</w:t>
      </w:r>
    </w:p>
    <w:p>
      <w:pPr>
        <w:pStyle w:val="ListBullet"/>
      </w:pPr>
      <w:r>
        <w:t>ECCS - Registration POC.msapp</w:t>
      </w:r>
    </w:p>
    <w:p>
      <w:pPr>
        <w:pStyle w:val="ListBullet"/>
      </w:pPr>
      <w:r>
        <w:t>ACOE_Expanse_ConfigTool_EdmAutomationx.zip</w:t>
      </w:r>
    </w:p>
    <w:p>
      <w:pPr>
        <w:pStyle w:val="ListBullet"/>
      </w:pPr>
      <w:r>
        <w:t>Mapping_Expanse_NONMED_Domainx.zip</w:t>
      </w:r>
    </w:p>
    <w:p>
      <w:pPr>
        <w:pStyle w:val="ListBullet"/>
      </w:pPr>
      <w:r>
        <w:t>Mapping_Expanse_PHA_Domainx.zip</w:t>
      </w:r>
    </w:p>
    <w:p>
      <w:pPr>
        <w:pStyle w:val="ListBullet"/>
      </w:pPr>
      <w:r>
        <w:t>ExpanseCutoverConfig- Demo All Solutions.png</w:t>
      </w:r>
    </w:p>
    <w:p>
      <w:pPr>
        <w:pStyle w:val="ListBullet"/>
      </w:pPr>
      <w:r>
        <w:t>CutoverConfig-Pilot Demo.png</w:t>
      </w:r>
    </w:p>
    <w:p>
      <w:pPr>
        <w:pStyle w:val="Heading1"/>
      </w:pPr>
      <w:r>
        <w:t>3. Functions now present in the shell</w:t>
      </w:r>
    </w:p>
    <w:p>
      <w:pPr>
        <w:pStyle w:val="ListBullet"/>
      </w:pPr>
      <w:r>
        <w:t>single-select facility filtering</w:t>
      </w:r>
    </w:p>
    <w:p>
      <w:pPr>
        <w:pStyle w:val="ListBullet"/>
      </w:pPr>
      <w:r>
        <w:t>text search against source mnemonic and source description/name</w:t>
      </w:r>
    </w:p>
    <w:p>
      <w:pPr>
        <w:pStyle w:val="ListBullet"/>
      </w:pPr>
      <w:r>
        <w:t>results gallery with selected-record state</w:t>
      </w:r>
    </w:p>
    <w:p>
      <w:pPr>
        <w:pStyle w:val="ListBullet"/>
      </w:pPr>
      <w:r>
        <w:t>current source configuration display</w:t>
      </w:r>
    </w:p>
    <w:p>
      <w:pPr>
        <w:pStyle w:val="ListBullet"/>
      </w:pPr>
      <w:r>
        <w:t>proposed target configuration using Classic/TextInput@2.3.2</w:t>
      </w:r>
    </w:p>
    <w:p>
      <w:pPr>
        <w:pStyle w:val="ListBullet"/>
      </w:pPr>
      <w:r>
        <w:t>Action To Take selector</w:t>
      </w:r>
    </w:p>
    <w:p>
      <w:pPr>
        <w:pStyle w:val="ListBullet"/>
      </w:pPr>
      <w:r>
        <w:t>unsaved-change detection, Save and Cancel/Revert workflow</w:t>
      </w:r>
    </w:p>
    <w:p>
      <w:pPr>
        <w:pStyle w:val="ListBullet"/>
      </w:pPr>
      <w:r>
        <w:t>Patch + Refresh save pattern with update user/date-time capture</w:t>
      </w:r>
    </w:p>
    <w:p>
      <w:pPr>
        <w:pStyle w:val="ListBullet"/>
      </w:pPr>
      <w:r>
        <w:t>Target Match NO MATCH red/bold warning treatment</w:t>
      </w:r>
    </w:p>
    <w:p>
      <w:pPr>
        <w:pStyle w:val="ListBullet"/>
      </w:pPr>
      <w:r>
        <w:t>active-environment sync confirmation for LIVE/TEST/ZCON dated matches</w:t>
      </w:r>
    </w:p>
    <w:p>
      <w:pPr>
        <w:pStyle w:val="ListBullet"/>
      </w:pPr>
      <w:r>
        <w:t>ECCS lineage display retained from the Registration POC shell</w:t>
      </w:r>
    </w:p>
    <w:p>
      <w:pPr>
        <w:pStyle w:val="Heading1"/>
      </w:pPr>
      <w:r>
        <w:t>4. Source-configured applications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Application</w:t>
            </w:r>
          </w:p>
        </w:tc>
        <w:tc>
          <w:tcPr>
            <w:tcW w:type="dxa" w:w="3408"/>
          </w:tcPr>
          <w:p>
            <w:r>
              <w:t>Source worksheet(s)</w:t>
            </w:r>
          </w:p>
        </w:tc>
        <w:tc>
          <w:tcPr>
            <w:tcW w:type="dxa" w:w="3408"/>
          </w:tcPr>
          <w:p>
            <w:r>
              <w:t>Status</w:t>
            </w:r>
          </w:p>
        </w:tc>
      </w:tr>
      <w:tr>
        <w:tc>
          <w:tcPr>
            <w:tcW w:type="dxa" w:w="3408"/>
          </w:tcPr>
          <w:p>
            <w:r>
              <w:t>PTAC</w:t>
            </w:r>
          </w:p>
        </w:tc>
        <w:tc>
          <w:tcPr>
            <w:tcW w:type="dxa" w:w="3408"/>
          </w:tcPr>
          <w:p>
            <w:r>
              <w:t>None supplied</w:t>
            </w:r>
          </w:p>
        </w:tc>
        <w:tc>
          <w:tcPr>
            <w:tcW w:type="dxa" w:w="3408"/>
          </w:tcPr>
          <w:p>
            <w:r>
              <w:t>baseline shell; registration source schema is carried by the supplied msapp</w:t>
            </w:r>
          </w:p>
        </w:tc>
      </w:tr>
      <w:tr>
        <w:tc>
          <w:tcPr>
            <w:tcW w:type="dxa" w:w="3408"/>
          </w:tcPr>
          <w:p>
            <w:r>
              <w:t>Emergency Department</w:t>
            </w:r>
          </w:p>
        </w:tc>
        <w:tc>
          <w:tcPr>
            <w:tcW w:type="dxa" w:w="3408"/>
          </w:tcPr>
          <w:p>
            <w:r>
              <w:t>Complaints, TreatmentAreaStations, Priorities</w:t>
            </w:r>
          </w:p>
        </w:tc>
        <w:tc>
          <w:tcPr>
            <w:tcW w:type="dxa" w:w="3408"/>
          </w:tcPr>
          <w:p>
            <w:r>
              <w:t>configured from supplied workbook</w:t>
            </w:r>
          </w:p>
        </w:tc>
      </w:tr>
      <w:tr>
        <w:tc>
          <w:tcPr>
            <w:tcW w:type="dxa" w:w="3408"/>
          </w:tcPr>
          <w:p>
            <w:r>
              <w:t>RAD</w:t>
            </w:r>
          </w:p>
        </w:tc>
        <w:tc>
          <w:tcPr>
            <w:tcW w:type="dxa" w:w="3408"/>
          </w:tcPr>
          <w:p>
            <w:r>
              <w:t>None supplied</w:t>
            </w:r>
          </w:p>
        </w:tc>
        <w:tc>
          <w:tcPr>
            <w:tcW w:type="dxa" w:w="3408"/>
          </w:tcPr>
          <w:p>
            <w:r>
              <w:t>no RAD-specific worksheet was supplied in the attached NONMED workbook; shell retained and marked for schema binding</w:t>
            </w:r>
          </w:p>
        </w:tc>
      </w:tr>
      <w:tr>
        <w:tc>
          <w:tcPr>
            <w:tcW w:type="dxa" w:w="3408"/>
          </w:tcPr>
          <w:p>
            <w:r>
              <w:t>LAB</w:t>
            </w:r>
          </w:p>
        </w:tc>
        <w:tc>
          <w:tcPr>
            <w:tcW w:type="dxa" w:w="3408"/>
          </w:tcPr>
          <w:p>
            <w:r>
              <w:t>MicSpecimenSource</w:t>
            </w:r>
          </w:p>
        </w:tc>
        <w:tc>
          <w:tcPr>
            <w:tcW w:type="dxa" w:w="3408"/>
          </w:tcPr>
          <w:p>
            <w:r>
              <w:t>configured from supplied workbook</w:t>
            </w:r>
          </w:p>
        </w:tc>
      </w:tr>
      <w:tr>
        <w:tc>
          <w:tcPr>
            <w:tcW w:type="dxa" w:w="3408"/>
          </w:tcPr>
          <w:p>
            <w:r>
              <w:t>DIET</w:t>
            </w:r>
          </w:p>
        </w:tc>
        <w:tc>
          <w:tcPr>
            <w:tcW w:type="dxa" w:w="3408"/>
          </w:tcPr>
          <w:p>
            <w:r>
              <w:t>None supplied</w:t>
            </w:r>
          </w:p>
        </w:tc>
        <w:tc>
          <w:tcPr>
            <w:tcW w:type="dxa" w:w="3408"/>
          </w:tcPr>
          <w:p>
            <w:r>
              <w:t>no DIET-specific worksheet was supplied in the attached NONMED workbook; shell retained and marked for schema binding</w:t>
            </w:r>
          </w:p>
        </w:tc>
      </w:tr>
      <w:tr>
        <w:tc>
          <w:tcPr>
            <w:tcW w:type="dxa" w:w="3408"/>
          </w:tcPr>
          <w:p>
            <w:r>
              <w:t>OE</w:t>
            </w:r>
          </w:p>
        </w:tc>
        <w:tc>
          <w:tcPr>
            <w:tcW w:type="dxa" w:w="3408"/>
          </w:tcPr>
          <w:p>
            <w:r>
              <w:t>OeProcedure</w:t>
            </w:r>
          </w:p>
        </w:tc>
        <w:tc>
          <w:tcPr>
            <w:tcW w:type="dxa" w:w="3408"/>
          </w:tcPr>
          <w:p>
            <w:r>
              <w:t>configured from supplied workbook</w:t>
            </w:r>
          </w:p>
        </w:tc>
      </w:tr>
      <w:tr>
        <w:tc>
          <w:tcPr>
            <w:tcW w:type="dxa" w:w="3408"/>
          </w:tcPr>
          <w:p>
            <w:r>
              <w:t>CONSULTS</w:t>
            </w:r>
          </w:p>
        </w:tc>
        <w:tc>
          <w:tcPr>
            <w:tcW w:type="dxa" w:w="3408"/>
          </w:tcPr>
          <w:p>
            <w:r>
              <w:t>Config_AppendQuery, ScreenQueryGroupResponseElement</w:t>
            </w:r>
          </w:p>
        </w:tc>
        <w:tc>
          <w:tcPr>
            <w:tcW w:type="dxa" w:w="3408"/>
          </w:tcPr>
          <w:p>
            <w:r>
              <w:t>configured from supplied workbook</w:t>
            </w:r>
          </w:p>
        </w:tc>
      </w:tr>
      <w:tr>
        <w:tc>
          <w:tcPr>
            <w:tcW w:type="dxa" w:w="3408"/>
          </w:tcPr>
          <w:p>
            <w:r>
              <w:t>LEVEL OF CARE</w:t>
            </w:r>
          </w:p>
        </w:tc>
        <w:tc>
          <w:tcPr>
            <w:tcW w:type="dxa" w:w="3408"/>
          </w:tcPr>
          <w:p>
            <w:r>
              <w:t>None supplied</w:t>
            </w:r>
          </w:p>
        </w:tc>
        <w:tc>
          <w:tcPr>
            <w:tcW w:type="dxa" w:w="3408"/>
          </w:tcPr>
          <w:p>
            <w:r>
              <w:t>no level-of-care-specific worksheet was supplied in the attached NONMED workbook; shell retained and marked for schema binding</w:t>
            </w:r>
          </w:p>
        </w:tc>
      </w:tr>
      <w:tr>
        <w:tc>
          <w:tcPr>
            <w:tcW w:type="dxa" w:w="3408"/>
          </w:tcPr>
          <w:p>
            <w:r>
              <w:t>NURSING</w:t>
            </w:r>
          </w:p>
        </w:tc>
        <w:tc>
          <w:tcPr>
            <w:tcW w:type="dxa" w:w="3408"/>
          </w:tcPr>
          <w:p>
            <w:r>
              <w:t>None supplied</w:t>
            </w:r>
          </w:p>
        </w:tc>
        <w:tc>
          <w:tcPr>
            <w:tcW w:type="dxa" w:w="3408"/>
          </w:tcPr>
          <w:p>
            <w:r>
              <w:t>no nursing-specific worksheet was supplied in the attached NONMED workbook; shell retained and marked for schema binding</w:t>
            </w:r>
          </w:p>
        </w:tc>
      </w:tr>
      <w:tr>
        <w:tc>
          <w:tcPr>
            <w:tcW w:type="dxa" w:w="3408"/>
          </w:tcPr>
          <w:p>
            <w:r>
              <w:t>RT-PT-OT</w:t>
            </w:r>
          </w:p>
        </w:tc>
        <w:tc>
          <w:tcPr>
            <w:tcW w:type="dxa" w:w="3408"/>
          </w:tcPr>
          <w:p>
            <w:r>
              <w:t>None supplied</w:t>
            </w:r>
          </w:p>
        </w:tc>
        <w:tc>
          <w:tcPr>
            <w:tcW w:type="dxa" w:w="3408"/>
          </w:tcPr>
          <w:p>
            <w:r>
              <w:t>no RT/PT/OT-specific worksheet was supplied in the attached NONMED workbook; shell retained and marked for schema binding</w:t>
            </w:r>
          </w:p>
        </w:tc>
      </w:tr>
      <w:tr>
        <w:tc>
          <w:tcPr>
            <w:tcW w:type="dxa" w:w="3408"/>
          </w:tcPr>
          <w:p>
            <w:r>
              <w:t>EKG</w:t>
            </w:r>
          </w:p>
        </w:tc>
        <w:tc>
          <w:tcPr>
            <w:tcW w:type="dxa" w:w="3408"/>
          </w:tcPr>
          <w:p>
            <w:r>
              <w:t>None supplied</w:t>
            </w:r>
          </w:p>
        </w:tc>
        <w:tc>
          <w:tcPr>
            <w:tcW w:type="dxa" w:w="3408"/>
          </w:tcPr>
          <w:p>
            <w:r>
              <w:t>no EKG-specific worksheet was supplied in the attached NONMED workbook; shell retained and marked for schema binding</w:t>
            </w:r>
          </w:p>
        </w:tc>
      </w:tr>
      <w:tr>
        <w:tc>
          <w:tcPr>
            <w:tcW w:type="dxa" w:w="3408"/>
          </w:tcPr>
          <w:p>
            <w:r>
              <w:t>MED</w:t>
            </w:r>
          </w:p>
        </w:tc>
        <w:tc>
          <w:tcPr>
            <w:tcW w:type="dxa" w:w="3408"/>
          </w:tcPr>
          <w:p>
            <w:r>
              <w:t>Routes, DirectionsSigs, PhaOrderTypes, DrugDoseUnit, PrnReason, PhaMisScreens, PhaMisQueries, PhaMisGroupRespElements, RxAdminCriteria, MedMnemExclusions, LocationExclusions, MedTypeExclusions, DrugSiteRestrictions, ErrorConfiguration</w:t>
            </w:r>
          </w:p>
        </w:tc>
        <w:tc>
          <w:tcPr>
            <w:tcW w:type="dxa" w:w="3408"/>
          </w:tcPr>
          <w:p>
            <w:r>
              <w:t>configured from supplied workbook</w:t>
            </w:r>
          </w:p>
        </w:tc>
      </w:tr>
      <w:tr>
        <w:tc>
          <w:tcPr>
            <w:tcW w:type="dxa" w:w="3408"/>
          </w:tcPr>
          <w:p>
            <w:r>
              <w:t>MIS Provider</w:t>
            </w:r>
          </w:p>
        </w:tc>
        <w:tc>
          <w:tcPr>
            <w:tcW w:type="dxa" w:w="3408"/>
          </w:tcPr>
          <w:p>
            <w:r>
              <w:t>ProviderDictionary, UserDictionary</w:t>
            </w:r>
          </w:p>
        </w:tc>
        <w:tc>
          <w:tcPr>
            <w:tcW w:type="dxa" w:w="3408"/>
          </w:tcPr>
          <w:p>
            <w:r>
              <w:t>configured from supplied workbook</w:t>
            </w:r>
          </w:p>
        </w:tc>
      </w:tr>
      <w:tr>
        <w:tc>
          <w:tcPr>
            <w:tcW w:type="dxa" w:w="3408"/>
          </w:tcPr>
          <w:p>
            <w:r>
              <w:t>CNET</w:t>
            </w:r>
          </w:p>
        </w:tc>
        <w:tc>
          <w:tcPr>
            <w:tcW w:type="dxa" w:w="3408"/>
          </w:tcPr>
          <w:p>
            <w:r>
              <w:t>None supplied</w:t>
            </w:r>
          </w:p>
        </w:tc>
        <w:tc>
          <w:tcPr>
            <w:tcW w:type="dxa" w:w="3408"/>
          </w:tcPr>
          <w:p>
            <w:r>
              <w:t>shell prepared; CNET schema/config source not included in attached zips</w:t>
            </w:r>
          </w:p>
        </w:tc>
      </w:tr>
    </w:tbl>
    <w:p>
      <w:pPr>
        <w:pStyle w:val="Heading1"/>
      </w:pPr>
      <w:r>
        <w:t>5. Detailed installation procedure</w:t>
      </w:r>
    </w:p>
    <w:p>
      <w:r>
        <w:t>1. Open Power Apps maker portal and select DevelopmentAuto.</w:t>
      </w:r>
    </w:p>
    <w:p>
      <w:r>
        <w:t>2. Import the app-specific .msapp using Apps &gt; Import app &gt; From file (.msapp).</w:t>
      </w:r>
    </w:p>
    <w:p>
      <w:r>
        <w:t>3. Open the imported app in Power Apps Studio and use File &gt; Save as for the final app name.</w:t>
      </w:r>
    </w:p>
    <w:p>
      <w:r>
        <w:t>4. In Data, replace the retained Accommodation Data Clone source with the correct domain Dataverse table/view.</w:t>
      </w:r>
    </w:p>
    <w:p>
      <w:r>
        <w:t>5. Use field-mapping-template.json to bind Facility, source mnemonic/name, target fields, Action To Take, Target Match, and ECCS lineage.</w:t>
      </w:r>
    </w:p>
    <w:p>
      <w:r>
        <w:t>6. Use DOMAIN-FUNCTIONS.json and INSTALL-UPDATED.md for the domain-specific gallery, filtering, Patch, match, exclusion, restriction, provider, or error-threshold logic.</w:t>
      </w:r>
    </w:p>
    <w:p>
      <w:r>
        <w:t>7. Run the end-to-end validation: facility -&gt; search -&gt; record -&gt; edit -&gt; Action To Take -&gt; Save/Cancel -&gt; Target Match -&gt; Sync Check -&gt; lineage.</w:t>
      </w:r>
    </w:p>
    <w:p>
      <w:r>
        <w:t>8. Run App Checker; Save and Publish.</w:t>
      </w:r>
    </w:p>
    <w:p>
      <w:r>
        <w:t>9. Add the completed app to the ECCS solution and configure the corresponding Power Pages Application Hub link.</w:t>
      </w:r>
    </w:p>
    <w:p>
      <w:pPr>
        <w:pStyle w:val="Heading1"/>
      </w:pPr>
      <w:r>
        <w:t>6. Schema discipline</w:t>
      </w:r>
    </w:p>
    <w:p>
      <w:r>
        <w:t>The build applies only field names actually present in the supplied source worksheet headers. Where an application has no corresponding worksheet in the supplied zips, the package explicitly marks schema binding as required rather than inventing a data model.</w:t>
      </w:r>
    </w:p>
    <w:p>
      <w:pPr>
        <w:pStyle w:val="Heading1"/>
      </w:pPr>
      <w:r>
        <w:t>7. Developer acceptance criteria</w:t>
      </w:r>
    </w:p>
    <w:p>
      <w:pPr>
        <w:pStyle w:val="ListBullet"/>
      </w:pPr>
      <w:r>
        <w:t>App title/domain/module are correct.</w:t>
      </w:r>
    </w:p>
    <w:p>
      <w:pPr>
        <w:pStyle w:val="ListBullet"/>
      </w:pPr>
      <w:r>
        <w:t>Source workbook areas are visible in the shell header when known.</w:t>
      </w:r>
    </w:p>
    <w:p>
      <w:pPr>
        <w:pStyle w:val="ListBullet"/>
      </w:pPr>
      <w:r>
        <w:t>Domain source table/view is correctly bound.</w:t>
      </w:r>
    </w:p>
    <w:p>
      <w:pPr>
        <w:pStyle w:val="ListBullet"/>
      </w:pPr>
      <w:r>
        <w:t>Facility and search filters return expected records.</w:t>
      </w:r>
    </w:p>
    <w:p>
      <w:pPr>
        <w:pStyle w:val="ListBullet"/>
      </w:pPr>
      <w:r>
        <w:t>Current and proposed configuration values bind to the mapped fields.</w:t>
      </w:r>
    </w:p>
    <w:p>
      <w:pPr>
        <w:pStyle w:val="ListBullet"/>
      </w:pPr>
      <w:r>
        <w:t>Action To Take can be changed and saved.</w:t>
      </w:r>
    </w:p>
    <w:p>
      <w:pPr>
        <w:pStyle w:val="ListBullet"/>
      </w:pPr>
      <w:r>
        <w:t>Unsaved changes indicator works; Cancel restores committed values.</w:t>
      </w:r>
    </w:p>
    <w:p>
      <w:pPr>
        <w:pStyle w:val="ListBullet"/>
      </w:pPr>
      <w:r>
        <w:t>Target Match and sync prompt follow the mapped field and dated LIVE/TEST/ZCON rule.</w:t>
      </w:r>
    </w:p>
    <w:p>
      <w:pPr>
        <w:pStyle w:val="ListBullet"/>
      </w:pPr>
      <w:r>
        <w:t>ECCS lineage is traceable.</w:t>
      </w:r>
    </w:p>
    <w:p>
      <w:pPr>
        <w:pStyle w:val="ListBullet"/>
      </w:pPr>
      <w:r>
        <w:t>App Checker has no new blocking errors.</w:t>
      </w:r>
    </w:p>
    <w:p>
      <w:pPr>
        <w:pStyle w:val="Heading1"/>
      </w:pPr>
      <w:r>
        <w:t>8. Resume/build checkpoint</w:t>
      </w:r>
    </w:p>
    <w:p>
      <w:r>
        <w:t>This source-integration build is an extension of the ECCS 60.18U workflow. The next maker validation step is to install one updated shell, bind its domain Dataverse source, and execute the acceptance checks before repeating the pattern across the remaining applications.</w:t>
      </w:r>
    </w:p>
    <w:p>
      <w:pPr>
        <w:spacing w:before="160"/>
      </w:pPr>
      <w:r>
        <w:rPr>
          <w:rFonts w:ascii="Arial" w:hAnsi="Arial"/>
          <w:b/>
          <w:color w:val="03173E"/>
          <w:sz w:val="36"/>
        </w:rPr>
        <w:t>60.18V - ECCS Bulk Upload and Source-to-Expanse DR Mapping</w:t>
      </w:r>
    </w:p>
    <w:p>
      <w:pPr/>
      <w:r>
        <w:t>Build objective: add an ECCS Upload shell for bulk configuration intake, source-to-Expanse DR candidate mapping, configurable match grading, human review, controlled commit, and audit lineage. The shell uses the supplied ECCS - Registration POC.msapp as the starter interaction shell and does not overwrite the Registration POC.</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03173E"/>
          </w:tcPr>
          <w:p>
            <w:r/>
            <w:r>
              <w:rPr>
                <w:rFonts w:ascii="Arial" w:hAnsi="Arial"/>
                <w:b/>
                <w:color w:val="FFFFFF"/>
                <w:sz w:val="18"/>
              </w:rPr>
              <w:t>Step</w:t>
            </w:r>
          </w:p>
        </w:tc>
        <w:tc>
          <w:tcPr>
            <w:tcW w:type="dxa" w:w="3408"/>
            <w:vAlign w:val="center"/>
            <w:shd w:fill="03173E"/>
          </w:tcPr>
          <w:p>
            <w:r/>
            <w:r>
              <w:rPr>
                <w:rFonts w:ascii="Arial" w:hAnsi="Arial"/>
                <w:b/>
                <w:color w:val="FFFFFF"/>
                <w:sz w:val="18"/>
              </w:rPr>
              <w:t>Build action</w:t>
            </w:r>
          </w:p>
        </w:tc>
        <w:tc>
          <w:tcPr>
            <w:tcW w:type="dxa" w:w="3408"/>
            <w:vAlign w:val="center"/>
            <w:shd w:fill="03173E"/>
          </w:tcPr>
          <w:p>
            <w:r/>
            <w:r>
              <w:rPr>
                <w:rFonts w:ascii="Arial" w:hAnsi="Arial"/>
                <w:b/>
                <w:color w:val="FFFFFF"/>
                <w:sz w:val="18"/>
              </w:rPr>
              <w:t>Implementation detail</w:t>
            </w:r>
          </w:p>
        </w:tc>
      </w:tr>
      <w:tr>
        <w:tc>
          <w:tcPr>
            <w:tcW w:type="dxa" w:w="3408"/>
            <w:vAlign w:val="center"/>
          </w:tcPr>
          <w:p>
            <w:r/>
            <w:r>
              <w:rPr>
                <w:rFonts w:ascii="Arial" w:hAnsi="Arial"/>
                <w:b/>
                <w:color w:val="03173E"/>
                <w:sz w:val="18"/>
              </w:rPr>
              <w:t>60.18V.1</w:t>
            </w:r>
          </w:p>
        </w:tc>
        <w:tc>
          <w:tcPr>
            <w:tcW w:type="dxa" w:w="3408"/>
            <w:vAlign w:val="center"/>
          </w:tcPr>
          <w:p>
            <w:r/>
            <w:r>
              <w:rPr>
                <w:rFonts w:ascii="Arial" w:hAnsi="Arial"/>
                <w:b/>
                <w:color w:val="E05929"/>
                <w:sz w:val="18"/>
              </w:rPr>
              <w:t>Import the starter shell</w:t>
            </w:r>
          </w:p>
        </w:tc>
        <w:tc>
          <w:tcPr>
            <w:tcW w:type="dxa" w:w="3408"/>
            <w:vAlign w:val="center"/>
          </w:tcPr>
          <w:p>
            <w:r/>
            <w:r>
              <w:rPr>
                <w:rFonts w:ascii="Arial" w:hAnsi="Arial"/>
                <w:b w:val="0"/>
                <w:color w:val="54585A"/>
                <w:sz w:val="17"/>
              </w:rPr>
              <w:t>Power Apps &gt; Apps &gt; Import app &gt; From file (.msapp). Select the supplied upload shell. Save as ECCS - Upload &amp; Mapping POC. Microsoft documents .msapp import through Apps &gt; Import app &gt; From file (.msapp).</w:t>
            </w:r>
          </w:p>
        </w:tc>
      </w:tr>
      <w:tr>
        <w:tc>
          <w:tcPr>
            <w:tcW w:type="dxa" w:w="3408"/>
            <w:vAlign w:val="center"/>
          </w:tcPr>
          <w:p>
            <w:r/>
            <w:r>
              <w:rPr>
                <w:rFonts w:ascii="Arial" w:hAnsi="Arial"/>
                <w:b/>
                <w:color w:val="03173E"/>
                <w:sz w:val="18"/>
              </w:rPr>
              <w:t>60.18V.2</w:t>
            </w:r>
          </w:p>
        </w:tc>
        <w:tc>
          <w:tcPr>
            <w:tcW w:type="dxa" w:w="3408"/>
            <w:vAlign w:val="center"/>
          </w:tcPr>
          <w:p>
            <w:r/>
            <w:r>
              <w:rPr>
                <w:rFonts w:ascii="Arial" w:hAnsi="Arial"/>
                <w:b/>
                <w:color w:val="E05929"/>
                <w:sz w:val="18"/>
              </w:rPr>
              <w:t>Create staging/reference tables</w:t>
            </w:r>
          </w:p>
        </w:tc>
        <w:tc>
          <w:tcPr>
            <w:tcW w:type="dxa" w:w="3408"/>
            <w:vAlign w:val="center"/>
          </w:tcPr>
          <w:p>
            <w:r/>
            <w:r>
              <w:rPr>
                <w:rFonts w:ascii="Arial" w:hAnsi="Arial"/>
                <w:b w:val="0"/>
                <w:color w:val="54585A"/>
                <w:sz w:val="17"/>
              </w:rPr>
              <w:t>Create ECCS Upload Batch, ECCS Upload Row, ECCS Target DR Reference, and ECCS Mapping Result. Keep source file/row lineage in staging and mapping results.</w:t>
            </w:r>
          </w:p>
        </w:tc>
      </w:tr>
      <w:tr>
        <w:tc>
          <w:tcPr>
            <w:tcW w:type="dxa" w:w="3408"/>
            <w:vAlign w:val="center"/>
          </w:tcPr>
          <w:p>
            <w:r/>
            <w:r>
              <w:rPr>
                <w:rFonts w:ascii="Arial" w:hAnsi="Arial"/>
                <w:b/>
                <w:color w:val="03173E"/>
                <w:sz w:val="18"/>
              </w:rPr>
              <w:t>60.18V.3</w:t>
            </w:r>
          </w:p>
        </w:tc>
        <w:tc>
          <w:tcPr>
            <w:tcW w:type="dxa" w:w="3408"/>
            <w:vAlign w:val="center"/>
          </w:tcPr>
          <w:p>
            <w:r/>
            <w:r>
              <w:rPr>
                <w:rFonts w:ascii="Arial" w:hAnsi="Arial"/>
                <w:b/>
                <w:color w:val="E05929"/>
                <w:sz w:val="18"/>
              </w:rPr>
              <w:t>Build Upload screen</w:t>
            </w:r>
          </w:p>
        </w:tc>
        <w:tc>
          <w:tcPr>
            <w:tcW w:type="dxa" w:w="3408"/>
            <w:vAlign w:val="center"/>
          </w:tcPr>
          <w:p>
            <w:r/>
            <w:r>
              <w:rPr>
                <w:rFonts w:ascii="Arial" w:hAnsi="Arial"/>
                <w:b w:val="0"/>
                <w:color w:val="54585A"/>
                <w:sz w:val="17"/>
              </w:rPr>
              <w:t>Add domain selector, batch name, form, Attachments control, create/stage action, parse action, batch status, row counts, and staged-row gallery. The Attachments control upload operation is supported for Dataverse/list-backed forms.</w:t>
            </w:r>
          </w:p>
        </w:tc>
      </w:tr>
      <w:tr>
        <w:tc>
          <w:tcPr>
            <w:tcW w:type="dxa" w:w="3408"/>
            <w:vAlign w:val="center"/>
          </w:tcPr>
          <w:p>
            <w:r/>
            <w:r>
              <w:rPr>
                <w:rFonts w:ascii="Arial" w:hAnsi="Arial"/>
                <w:b/>
                <w:color w:val="03173E"/>
                <w:sz w:val="18"/>
              </w:rPr>
              <w:t>60.18V.4</w:t>
            </w:r>
          </w:p>
        </w:tc>
        <w:tc>
          <w:tcPr>
            <w:tcW w:type="dxa" w:w="3408"/>
            <w:vAlign w:val="center"/>
          </w:tcPr>
          <w:p>
            <w:r/>
            <w:r>
              <w:rPr>
                <w:rFonts w:ascii="Arial" w:hAnsi="Arial"/>
                <w:b/>
                <w:color w:val="E05929"/>
                <w:sz w:val="18"/>
              </w:rPr>
              <w:t>Run parse/stage flow</w:t>
            </w:r>
          </w:p>
        </w:tc>
        <w:tc>
          <w:tcPr>
            <w:tcW w:type="dxa" w:w="3408"/>
            <w:vAlign w:val="center"/>
          </w:tcPr>
          <w:p>
            <w:r/>
            <w:r>
              <w:rPr>
                <w:rFonts w:ascii="Arial" w:hAnsi="Arial"/>
                <w:b w:val="0"/>
                <w:color w:val="54585A"/>
                <w:sz w:val="17"/>
              </w:rPr>
              <w:t>Canvas button invokes ECCS Upload Parse and Stage. Flow validates file type/header, parses the CSV/XLSX, writes staging rows, returns counts, and never writes directly to Expanse DR.</w:t>
            </w:r>
          </w:p>
        </w:tc>
      </w:tr>
      <w:tr>
        <w:tc>
          <w:tcPr>
            <w:tcW w:type="dxa" w:w="3408"/>
            <w:vAlign w:val="center"/>
          </w:tcPr>
          <w:p>
            <w:r/>
            <w:r>
              <w:rPr>
                <w:rFonts w:ascii="Arial" w:hAnsi="Arial"/>
                <w:b/>
                <w:color w:val="03173E"/>
                <w:sz w:val="18"/>
              </w:rPr>
              <w:t>60.18V.5</w:t>
            </w:r>
          </w:p>
        </w:tc>
        <w:tc>
          <w:tcPr>
            <w:tcW w:type="dxa" w:w="3408"/>
            <w:vAlign w:val="center"/>
          </w:tcPr>
          <w:p>
            <w:r/>
            <w:r>
              <w:rPr>
                <w:rFonts w:ascii="Arial" w:hAnsi="Arial"/>
                <w:b/>
                <w:color w:val="E05929"/>
                <w:sz w:val="18"/>
              </w:rPr>
              <w:t>Build candidate mapping</w:t>
            </w:r>
          </w:p>
        </w:tc>
        <w:tc>
          <w:tcPr>
            <w:tcW w:type="dxa" w:w="3408"/>
            <w:vAlign w:val="center"/>
          </w:tcPr>
          <w:p>
            <w:r/>
            <w:r>
              <w:rPr>
                <w:rFonts w:ascii="Arial" w:hAnsi="Arial"/>
                <w:b w:val="0"/>
                <w:color w:val="54585A"/>
                <w:sz w:val="17"/>
              </w:rPr>
              <w:t>Filter target DR reference rows by strongest available key (normally facility), calculate a weighted score for each candidate, keep the highest score, and flag ties as exceptions.</w:t>
            </w:r>
          </w:p>
        </w:tc>
      </w:tr>
      <w:tr>
        <w:tc>
          <w:tcPr>
            <w:tcW w:type="dxa" w:w="3408"/>
            <w:vAlign w:val="center"/>
          </w:tcPr>
          <w:p>
            <w:r/>
            <w:r>
              <w:rPr>
                <w:rFonts w:ascii="Arial" w:hAnsi="Arial"/>
                <w:b/>
                <w:color w:val="03173E"/>
                <w:sz w:val="18"/>
              </w:rPr>
              <w:t>60.18V.6</w:t>
            </w:r>
          </w:p>
        </w:tc>
        <w:tc>
          <w:tcPr>
            <w:tcW w:type="dxa" w:w="3408"/>
            <w:vAlign w:val="center"/>
          </w:tcPr>
          <w:p>
            <w:r/>
            <w:r>
              <w:rPr>
                <w:rFonts w:ascii="Arial" w:hAnsi="Arial"/>
                <w:b/>
                <w:color w:val="E05929"/>
                <w:sz w:val="18"/>
              </w:rPr>
              <w:t>Apply match grades</w:t>
            </w:r>
          </w:p>
        </w:tc>
        <w:tc>
          <w:tcPr>
            <w:tcW w:type="dxa" w:w="3408"/>
            <w:vAlign w:val="center"/>
          </w:tcPr>
          <w:p>
            <w:r/>
            <w:r>
              <w:rPr>
                <w:rFonts w:ascii="Arial" w:hAnsi="Arial"/>
                <w:b w:val="0"/>
                <w:color w:val="54585A"/>
                <w:sz w:val="17"/>
              </w:rPr>
              <w:t>Use rounded integer percentage bands: Primary 0-25%, Secondary 26-50%, Tertiary 51-75%, Complete 76-100%. Thresholds are configuration, not hard-coded policy.</w:t>
            </w:r>
          </w:p>
        </w:tc>
      </w:tr>
      <w:tr>
        <w:tc>
          <w:tcPr>
            <w:tcW w:type="dxa" w:w="3408"/>
            <w:vAlign w:val="center"/>
          </w:tcPr>
          <w:p>
            <w:r/>
            <w:r>
              <w:rPr>
                <w:rFonts w:ascii="Arial" w:hAnsi="Arial"/>
                <w:b/>
                <w:color w:val="03173E"/>
                <w:sz w:val="18"/>
              </w:rPr>
              <w:t>60.18V.7</w:t>
            </w:r>
          </w:p>
        </w:tc>
        <w:tc>
          <w:tcPr>
            <w:tcW w:type="dxa" w:w="3408"/>
            <w:vAlign w:val="center"/>
          </w:tcPr>
          <w:p>
            <w:r/>
            <w:r>
              <w:rPr>
                <w:rFonts w:ascii="Arial" w:hAnsi="Arial"/>
                <w:b/>
                <w:color w:val="E05929"/>
                <w:sz w:val="18"/>
              </w:rPr>
              <w:t>Review/override</w:t>
            </w:r>
          </w:p>
        </w:tc>
        <w:tc>
          <w:tcPr>
            <w:tcW w:type="dxa" w:w="3408"/>
            <w:vAlign w:val="center"/>
          </w:tcPr>
          <w:p>
            <w:r/>
            <w:r>
              <w:rPr>
                <w:rFonts w:ascii="Arial" w:hAnsi="Arial"/>
                <w:b w:val="0"/>
                <w:color w:val="54585A"/>
                <w:sz w:val="17"/>
              </w:rPr>
              <w:t>Show source, target, score, tier, matched fields, candidate count, tie flag, and suggested action. Allow accept, manual override, review, or exclude.</w:t>
            </w:r>
          </w:p>
        </w:tc>
      </w:tr>
      <w:tr>
        <w:tc>
          <w:tcPr>
            <w:tcW w:type="dxa" w:w="3408"/>
            <w:vAlign w:val="center"/>
          </w:tcPr>
          <w:p>
            <w:r/>
            <w:r>
              <w:rPr>
                <w:rFonts w:ascii="Arial" w:hAnsi="Arial"/>
                <w:b/>
                <w:color w:val="03173E"/>
                <w:sz w:val="18"/>
              </w:rPr>
              <w:t>60.18V.8</w:t>
            </w:r>
          </w:p>
        </w:tc>
        <w:tc>
          <w:tcPr>
            <w:tcW w:type="dxa" w:w="3408"/>
            <w:vAlign w:val="center"/>
          </w:tcPr>
          <w:p>
            <w:r/>
            <w:r>
              <w:rPr>
                <w:rFonts w:ascii="Arial" w:hAnsi="Arial"/>
                <w:b/>
                <w:color w:val="E05929"/>
                <w:sz w:val="18"/>
              </w:rPr>
              <w:t>Controlled DR commit</w:t>
            </w:r>
          </w:p>
        </w:tc>
        <w:tc>
          <w:tcPr>
            <w:tcW w:type="dxa" w:w="3408"/>
            <w:vAlign w:val="center"/>
          </w:tcPr>
          <w:p>
            <w:r/>
            <w:r>
              <w:rPr>
                <w:rFonts w:ascii="Arial" w:hAnsi="Arial"/>
                <w:b w:val="0"/>
                <w:color w:val="54585A"/>
                <w:sz w:val="17"/>
              </w:rPr>
              <w:t>Only approved rows are sent to ECCS Commit Approved Mapping. Record execution ID, user, timestamp, counts, and any errors. Direct upload-to-DR writes are prohibited in the starter design.</w:t>
            </w:r>
          </w:p>
        </w:tc>
      </w:tr>
      <w:tr>
        <w:tc>
          <w:tcPr>
            <w:tcW w:type="dxa" w:w="3408"/>
            <w:vAlign w:val="center"/>
          </w:tcPr>
          <w:p>
            <w:r/>
            <w:r>
              <w:rPr>
                <w:rFonts w:ascii="Arial" w:hAnsi="Arial"/>
                <w:b/>
                <w:color w:val="03173E"/>
                <w:sz w:val="18"/>
              </w:rPr>
              <w:t>60.18V.9</w:t>
            </w:r>
          </w:p>
        </w:tc>
        <w:tc>
          <w:tcPr>
            <w:tcW w:type="dxa" w:w="3408"/>
            <w:vAlign w:val="center"/>
          </w:tcPr>
          <w:p>
            <w:r/>
            <w:r>
              <w:rPr>
                <w:rFonts w:ascii="Arial" w:hAnsi="Arial"/>
                <w:b/>
                <w:color w:val="E05929"/>
                <w:sz w:val="18"/>
              </w:rPr>
              <w:t>Test all bands</w:t>
            </w:r>
          </w:p>
        </w:tc>
        <w:tc>
          <w:tcPr>
            <w:tcW w:type="dxa" w:w="3408"/>
            <w:vAlign w:val="center"/>
          </w:tcPr>
          <w:p>
            <w:r/>
            <w:r>
              <w:rPr>
                <w:rFonts w:ascii="Arial" w:hAnsi="Arial"/>
                <w:b w:val="0"/>
                <w:color w:val="54585A"/>
                <w:sz w:val="17"/>
              </w:rPr>
              <w:t>Test Complete, Tertiary, Secondary, Primary, No Match, and tied-candidate cases. Confirm source data remains traceable to uploaded file and source row.</w:t>
            </w:r>
          </w:p>
        </w:tc>
      </w:tr>
      <w:tr>
        <w:tc>
          <w:tcPr>
            <w:tcW w:type="dxa" w:w="3408"/>
            <w:vAlign w:val="center"/>
          </w:tcPr>
          <w:p>
            <w:r/>
            <w:r>
              <w:rPr>
                <w:rFonts w:ascii="Arial" w:hAnsi="Arial"/>
                <w:b/>
                <w:color w:val="03173E"/>
                <w:sz w:val="18"/>
              </w:rPr>
              <w:t>60.18V.10</w:t>
            </w:r>
          </w:p>
        </w:tc>
        <w:tc>
          <w:tcPr>
            <w:tcW w:type="dxa" w:w="3408"/>
            <w:vAlign w:val="center"/>
          </w:tcPr>
          <w:p>
            <w:r/>
            <w:r>
              <w:rPr>
                <w:rFonts w:ascii="Arial" w:hAnsi="Arial"/>
                <w:b/>
                <w:color w:val="E05929"/>
                <w:sz w:val="18"/>
              </w:rPr>
              <w:t>Publish and Power Pages</w:t>
            </w:r>
          </w:p>
        </w:tc>
        <w:tc>
          <w:tcPr>
            <w:tcW w:type="dxa" w:w="3408"/>
            <w:vAlign w:val="center"/>
          </w:tcPr>
          <w:p>
            <w:r/>
            <w:r>
              <w:rPr>
                <w:rFonts w:ascii="Arial" w:hAnsi="Arial"/>
                <w:b w:val="0"/>
                <w:color w:val="54585A"/>
                <w:sz w:val="17"/>
              </w:rPr>
              <w:t>Run App Checker, save/publish, capture the App ID/play URL, and add the app as an Upload &amp; Mapping utility/application in the ECCS Power Pages Application Hub.</w:t>
            </w:r>
          </w:p>
        </w:tc>
      </w:tr>
    </w:tbl>
    <w:p>
      <w:r>
        <w:rPr>
          <w:rFonts w:ascii="Arial" w:hAnsi="Arial"/>
          <w:b/>
          <w:color w:val="03173E"/>
          <w:sz w:val="28"/>
        </w:rPr>
        <w:t>Default match configuration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03173E"/>
          </w:tcPr>
          <w:p>
            <w:r/>
            <w:r>
              <w:rPr>
                <w:rFonts w:ascii="Arial" w:hAnsi="Arial"/>
                <w:b/>
                <w:color w:val="FFFFFF"/>
                <w:sz w:val="18"/>
              </w:rPr>
              <w:t>Field</w:t>
            </w:r>
          </w:p>
        </w:tc>
        <w:tc>
          <w:tcPr>
            <w:tcW w:type="dxa" w:w="2556"/>
            <w:vAlign w:val="center"/>
            <w:shd w:fill="03173E"/>
          </w:tcPr>
          <w:p>
            <w:r/>
            <w:r>
              <w:rPr>
                <w:rFonts w:ascii="Arial" w:hAnsi="Arial"/>
                <w:b/>
                <w:color w:val="FFFFFF"/>
                <w:sz w:val="18"/>
              </w:rPr>
              <w:t>Weight</w:t>
            </w:r>
          </w:p>
        </w:tc>
        <w:tc>
          <w:tcPr>
            <w:tcW w:type="dxa" w:w="2556"/>
            <w:vAlign w:val="center"/>
            <w:shd w:fill="03173E"/>
          </w:tcPr>
          <w:p>
            <w:r/>
            <w:r>
              <w:rPr>
                <w:rFonts w:ascii="Arial" w:hAnsi="Arial"/>
                <w:b/>
                <w:color w:val="FFFFFF"/>
                <w:sz w:val="18"/>
              </w:rPr>
              <w:t>Purpose</w:t>
            </w:r>
          </w:p>
        </w:tc>
        <w:tc>
          <w:tcPr>
            <w:tcW w:type="dxa" w:w="2556"/>
            <w:vAlign w:val="center"/>
            <w:shd w:fill="03173E"/>
          </w:tcPr>
          <w:p>
            <w:r/>
            <w:r>
              <w:rPr>
                <w:rFonts w:ascii="Arial" w:hAnsi="Arial"/>
                <w:b/>
                <w:color w:val="FFFFFF"/>
                <w:sz w:val="18"/>
              </w:rPr>
              <w:t>Example</w:t>
            </w:r>
          </w:p>
        </w:tc>
      </w:tr>
      <w:tr>
        <w:tc>
          <w:tcPr>
            <w:tcW w:type="dxa" w:w="2556"/>
            <w:vAlign w:val="center"/>
          </w:tcPr>
          <w:p>
            <w:r/>
            <w:r>
              <w:rPr>
                <w:rFonts w:ascii="Arial" w:hAnsi="Arial"/>
                <w:b/>
                <w:color w:val="E05929"/>
                <w:sz w:val="17"/>
              </w:rPr>
              <w:t>Facility</w:t>
            </w:r>
          </w:p>
        </w:tc>
        <w:tc>
          <w:tcPr>
            <w:tcW w:type="dxa" w:w="2556"/>
            <w:vAlign w:val="center"/>
          </w:tcPr>
          <w:p>
            <w:r/>
            <w:r>
              <w:rPr>
                <w:rFonts w:ascii="Arial" w:hAnsi="Arial"/>
                <w:b w:val="0"/>
                <w:color w:val="54585A"/>
                <w:sz w:val="17"/>
              </w:rPr>
              <w:t>30%</w:t>
            </w:r>
          </w:p>
        </w:tc>
        <w:tc>
          <w:tcPr>
            <w:tcW w:type="dxa" w:w="2556"/>
            <w:vAlign w:val="center"/>
          </w:tcPr>
          <w:p>
            <w:r/>
            <w:r>
              <w:rPr>
                <w:rFonts w:ascii="Arial" w:hAnsi="Arial"/>
                <w:b w:val="0"/>
                <w:color w:val="54585A"/>
                <w:sz w:val="17"/>
              </w:rPr>
              <w:t>Primary scoping key</w:t>
            </w:r>
          </w:p>
        </w:tc>
        <w:tc>
          <w:tcPr>
            <w:tcW w:type="dxa" w:w="2556"/>
            <w:vAlign w:val="center"/>
          </w:tcPr>
          <w:p>
            <w:r/>
            <w:r>
              <w:rPr>
                <w:rFonts w:ascii="Arial" w:hAnsi="Arial"/>
                <w:b w:val="0"/>
                <w:color w:val="54585A"/>
                <w:sz w:val="17"/>
              </w:rPr>
              <w:t>FacilityMnem_Source = FacilityMnem_Target</w:t>
            </w:r>
          </w:p>
        </w:tc>
      </w:tr>
      <w:tr>
        <w:tc>
          <w:tcPr>
            <w:tcW w:type="dxa" w:w="2556"/>
            <w:vAlign w:val="center"/>
          </w:tcPr>
          <w:p>
            <w:r/>
            <w:r>
              <w:rPr>
                <w:rFonts w:ascii="Arial" w:hAnsi="Arial"/>
                <w:b/>
                <w:color w:val="E05929"/>
                <w:sz w:val="17"/>
              </w:rPr>
              <w:t>Mnemonic</w:t>
            </w:r>
          </w:p>
        </w:tc>
        <w:tc>
          <w:tcPr>
            <w:tcW w:type="dxa" w:w="2556"/>
            <w:vAlign w:val="center"/>
          </w:tcPr>
          <w:p>
            <w:r/>
            <w:r>
              <w:rPr>
                <w:rFonts w:ascii="Arial" w:hAnsi="Arial"/>
                <w:b w:val="0"/>
                <w:color w:val="54585A"/>
                <w:sz w:val="17"/>
              </w:rPr>
              <w:t>30%</w:t>
            </w:r>
          </w:p>
        </w:tc>
        <w:tc>
          <w:tcPr>
            <w:tcW w:type="dxa" w:w="2556"/>
            <w:vAlign w:val="center"/>
          </w:tcPr>
          <w:p>
            <w:r/>
            <w:r>
              <w:rPr>
                <w:rFonts w:ascii="Arial" w:hAnsi="Arial"/>
                <w:b w:val="0"/>
                <w:color w:val="54585A"/>
                <w:sz w:val="17"/>
              </w:rPr>
              <w:t>Exact normalized mapping key</w:t>
            </w:r>
          </w:p>
        </w:tc>
        <w:tc>
          <w:tcPr>
            <w:tcW w:type="dxa" w:w="2556"/>
            <w:vAlign w:val="center"/>
          </w:tcPr>
          <w:p>
            <w:r/>
            <w:r>
              <w:rPr>
                <w:rFonts w:ascii="Arial" w:hAnsi="Arial"/>
                <w:b w:val="0"/>
                <w:color w:val="54585A"/>
                <w:sz w:val="17"/>
              </w:rPr>
              <w:t>Mnemonic_Source = Mnemonic_Target</w:t>
            </w:r>
          </w:p>
        </w:tc>
      </w:tr>
      <w:tr>
        <w:tc>
          <w:tcPr>
            <w:tcW w:type="dxa" w:w="2556"/>
            <w:vAlign w:val="center"/>
          </w:tcPr>
          <w:p>
            <w:r/>
            <w:r>
              <w:rPr>
                <w:rFonts w:ascii="Arial" w:hAnsi="Arial"/>
                <w:b/>
                <w:color w:val="E05929"/>
                <w:sz w:val="17"/>
              </w:rPr>
              <w:t>Name / Description</w:t>
            </w:r>
          </w:p>
        </w:tc>
        <w:tc>
          <w:tcPr>
            <w:tcW w:type="dxa" w:w="2556"/>
            <w:vAlign w:val="center"/>
          </w:tcPr>
          <w:p>
            <w:r/>
            <w:r>
              <w:rPr>
                <w:rFonts w:ascii="Arial" w:hAnsi="Arial"/>
                <w:b w:val="0"/>
                <w:color w:val="54585A"/>
                <w:sz w:val="17"/>
              </w:rPr>
              <w:t>20%</w:t>
            </w:r>
          </w:p>
        </w:tc>
        <w:tc>
          <w:tcPr>
            <w:tcW w:type="dxa" w:w="2556"/>
            <w:vAlign w:val="center"/>
          </w:tcPr>
          <w:p>
            <w:r/>
            <w:r>
              <w:rPr>
                <w:rFonts w:ascii="Arial" w:hAnsi="Arial"/>
                <w:b w:val="0"/>
                <w:color w:val="54585A"/>
                <w:sz w:val="17"/>
              </w:rPr>
              <w:t>Semantic name agreement</w:t>
            </w:r>
          </w:p>
        </w:tc>
        <w:tc>
          <w:tcPr>
            <w:tcW w:type="dxa" w:w="2556"/>
            <w:vAlign w:val="center"/>
          </w:tcPr>
          <w:p>
            <w:r/>
            <w:r>
              <w:rPr>
                <w:rFonts w:ascii="Arial" w:hAnsi="Arial"/>
                <w:b w:val="0"/>
                <w:color w:val="54585A"/>
                <w:sz w:val="17"/>
              </w:rPr>
              <w:t>Name_Source = Name_Target</w:t>
            </w:r>
          </w:p>
        </w:tc>
      </w:tr>
      <w:tr>
        <w:tc>
          <w:tcPr>
            <w:tcW w:type="dxa" w:w="2556"/>
            <w:vAlign w:val="center"/>
          </w:tcPr>
          <w:p>
            <w:r/>
            <w:r>
              <w:rPr>
                <w:rFonts w:ascii="Arial" w:hAnsi="Arial"/>
                <w:b/>
                <w:color w:val="E05929"/>
                <w:sz w:val="17"/>
              </w:rPr>
              <w:t>PA / secondary key</w:t>
            </w:r>
          </w:p>
        </w:tc>
        <w:tc>
          <w:tcPr>
            <w:tcW w:type="dxa" w:w="2556"/>
            <w:vAlign w:val="center"/>
          </w:tcPr>
          <w:p>
            <w:r/>
            <w:r>
              <w:rPr>
                <w:rFonts w:ascii="Arial" w:hAnsi="Arial"/>
                <w:b w:val="0"/>
                <w:color w:val="54585A"/>
                <w:sz w:val="17"/>
              </w:rPr>
              <w:t>10%</w:t>
            </w:r>
          </w:p>
        </w:tc>
        <w:tc>
          <w:tcPr>
            <w:tcW w:type="dxa" w:w="2556"/>
            <w:vAlign w:val="center"/>
          </w:tcPr>
          <w:p>
            <w:r/>
            <w:r>
              <w:rPr>
                <w:rFonts w:ascii="Arial" w:hAnsi="Arial"/>
                <w:b w:val="0"/>
                <w:color w:val="54585A"/>
                <w:sz w:val="17"/>
              </w:rPr>
              <w:t>Domain-specific secondary identifier</w:t>
            </w:r>
          </w:p>
        </w:tc>
        <w:tc>
          <w:tcPr>
            <w:tcW w:type="dxa" w:w="2556"/>
            <w:vAlign w:val="center"/>
          </w:tcPr>
          <w:p>
            <w:r/>
            <w:r>
              <w:rPr>
                <w:rFonts w:ascii="Arial" w:hAnsi="Arial"/>
                <w:b w:val="0"/>
                <w:color w:val="54585A"/>
                <w:sz w:val="17"/>
              </w:rPr>
              <w:t>PA_Code_Source = PA_Code_Target</w:t>
            </w:r>
          </w:p>
        </w:tc>
      </w:tr>
      <w:tr>
        <w:tc>
          <w:tcPr>
            <w:tcW w:type="dxa" w:w="2556"/>
            <w:vAlign w:val="center"/>
          </w:tcPr>
          <w:p>
            <w:r/>
            <w:r>
              <w:rPr>
                <w:rFonts w:ascii="Arial" w:hAnsi="Arial"/>
                <w:b/>
                <w:color w:val="E05929"/>
                <w:sz w:val="17"/>
              </w:rPr>
              <w:t>Active</w:t>
            </w:r>
          </w:p>
        </w:tc>
        <w:tc>
          <w:tcPr>
            <w:tcW w:type="dxa" w:w="2556"/>
            <w:vAlign w:val="center"/>
          </w:tcPr>
          <w:p>
            <w:r/>
            <w:r>
              <w:rPr>
                <w:rFonts w:ascii="Arial" w:hAnsi="Arial"/>
                <w:b w:val="0"/>
                <w:color w:val="54585A"/>
                <w:sz w:val="17"/>
              </w:rPr>
              <w:t>10%</w:t>
            </w:r>
          </w:p>
        </w:tc>
        <w:tc>
          <w:tcPr>
            <w:tcW w:type="dxa" w:w="2556"/>
            <w:vAlign w:val="center"/>
          </w:tcPr>
          <w:p>
            <w:r/>
            <w:r>
              <w:rPr>
                <w:rFonts w:ascii="Arial" w:hAnsi="Arial"/>
                <w:b w:val="0"/>
                <w:color w:val="54585A"/>
                <w:sz w:val="17"/>
              </w:rPr>
              <w:t>Active status agreement</w:t>
            </w:r>
          </w:p>
        </w:tc>
        <w:tc>
          <w:tcPr>
            <w:tcW w:type="dxa" w:w="2556"/>
            <w:vAlign w:val="center"/>
          </w:tcPr>
          <w:p>
            <w:r/>
            <w:r>
              <w:rPr>
                <w:rFonts w:ascii="Arial" w:hAnsi="Arial"/>
                <w:b w:val="0"/>
                <w:color w:val="54585A"/>
                <w:sz w:val="17"/>
              </w:rPr>
              <w:t>Active_Source = Active_Target</w:t>
            </w:r>
          </w:p>
        </w:tc>
      </w:tr>
    </w:tbl>
    <w:p>
      <w:pPr>
        <w:pageBreakBefore/>
      </w:pPr>
      <w:r>
        <w:rPr>
          <w:rFonts w:ascii="Arial" w:hAnsi="Arial"/>
          <w:b/>
          <w:color w:val="03173E"/>
          <w:sz w:val="28"/>
        </w:rPr>
        <w:t>Match grade bands</w:t>
      </w:r>
    </w:p>
    <w:tbl>
      <w:tblPr>
        <w:tblStyle w:val="TableGrid"/>
        <w:tblW w:type="auto" w:w="0"/>
        <w:tblLook w:firstColumn="1" w:firstRow="1" w:lastColumn="0" w:lastRow="0" w:noHBand="0" w:noVBand="1" w:val="04A0"/>
      </w:tblPr>
      <w:tblGrid>
        <w:gridCol w:w="3408"/>
        <w:gridCol w:w="3408"/>
        <w:gridCol w:w="3408"/>
      </w:tblGrid>
      <w:tr>
        <w:tc>
          <w:tcPr>
            <w:tcW w:type="dxa" w:w="3408"/>
            <w:vAlign w:val="center"/>
            <w:shd w:fill="03173E"/>
          </w:tcPr>
          <w:p>
            <w:r/>
            <w:r>
              <w:rPr>
                <w:rFonts w:ascii="Arial" w:hAnsi="Arial"/>
                <w:b/>
                <w:color w:val="FFFFFF"/>
                <w:sz w:val="18"/>
              </w:rPr>
              <w:t>Tier</w:t>
            </w:r>
          </w:p>
        </w:tc>
        <w:tc>
          <w:tcPr>
            <w:tcW w:type="dxa" w:w="3408"/>
            <w:vAlign w:val="center"/>
            <w:shd w:fill="03173E"/>
          </w:tcPr>
          <w:p>
            <w:r/>
            <w:r>
              <w:rPr>
                <w:rFonts w:ascii="Arial" w:hAnsi="Arial"/>
                <w:b/>
                <w:color w:val="FFFFFF"/>
                <w:sz w:val="18"/>
              </w:rPr>
              <w:t>Score</w:t>
            </w:r>
          </w:p>
        </w:tc>
        <w:tc>
          <w:tcPr>
            <w:tcW w:type="dxa" w:w="3408"/>
            <w:vAlign w:val="center"/>
            <w:shd w:fill="03173E"/>
          </w:tcPr>
          <w:p>
            <w:r/>
            <w:r>
              <w:rPr>
                <w:rFonts w:ascii="Arial" w:hAnsi="Arial"/>
                <w:b/>
                <w:color w:val="FFFFFF"/>
                <w:sz w:val="18"/>
              </w:rPr>
              <w:t>Starter handling</w:t>
            </w:r>
          </w:p>
        </w:tc>
      </w:tr>
      <w:tr>
        <w:tc>
          <w:tcPr>
            <w:tcW w:type="dxa" w:w="3408"/>
            <w:vAlign w:val="center"/>
          </w:tcPr>
          <w:p>
            <w:r/>
            <w:r>
              <w:rPr>
                <w:rFonts w:ascii="Arial" w:hAnsi="Arial"/>
                <w:b/>
                <w:color w:val="E05929"/>
                <w:sz w:val="17"/>
              </w:rPr>
              <w:t>Primary</w:t>
            </w:r>
          </w:p>
        </w:tc>
        <w:tc>
          <w:tcPr>
            <w:tcW w:type="dxa" w:w="3408"/>
            <w:vAlign w:val="center"/>
          </w:tcPr>
          <w:p>
            <w:r/>
            <w:r>
              <w:rPr>
                <w:rFonts w:ascii="Arial" w:hAnsi="Arial"/>
                <w:b w:val="0"/>
                <w:color w:val="54585A"/>
                <w:sz w:val="17"/>
              </w:rPr>
              <w:t>0-25%</w:t>
            </w:r>
          </w:p>
        </w:tc>
        <w:tc>
          <w:tcPr>
            <w:tcW w:type="dxa" w:w="3408"/>
            <w:vAlign w:val="center"/>
          </w:tcPr>
          <w:p>
            <w:r/>
            <w:r>
              <w:rPr>
                <w:rFonts w:ascii="Arial" w:hAnsi="Arial"/>
                <w:b w:val="0"/>
                <w:color w:val="54585A"/>
                <w:sz w:val="17"/>
              </w:rPr>
              <w:t>Low-confidence candidate; manual review expected</w:t>
            </w:r>
          </w:p>
        </w:tc>
      </w:tr>
      <w:tr>
        <w:tc>
          <w:tcPr>
            <w:tcW w:type="dxa" w:w="3408"/>
            <w:vAlign w:val="center"/>
          </w:tcPr>
          <w:p>
            <w:r/>
            <w:r>
              <w:rPr>
                <w:rFonts w:ascii="Arial" w:hAnsi="Arial"/>
                <w:b/>
                <w:color w:val="E05929"/>
                <w:sz w:val="17"/>
              </w:rPr>
              <w:t>Secondary</w:t>
            </w:r>
          </w:p>
        </w:tc>
        <w:tc>
          <w:tcPr>
            <w:tcW w:type="dxa" w:w="3408"/>
            <w:vAlign w:val="center"/>
          </w:tcPr>
          <w:p>
            <w:r/>
            <w:r>
              <w:rPr>
                <w:rFonts w:ascii="Arial" w:hAnsi="Arial"/>
                <w:b w:val="0"/>
                <w:color w:val="54585A"/>
                <w:sz w:val="17"/>
              </w:rPr>
              <w:t>26-50%</w:t>
            </w:r>
          </w:p>
        </w:tc>
        <w:tc>
          <w:tcPr>
            <w:tcW w:type="dxa" w:w="3408"/>
            <w:vAlign w:val="center"/>
          </w:tcPr>
          <w:p>
            <w:r/>
            <w:r>
              <w:rPr>
                <w:rFonts w:ascii="Arial" w:hAnsi="Arial"/>
                <w:b w:val="0"/>
                <w:color w:val="54585A"/>
                <w:sz w:val="17"/>
              </w:rPr>
              <w:t>Partial match; review expected</w:t>
            </w:r>
          </w:p>
        </w:tc>
      </w:tr>
      <w:tr>
        <w:tc>
          <w:tcPr>
            <w:tcW w:type="dxa" w:w="3408"/>
            <w:vAlign w:val="center"/>
          </w:tcPr>
          <w:p>
            <w:r/>
            <w:r>
              <w:rPr>
                <w:rFonts w:ascii="Arial" w:hAnsi="Arial"/>
                <w:b/>
                <w:color w:val="E05929"/>
                <w:sz w:val="17"/>
              </w:rPr>
              <w:t>Tertiary</w:t>
            </w:r>
          </w:p>
        </w:tc>
        <w:tc>
          <w:tcPr>
            <w:tcW w:type="dxa" w:w="3408"/>
            <w:vAlign w:val="center"/>
          </w:tcPr>
          <w:p>
            <w:r/>
            <w:r>
              <w:rPr>
                <w:rFonts w:ascii="Arial" w:hAnsi="Arial"/>
                <w:b w:val="0"/>
                <w:color w:val="54585A"/>
                <w:sz w:val="17"/>
              </w:rPr>
              <w:t>51-75%</w:t>
            </w:r>
          </w:p>
        </w:tc>
        <w:tc>
          <w:tcPr>
            <w:tcW w:type="dxa" w:w="3408"/>
            <w:vAlign w:val="center"/>
          </w:tcPr>
          <w:p>
            <w:r/>
            <w:r>
              <w:rPr>
                <w:rFonts w:ascii="Arial" w:hAnsi="Arial"/>
                <w:b w:val="0"/>
                <w:color w:val="54585A"/>
                <w:sz w:val="17"/>
              </w:rPr>
              <w:t>Strong partial match; verify target before commit</w:t>
            </w:r>
          </w:p>
        </w:tc>
      </w:tr>
      <w:tr>
        <w:tc>
          <w:tcPr>
            <w:tcW w:type="dxa" w:w="3408"/>
            <w:vAlign w:val="center"/>
          </w:tcPr>
          <w:p>
            <w:r/>
            <w:r>
              <w:rPr>
                <w:rFonts w:ascii="Arial" w:hAnsi="Arial"/>
                <w:b/>
                <w:color w:val="E05929"/>
                <w:sz w:val="17"/>
              </w:rPr>
              <w:t>Complete</w:t>
            </w:r>
          </w:p>
        </w:tc>
        <w:tc>
          <w:tcPr>
            <w:tcW w:type="dxa" w:w="3408"/>
            <w:vAlign w:val="center"/>
          </w:tcPr>
          <w:p>
            <w:r/>
            <w:r>
              <w:rPr>
                <w:rFonts w:ascii="Arial" w:hAnsi="Arial"/>
                <w:b w:val="0"/>
                <w:color w:val="54585A"/>
                <w:sz w:val="17"/>
              </w:rPr>
              <w:t>76-100%</w:t>
            </w:r>
          </w:p>
        </w:tc>
        <w:tc>
          <w:tcPr>
            <w:tcW w:type="dxa" w:w="3408"/>
            <w:vAlign w:val="center"/>
          </w:tcPr>
          <w:p>
            <w:r/>
            <w:r>
              <w:rPr>
                <w:rFonts w:ascii="Arial" w:hAnsi="Arial"/>
                <w:b w:val="0"/>
                <w:color w:val="54585A"/>
                <w:sz w:val="17"/>
              </w:rPr>
              <w:t>Highest score band; normal approval path</w:t>
            </w:r>
          </w:p>
        </w:tc>
      </w:tr>
    </w:tbl>
    <w:p>
      <w:r>
        <w:rPr>
          <w:rFonts w:ascii="Arial" w:hAnsi="Arial"/>
          <w:b/>
          <w:color w:val="03173E"/>
          <w:sz w:val="28"/>
        </w:rPr>
        <w:t>Generic Power Fx scoring pattern</w:t>
      </w:r>
    </w:p>
    <w:p>
      <w:pPr>
        <w:pStyle w:val="NoSpacing"/>
      </w:pPr>
      <w:r>
        <w:rPr>
          <w:rFonts w:ascii="Courier New" w:hAnsi="Courier New"/>
          <w:color w:val="54585A"/>
          <w:sz w:val="16"/>
        </w:rPr>
        <w:t>With(</w:t>
        <w:br/>
        <w:t xml:space="preserve">    {</w:t>
        <w:br/>
        <w:t xml:space="preserve">        sFacility: Upper(Trim(Coalesce(ThisItem.Facility_Source, ""))),</w:t>
        <w:br/>
        <w:t xml:space="preserve">        sMnem: Upper(Trim(Coalesce(ThisItem.Mnemonic_Source, ""))),</w:t>
        <w:br/>
        <w:t xml:space="preserve">        sName: Upper(Trim(Coalesce(ThisItem.Name_Source, ""))),</w:t>
        <w:br/>
        <w:t xml:space="preserve">        sPA: Upper(Trim(Coalesce(ThisItem.PA_Code_Source, ""))),</w:t>
        <w:br/>
        <w:t xml:space="preserve">        sActive: Upper(Trim(Coalesce(ThisItem.Active_Source, ""))),</w:t>
        <w:br/>
        <w:t xml:space="preserve">        tFacility: Upper(Trim(Coalesce(ThisItem.Facility_Target, ""))),</w:t>
        <w:br/>
        <w:t xml:space="preserve">        tMnem: Upper(Trim(Coalesce(ThisItem.Mnemonic_Target, ""))),</w:t>
        <w:br/>
        <w:t xml:space="preserve">        tName: Upper(Trim(Coalesce(ThisItem.Name_Target, ""))),</w:t>
        <w:br/>
        <w:t xml:space="preserve">        tPA: Upper(Trim(Coalesce(ThisItem.PA_Code_Target, ""))),</w:t>
        <w:br/>
        <w:t xml:space="preserve">        tActive: Upper(Trim(Coalesce(ThisItem.Active_Target, "")))</w:t>
        <w:br/>
        <w:t xml:space="preserve">    },</w:t>
        <w:br/>
        <w:t xml:space="preserve">    Round(</w:t>
        <w:br/>
        <w:t xml:space="preserve">        100 * (</w:t>
        <w:br/>
        <w:t xml:space="preserve">            If(sFacility &lt;&gt; "" &amp;&amp; sFacility = tFacility, 0.30, 0) +</w:t>
        <w:br/>
        <w:t xml:space="preserve">            If(sMnem &lt;&gt; "" &amp;&amp; sMnem = tMnem, 0.30, 0) +</w:t>
        <w:br/>
        <w:t xml:space="preserve">            If(sName &lt;&gt; "" &amp;&amp; sName = tName, 0.20, 0) +</w:t>
        <w:br/>
        <w:t xml:space="preserve">            If(sPA &lt;&gt; "" &amp;&amp; sPA = tPA, 0.10, 0) +</w:t>
        <w:br/>
        <w:t xml:space="preserve">            If(sActive &lt;&gt; "" &amp;&amp; sActive = tActive, 0.10, 0)</w:t>
        <w:br/>
        <w:t xml:space="preserve">        ),</w:t>
        <w:br/>
        <w:t xml:space="preserve">        0</w:t>
        <w:br/>
        <w:t xml:space="preserve">    )</w:t>
        <w:br/>
        <w:t>)</w:t>
      </w:r>
    </w:p>
    <w:p>
      <w:r>
        <w:rPr>
          <w:rFonts w:ascii="Arial" w:hAnsi="Arial"/>
          <w:b/>
          <w:color w:val="03173E"/>
          <w:sz w:val="28"/>
        </w:rPr>
        <w:t>Production flow sequence</w:t>
      </w:r>
    </w:p>
    <w:p>
      <w:pPr/>
      <w:r>
        <w:t>Upload -&gt; Stage -&gt; Map -&gt; Score -&gt; Review -&gt; Approve -&gt; Preview -&gt; Commit -&gt; Audit</w:t>
      </w:r>
    </w:p>
    <w:p>
      <w:r>
        <w:rPr>
          <w:rFonts w:ascii="Arial" w:hAnsi="Arial"/>
          <w:b/>
          <w:color w:val="03173E"/>
          <w:sz w:val="28"/>
        </w:rPr>
        <w:t>Package contents</w:t>
      </w:r>
    </w:p>
    <w:p>
      <w:pPr>
        <w:pStyle w:val="ListBullet"/>
      </w:pPr>
      <w:r>
        <w:t>starter .msapp shell based on the proven Registration POC</w:t>
      </w:r>
    </w:p>
    <w:p>
      <w:pPr>
        <w:pStyle w:val="ListBullet"/>
      </w:pPr>
      <w:r>
        <w:t>control blueprint and screen/control names</w:t>
      </w:r>
    </w:p>
    <w:p>
      <w:pPr>
        <w:pStyle w:val="ListBullet"/>
      </w:pPr>
      <w:r>
        <w:t>mapping logic and scoring formulas</w:t>
      </w:r>
    </w:p>
    <w:p>
      <w:pPr>
        <w:pStyle w:val="ListBullet"/>
      </w:pPr>
      <w:r>
        <w:t>Dataverse data-model contract</w:t>
      </w:r>
    </w:p>
    <w:p>
      <w:pPr>
        <w:pStyle w:val="ListBullet"/>
      </w:pPr>
      <w:r>
        <w:t>Power Automate flow specifications</w:t>
      </w:r>
    </w:p>
    <w:p>
      <w:pPr>
        <w:pStyle w:val="ListBullet"/>
      </w:pPr>
      <w:r>
        <w:t>CSV and XLSX bulk-upload templates</w:t>
      </w:r>
    </w:p>
    <w:p>
      <w:pPr>
        <w:pStyle w:val="ListBullet"/>
      </w:pPr>
      <w:r>
        <w:t>installation and build instructions</w:t>
      </w:r>
    </w:p>
    <w:p>
      <w:r>
        <w:rPr>
          <w:rFonts w:ascii="Arial" w:hAnsi="Arial"/>
          <w:b/>
          <w:color w:val="03173E"/>
          <w:sz w:val="28"/>
        </w:rPr>
        <w:t>Microsoft reference links</w:t>
      </w:r>
    </w:p>
    <w:p>
      <w:r>
        <w:t>https://learn.microsoft.com/en-us/power-apps/maker/canvas-apps/export-import-single-app</w:t>
      </w:r>
    </w:p>
    <w:p>
      <w:r>
        <w:t>https://learn.microsoft.com/en-us/power-apps/maker/canvas-apps/controls/control-attachments</w:t>
      </w:r>
    </w:p>
    <w:p>
      <w:r>
        <w:t>https://learn.microsoft.com/en-us/power-apps/maker/canvas-apps/how-to/trigger-flow</w:t>
      </w:r>
    </w:p>
    <w:p>
      <w:r>
        <w:t>https://learn.microsoft.com/en-us/power-apps/maker/canvas-apps/embed-apps-dev</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3173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E0592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54585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3173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rPr>
  </w:style>
  <w:style w:type="paragraph" w:styleId="BodyText">
    <w:name w:val="Body Text"/>
    <w:basedOn w:val="Normal"/>
    <w:link w:val="BodyTextChar"/>
    <w:uiPriority w:val="99"/>
    <w:unhideWhenUsed/>
    <w:rsid w:val="00AA1D8D"/>
    <w:pPr>
      <w:spacing w:after="120"/>
    </w:pPr>
    <w:rPr>
      <w:rFonts w:ascii="Arial" w:hAnsi="Arial"/>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Arial" w:hAnsi="Arial"/>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Arial" w:hAnsi="Arial"/>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Arial" w:hAnsi="Arial"/>
    </w:rPr>
  </w:style>
  <w:style w:type="paragraph" w:styleId="List2">
    <w:name w:val="List 2"/>
    <w:basedOn w:val="Normal"/>
    <w:uiPriority w:val="99"/>
    <w:unhideWhenUsed/>
    <w:rsid w:val="00326F90"/>
    <w:pPr>
      <w:ind w:left="720" w:hanging="360"/>
      <w:contextualSpacing/>
    </w:pPr>
    <w:rPr>
      <w:rFonts w:ascii="Arial" w:hAnsi="Arial"/>
    </w:rPr>
  </w:style>
  <w:style w:type="paragraph" w:styleId="List3">
    <w:name w:val="List 3"/>
    <w:basedOn w:val="Normal"/>
    <w:uiPriority w:val="99"/>
    <w:unhideWhenUsed/>
    <w:rsid w:val="00326F90"/>
    <w:pPr>
      <w:ind w:left="1080" w:hanging="360"/>
      <w:contextualSpacing/>
    </w:pPr>
    <w:rPr>
      <w:rFonts w:ascii="Arial" w:hAnsi="Arial"/>
    </w:rPr>
  </w:style>
  <w:style w:type="paragraph" w:styleId="ListBullet">
    <w:name w:val="List Bullet"/>
    <w:basedOn w:val="Normal"/>
    <w:uiPriority w:val="99"/>
    <w:unhideWhenUsed/>
    <w:rsid w:val="00326F90"/>
    <w:pPr>
      <w:numPr>
        <w:numId w:val="1"/>
      </w:numPr>
      <w:contextualSpacing/>
    </w:pPr>
    <w:rPr>
      <w:rFonts w:ascii="Arial" w:hAnsi="Arial"/>
    </w:rPr>
  </w:style>
  <w:style w:type="paragraph" w:styleId="ListBullet2">
    <w:name w:val="List Bullet 2"/>
    <w:basedOn w:val="Normal"/>
    <w:uiPriority w:val="99"/>
    <w:unhideWhenUsed/>
    <w:rsid w:val="00326F90"/>
    <w:pPr>
      <w:numPr>
        <w:numId w:val="2"/>
      </w:numPr>
      <w:contextualSpacing/>
    </w:pPr>
    <w:rPr>
      <w:rFonts w:ascii="Arial" w:hAnsi="Arial"/>
    </w:rPr>
  </w:style>
  <w:style w:type="paragraph" w:styleId="ListBullet3">
    <w:name w:val="List Bullet 3"/>
    <w:basedOn w:val="Normal"/>
    <w:uiPriority w:val="99"/>
    <w:unhideWhenUsed/>
    <w:rsid w:val="00326F90"/>
    <w:pPr>
      <w:numPr>
        <w:numId w:val="3"/>
      </w:numPr>
      <w:contextualSpacing/>
    </w:pPr>
    <w:rPr>
      <w:rFonts w:ascii="Arial" w:hAnsi="Arial"/>
    </w:rPr>
  </w:style>
  <w:style w:type="paragraph" w:styleId="ListNumber">
    <w:name w:val="List Number"/>
    <w:basedOn w:val="Normal"/>
    <w:uiPriority w:val="99"/>
    <w:unhideWhenUsed/>
    <w:rsid w:val="00326F90"/>
    <w:pPr>
      <w:numPr>
        <w:numId w:val="5"/>
      </w:numPr>
      <w:contextualSpacing/>
    </w:pPr>
    <w:rPr>
      <w:rFonts w:ascii="Arial" w:hAnsi="Arial"/>
    </w:rPr>
  </w:style>
  <w:style w:type="paragraph" w:styleId="ListNumber2">
    <w:name w:val="List Number 2"/>
    <w:basedOn w:val="Normal"/>
    <w:uiPriority w:val="99"/>
    <w:unhideWhenUsed/>
    <w:rsid w:val="0029639D"/>
    <w:pPr>
      <w:numPr>
        <w:numId w:val="6"/>
      </w:numPr>
      <w:contextualSpacing/>
    </w:pPr>
    <w:rPr>
      <w:rFonts w:ascii="Arial" w:hAnsi="Arial"/>
    </w:rPr>
  </w:style>
  <w:style w:type="paragraph" w:styleId="ListNumber3">
    <w:name w:val="List Number 3"/>
    <w:basedOn w:val="Normal"/>
    <w:uiPriority w:val="99"/>
    <w:unhideWhenUsed/>
    <w:rsid w:val="0029639D"/>
    <w:pPr>
      <w:numPr>
        <w:numId w:val="7"/>
      </w:numPr>
      <w:contextualSpacing/>
    </w:pPr>
    <w:rPr>
      <w:rFonts w:ascii="Arial" w:hAnsi="Arial"/>
    </w:rPr>
  </w:style>
  <w:style w:type="paragraph" w:styleId="ListContinue">
    <w:name w:val="List Continue"/>
    <w:basedOn w:val="Normal"/>
    <w:uiPriority w:val="99"/>
    <w:unhideWhenUsed/>
    <w:rsid w:val="0029639D"/>
    <w:pPr>
      <w:spacing w:after="120"/>
      <w:ind w:left="360"/>
      <w:contextualSpacing/>
    </w:pPr>
    <w:rPr>
      <w:rFonts w:ascii="Arial" w:hAnsi="Arial"/>
    </w:rPr>
  </w:style>
  <w:style w:type="paragraph" w:styleId="ListContinue2">
    <w:name w:val="List Continue 2"/>
    <w:basedOn w:val="Normal"/>
    <w:uiPriority w:val="99"/>
    <w:unhideWhenUsed/>
    <w:rsid w:val="0029639D"/>
    <w:pPr>
      <w:spacing w:after="120"/>
      <w:ind w:left="720"/>
      <w:contextualSpacing/>
    </w:pPr>
    <w:rPr>
      <w:rFonts w:ascii="Arial" w:hAnsi="Arial"/>
    </w:rPr>
  </w:style>
  <w:style w:type="paragraph" w:styleId="ListContinue3">
    <w:name w:val="List Continue 3"/>
    <w:basedOn w:val="Normal"/>
    <w:uiPriority w:val="99"/>
    <w:unhideWhenUsed/>
    <w:rsid w:val="0029639D"/>
    <w:pPr>
      <w:spacing w:after="120"/>
      <w:ind w:left="1080"/>
      <w:contextualSpacing/>
    </w:pPr>
    <w:rPr>
      <w:rFonts w:ascii="Arial" w:hAnsi="Arial"/>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rial" w:hAnsi="Arial"/>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