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ECCS Canvas App Shell Factory - Updated Source Configuration Build</w:t>
      </w:r>
    </w:p>
    <w:p>
      <w:r>
        <w:rPr>
          <w:color w:val="54585A"/>
          <w:sz w:val="22"/>
        </w:rPr>
        <w:t>Developer Build Insert | Build 60.18U.1 | 09/22/2026</w:t>
      </w:r>
    </w:p>
    <w:p>
      <w:pPr>
        <w:pStyle w:val="Heading1"/>
      </w:pPr>
      <w:r>
        <w:t>1. Build objective</w:t>
      </w:r>
    </w:p>
    <w:p>
      <w:r>
        <w:t>Update the ECCS Canvas App shells from the supplied ECCS - Registration POC.msapp so the application family uses a consistent shell while domain-specific configuration and functions are traceable to the attached XLSB source workbooks.</w:t>
      </w:r>
    </w:p>
    <w:p>
      <w:pPr>
        <w:pStyle w:val="Heading1"/>
      </w:pPr>
      <w:r>
        <w:t>2. Source artifacts used</w:t>
      </w:r>
    </w:p>
    <w:p>
      <w:pPr>
        <w:pStyle w:val="ListBullet"/>
      </w:pPr>
      <w:r>
        <w:t>ECCS - Registration POC.msapp</w:t>
      </w:r>
    </w:p>
    <w:p>
      <w:pPr>
        <w:pStyle w:val="ListBullet"/>
      </w:pPr>
      <w:r>
        <w:t>ACOE_Expanse_ConfigTool_EdmAutomationx.zip</w:t>
      </w:r>
    </w:p>
    <w:p>
      <w:pPr>
        <w:pStyle w:val="ListBullet"/>
      </w:pPr>
      <w:r>
        <w:t>Mapping_Expanse_NONMED_Domainx.zip</w:t>
      </w:r>
    </w:p>
    <w:p>
      <w:pPr>
        <w:pStyle w:val="ListBullet"/>
      </w:pPr>
      <w:r>
        <w:t>Mapping_Expanse_PHA_Domainx.zip</w:t>
      </w:r>
    </w:p>
    <w:p>
      <w:pPr>
        <w:pStyle w:val="ListBullet"/>
      </w:pPr>
      <w:r>
        <w:t>ExpanseCutoverConfig- Demo All Solutions.png</w:t>
      </w:r>
    </w:p>
    <w:p>
      <w:pPr>
        <w:pStyle w:val="ListBullet"/>
      </w:pPr>
      <w:r>
        <w:t>CutoverConfig-Pilot Demo.png</w:t>
      </w:r>
    </w:p>
    <w:p>
      <w:pPr>
        <w:pStyle w:val="Heading1"/>
      </w:pPr>
      <w:r>
        <w:t>3. Functions now present in the shell</w:t>
      </w:r>
    </w:p>
    <w:p>
      <w:pPr>
        <w:pStyle w:val="ListBullet"/>
      </w:pPr>
      <w:r>
        <w:t>single-select facility filtering</w:t>
      </w:r>
    </w:p>
    <w:p>
      <w:pPr>
        <w:pStyle w:val="ListBullet"/>
      </w:pPr>
      <w:r>
        <w:t>text search against source mnemonic and source description/name</w:t>
      </w:r>
    </w:p>
    <w:p>
      <w:pPr>
        <w:pStyle w:val="ListBullet"/>
      </w:pPr>
      <w:r>
        <w:t>results gallery with selected-record state</w:t>
      </w:r>
    </w:p>
    <w:p>
      <w:pPr>
        <w:pStyle w:val="ListBullet"/>
      </w:pPr>
      <w:r>
        <w:t>current source configuration display</w:t>
      </w:r>
    </w:p>
    <w:p>
      <w:pPr>
        <w:pStyle w:val="ListBullet"/>
      </w:pPr>
      <w:r>
        <w:t>proposed target configuration using Classic/TextInput@2.3.2</w:t>
      </w:r>
    </w:p>
    <w:p>
      <w:pPr>
        <w:pStyle w:val="ListBullet"/>
      </w:pPr>
      <w:r>
        <w:t>Action To Take selector</w:t>
      </w:r>
    </w:p>
    <w:p>
      <w:pPr>
        <w:pStyle w:val="ListBullet"/>
      </w:pPr>
      <w:r>
        <w:t>unsaved-change detection, Save and Cancel/Revert workflow</w:t>
      </w:r>
    </w:p>
    <w:p>
      <w:pPr>
        <w:pStyle w:val="ListBullet"/>
      </w:pPr>
      <w:r>
        <w:t>Patch + Refresh save pattern with update user/date-time capture</w:t>
      </w:r>
    </w:p>
    <w:p>
      <w:pPr>
        <w:pStyle w:val="ListBullet"/>
      </w:pPr>
      <w:r>
        <w:t>Target Match NO MATCH red/bold warning treatment</w:t>
      </w:r>
    </w:p>
    <w:p>
      <w:pPr>
        <w:pStyle w:val="ListBullet"/>
      </w:pPr>
      <w:r>
        <w:t>active-environment sync confirmation for LIVE/TEST/ZCON dated matches</w:t>
      </w:r>
    </w:p>
    <w:p>
      <w:pPr>
        <w:pStyle w:val="ListBullet"/>
      </w:pPr>
      <w:r>
        <w:t>ECCS lineage display retained from the Registration POC shell</w:t>
      </w:r>
    </w:p>
    <w:p>
      <w:pPr>
        <w:pStyle w:val="Heading1"/>
      </w:pPr>
      <w:r>
        <w:t>4. Source-configured applications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Application</w:t>
            </w:r>
          </w:p>
        </w:tc>
        <w:tc>
          <w:tcPr>
            <w:tcW w:type="dxa" w:w="3408"/>
          </w:tcPr>
          <w:p>
            <w:r>
              <w:t>Source worksheet(s)</w:t>
            </w:r>
          </w:p>
        </w:tc>
        <w:tc>
          <w:tcPr>
            <w:tcW w:type="dxa" w:w="3408"/>
          </w:tcPr>
          <w:p>
            <w:r>
              <w:t>Status</w:t>
            </w:r>
          </w:p>
        </w:tc>
      </w:tr>
      <w:tr>
        <w:tc>
          <w:tcPr>
            <w:tcW w:type="dxa" w:w="3408"/>
          </w:tcPr>
          <w:p>
            <w:r>
              <w:t>PTAC</w:t>
            </w:r>
          </w:p>
        </w:tc>
        <w:tc>
          <w:tcPr>
            <w:tcW w:type="dxa" w:w="3408"/>
          </w:tcPr>
          <w:p>
            <w:r>
              <w:t>None supplied</w:t>
            </w:r>
          </w:p>
        </w:tc>
        <w:tc>
          <w:tcPr>
            <w:tcW w:type="dxa" w:w="3408"/>
          </w:tcPr>
          <w:p>
            <w:r>
              <w:t>baseline shell; registration source schema is carried by the supplied msapp</w:t>
            </w:r>
          </w:p>
        </w:tc>
      </w:tr>
      <w:tr>
        <w:tc>
          <w:tcPr>
            <w:tcW w:type="dxa" w:w="3408"/>
          </w:tcPr>
          <w:p>
            <w:r>
              <w:t>Emergency Department</w:t>
            </w:r>
          </w:p>
        </w:tc>
        <w:tc>
          <w:tcPr>
            <w:tcW w:type="dxa" w:w="3408"/>
          </w:tcPr>
          <w:p>
            <w:r>
              <w:t>Complaints, TreatmentAreaStations, Priorities</w:t>
            </w:r>
          </w:p>
        </w:tc>
        <w:tc>
          <w:tcPr>
            <w:tcW w:type="dxa" w:w="3408"/>
          </w:tcPr>
          <w:p>
            <w:r>
              <w:t>configured from supplied workbook</w:t>
            </w:r>
          </w:p>
        </w:tc>
      </w:tr>
      <w:tr>
        <w:tc>
          <w:tcPr>
            <w:tcW w:type="dxa" w:w="3408"/>
          </w:tcPr>
          <w:p>
            <w:r>
              <w:t>RAD</w:t>
            </w:r>
          </w:p>
        </w:tc>
        <w:tc>
          <w:tcPr>
            <w:tcW w:type="dxa" w:w="3408"/>
          </w:tcPr>
          <w:p>
            <w:r>
              <w:t>None supplied</w:t>
            </w:r>
          </w:p>
        </w:tc>
        <w:tc>
          <w:tcPr>
            <w:tcW w:type="dxa" w:w="3408"/>
          </w:tcPr>
          <w:p>
            <w:r>
              <w:t>no RAD-specific worksheet was supplied in the attached NONMED workbook; shell retained and marked for schema binding</w:t>
            </w:r>
          </w:p>
        </w:tc>
      </w:tr>
      <w:tr>
        <w:tc>
          <w:tcPr>
            <w:tcW w:type="dxa" w:w="3408"/>
          </w:tcPr>
          <w:p>
            <w:r>
              <w:t>LAB</w:t>
            </w:r>
          </w:p>
        </w:tc>
        <w:tc>
          <w:tcPr>
            <w:tcW w:type="dxa" w:w="3408"/>
          </w:tcPr>
          <w:p>
            <w:r>
              <w:t>MicSpecimenSource</w:t>
            </w:r>
          </w:p>
        </w:tc>
        <w:tc>
          <w:tcPr>
            <w:tcW w:type="dxa" w:w="3408"/>
          </w:tcPr>
          <w:p>
            <w:r>
              <w:t>configured from supplied workbook</w:t>
            </w:r>
          </w:p>
        </w:tc>
      </w:tr>
      <w:tr>
        <w:tc>
          <w:tcPr>
            <w:tcW w:type="dxa" w:w="3408"/>
          </w:tcPr>
          <w:p>
            <w:r>
              <w:t>DIET</w:t>
            </w:r>
          </w:p>
        </w:tc>
        <w:tc>
          <w:tcPr>
            <w:tcW w:type="dxa" w:w="3408"/>
          </w:tcPr>
          <w:p>
            <w:r>
              <w:t>None supplied</w:t>
            </w:r>
          </w:p>
        </w:tc>
        <w:tc>
          <w:tcPr>
            <w:tcW w:type="dxa" w:w="3408"/>
          </w:tcPr>
          <w:p>
            <w:r>
              <w:t>no DIET-specific worksheet was supplied in the attached NONMED workbook; shell retained and marked for schema binding</w:t>
            </w:r>
          </w:p>
        </w:tc>
      </w:tr>
      <w:tr>
        <w:tc>
          <w:tcPr>
            <w:tcW w:type="dxa" w:w="3408"/>
          </w:tcPr>
          <w:p>
            <w:r>
              <w:t>OE</w:t>
            </w:r>
          </w:p>
        </w:tc>
        <w:tc>
          <w:tcPr>
            <w:tcW w:type="dxa" w:w="3408"/>
          </w:tcPr>
          <w:p>
            <w:r>
              <w:t>OeProcedure</w:t>
            </w:r>
          </w:p>
        </w:tc>
        <w:tc>
          <w:tcPr>
            <w:tcW w:type="dxa" w:w="3408"/>
          </w:tcPr>
          <w:p>
            <w:r>
              <w:t>configured from supplied workbook</w:t>
            </w:r>
          </w:p>
        </w:tc>
      </w:tr>
      <w:tr>
        <w:tc>
          <w:tcPr>
            <w:tcW w:type="dxa" w:w="3408"/>
          </w:tcPr>
          <w:p>
            <w:r>
              <w:t>CONSULTS</w:t>
            </w:r>
          </w:p>
        </w:tc>
        <w:tc>
          <w:tcPr>
            <w:tcW w:type="dxa" w:w="3408"/>
          </w:tcPr>
          <w:p>
            <w:r>
              <w:t>Config_AppendQuery, ScreenQueryGroupResponseElement</w:t>
            </w:r>
          </w:p>
        </w:tc>
        <w:tc>
          <w:tcPr>
            <w:tcW w:type="dxa" w:w="3408"/>
          </w:tcPr>
          <w:p>
            <w:r>
              <w:t>configured from supplied workbook</w:t>
            </w:r>
          </w:p>
        </w:tc>
      </w:tr>
      <w:tr>
        <w:tc>
          <w:tcPr>
            <w:tcW w:type="dxa" w:w="3408"/>
          </w:tcPr>
          <w:p>
            <w:r>
              <w:t>LEVEL OF CARE</w:t>
            </w:r>
          </w:p>
        </w:tc>
        <w:tc>
          <w:tcPr>
            <w:tcW w:type="dxa" w:w="3408"/>
          </w:tcPr>
          <w:p>
            <w:r>
              <w:t>None supplied</w:t>
            </w:r>
          </w:p>
        </w:tc>
        <w:tc>
          <w:tcPr>
            <w:tcW w:type="dxa" w:w="3408"/>
          </w:tcPr>
          <w:p>
            <w:r>
              <w:t>no level-of-care-specific worksheet was supplied in the attached NONMED workbook; shell retained and marked for schema binding</w:t>
            </w:r>
          </w:p>
        </w:tc>
      </w:tr>
      <w:tr>
        <w:tc>
          <w:tcPr>
            <w:tcW w:type="dxa" w:w="3408"/>
          </w:tcPr>
          <w:p>
            <w:r>
              <w:t>NURSING</w:t>
            </w:r>
          </w:p>
        </w:tc>
        <w:tc>
          <w:tcPr>
            <w:tcW w:type="dxa" w:w="3408"/>
          </w:tcPr>
          <w:p>
            <w:r>
              <w:t>None supplied</w:t>
            </w:r>
          </w:p>
        </w:tc>
        <w:tc>
          <w:tcPr>
            <w:tcW w:type="dxa" w:w="3408"/>
          </w:tcPr>
          <w:p>
            <w:r>
              <w:t>no nursing-specific worksheet was supplied in the attached NONMED workbook; shell retained and marked for schema binding</w:t>
            </w:r>
          </w:p>
        </w:tc>
      </w:tr>
      <w:tr>
        <w:tc>
          <w:tcPr>
            <w:tcW w:type="dxa" w:w="3408"/>
          </w:tcPr>
          <w:p>
            <w:r>
              <w:t>RT-PT-OT</w:t>
            </w:r>
          </w:p>
        </w:tc>
        <w:tc>
          <w:tcPr>
            <w:tcW w:type="dxa" w:w="3408"/>
          </w:tcPr>
          <w:p>
            <w:r>
              <w:t>None supplied</w:t>
            </w:r>
          </w:p>
        </w:tc>
        <w:tc>
          <w:tcPr>
            <w:tcW w:type="dxa" w:w="3408"/>
          </w:tcPr>
          <w:p>
            <w:r>
              <w:t>no RT/PT/OT-specific worksheet was supplied in the attached NONMED workbook; shell retained and marked for schema binding</w:t>
            </w:r>
          </w:p>
        </w:tc>
      </w:tr>
      <w:tr>
        <w:tc>
          <w:tcPr>
            <w:tcW w:type="dxa" w:w="3408"/>
          </w:tcPr>
          <w:p>
            <w:r>
              <w:t>EKG</w:t>
            </w:r>
          </w:p>
        </w:tc>
        <w:tc>
          <w:tcPr>
            <w:tcW w:type="dxa" w:w="3408"/>
          </w:tcPr>
          <w:p>
            <w:r>
              <w:t>None supplied</w:t>
            </w:r>
          </w:p>
        </w:tc>
        <w:tc>
          <w:tcPr>
            <w:tcW w:type="dxa" w:w="3408"/>
          </w:tcPr>
          <w:p>
            <w:r>
              <w:t>no EKG-specific worksheet was supplied in the attached NONMED workbook; shell retained and marked for schema binding</w:t>
            </w:r>
          </w:p>
        </w:tc>
      </w:tr>
      <w:tr>
        <w:tc>
          <w:tcPr>
            <w:tcW w:type="dxa" w:w="3408"/>
          </w:tcPr>
          <w:p>
            <w:r>
              <w:t>MED</w:t>
            </w:r>
          </w:p>
        </w:tc>
        <w:tc>
          <w:tcPr>
            <w:tcW w:type="dxa" w:w="3408"/>
          </w:tcPr>
          <w:p>
            <w:r>
              <w:t>Routes, DirectionsSigs, PhaOrderTypes, DrugDoseUnit, PrnReason, PhaMisScreens, PhaMisQueries, PhaMisGroupRespElements, RxAdminCriteria, MedMnemExclusions, LocationExclusions, MedTypeExclusions, DrugSiteRestrictions, ErrorConfiguration</w:t>
            </w:r>
          </w:p>
        </w:tc>
        <w:tc>
          <w:tcPr>
            <w:tcW w:type="dxa" w:w="3408"/>
          </w:tcPr>
          <w:p>
            <w:r>
              <w:t>configured from supplied workbook</w:t>
            </w:r>
          </w:p>
        </w:tc>
      </w:tr>
      <w:tr>
        <w:tc>
          <w:tcPr>
            <w:tcW w:type="dxa" w:w="3408"/>
          </w:tcPr>
          <w:p>
            <w:r>
              <w:t>MIS Provider</w:t>
            </w:r>
          </w:p>
        </w:tc>
        <w:tc>
          <w:tcPr>
            <w:tcW w:type="dxa" w:w="3408"/>
          </w:tcPr>
          <w:p>
            <w:r>
              <w:t>ProviderDictionary, UserDictionary</w:t>
            </w:r>
          </w:p>
        </w:tc>
        <w:tc>
          <w:tcPr>
            <w:tcW w:type="dxa" w:w="3408"/>
          </w:tcPr>
          <w:p>
            <w:r>
              <w:t>configured from supplied workbook</w:t>
            </w:r>
          </w:p>
        </w:tc>
      </w:tr>
      <w:tr>
        <w:tc>
          <w:tcPr>
            <w:tcW w:type="dxa" w:w="3408"/>
          </w:tcPr>
          <w:p>
            <w:r>
              <w:t>CNET</w:t>
            </w:r>
          </w:p>
        </w:tc>
        <w:tc>
          <w:tcPr>
            <w:tcW w:type="dxa" w:w="3408"/>
          </w:tcPr>
          <w:p>
            <w:r>
              <w:t>None supplied</w:t>
            </w:r>
          </w:p>
        </w:tc>
        <w:tc>
          <w:tcPr>
            <w:tcW w:type="dxa" w:w="3408"/>
          </w:tcPr>
          <w:p>
            <w:r>
              <w:t>shell prepared; CNET schema/config source not included in attached zips</w:t>
            </w:r>
          </w:p>
        </w:tc>
      </w:tr>
    </w:tbl>
    <w:p>
      <w:pPr>
        <w:pStyle w:val="Heading1"/>
      </w:pPr>
      <w:r>
        <w:t>5. Detailed installation procedure</w:t>
      </w:r>
    </w:p>
    <w:p>
      <w:r>
        <w:t>1. Open Power Apps maker portal and select DevelopmentAuto.</w:t>
      </w:r>
    </w:p>
    <w:p>
      <w:r>
        <w:t>2. Import the app-specific .msapp using Apps &gt; Import app &gt; From file (.msapp).</w:t>
      </w:r>
    </w:p>
    <w:p>
      <w:r>
        <w:t>3. Open the imported app in Power Apps Studio and use File &gt; Save as for the final app name.</w:t>
      </w:r>
    </w:p>
    <w:p>
      <w:r>
        <w:t>4. In Data, replace the retained Accommodation Data Clone source with the correct domain Dataverse table/view.</w:t>
      </w:r>
    </w:p>
    <w:p>
      <w:r>
        <w:t>5. Use field-mapping-template.json to bind Facility, source mnemonic/name, target fields, Action To Take, Target Match, and ECCS lineage.</w:t>
      </w:r>
    </w:p>
    <w:p>
      <w:r>
        <w:t>6. Use DOMAIN-FUNCTIONS.json and INSTALL-UPDATED.md for the domain-specific gallery, filtering, Patch, match, exclusion, restriction, provider, or error-threshold logic.</w:t>
      </w:r>
    </w:p>
    <w:p>
      <w:r>
        <w:t>7. Run the end-to-end validation: facility -&gt; search -&gt; record -&gt; edit -&gt; Action To Take -&gt; Save/Cancel -&gt; Target Match -&gt; Sync Check -&gt; lineage.</w:t>
      </w:r>
    </w:p>
    <w:p>
      <w:r>
        <w:t>8. Run App Checker; Save and Publish.</w:t>
      </w:r>
    </w:p>
    <w:p>
      <w:r>
        <w:t>9. Add the completed app to the ECCS solution and configure the corresponding Power Pages Application Hub link.</w:t>
      </w:r>
    </w:p>
    <w:p>
      <w:pPr>
        <w:pStyle w:val="Heading1"/>
      </w:pPr>
      <w:r>
        <w:t>6. Schema discipline</w:t>
      </w:r>
    </w:p>
    <w:p>
      <w:r>
        <w:t>The build applies only field names actually present in the supplied source worksheet headers. Where an application has no corresponding worksheet in the supplied zips, the package explicitly marks schema binding as required rather than inventing a data model.</w:t>
      </w:r>
    </w:p>
    <w:p>
      <w:pPr>
        <w:pStyle w:val="Heading1"/>
      </w:pPr>
      <w:r>
        <w:t>7. Developer acceptance criteria</w:t>
      </w:r>
    </w:p>
    <w:p>
      <w:pPr>
        <w:pStyle w:val="ListBullet"/>
      </w:pPr>
      <w:r>
        <w:t>App title/domain/module are correct.</w:t>
      </w:r>
    </w:p>
    <w:p>
      <w:pPr>
        <w:pStyle w:val="ListBullet"/>
      </w:pPr>
      <w:r>
        <w:t>Source workbook areas are visible in the shell header when known.</w:t>
      </w:r>
    </w:p>
    <w:p>
      <w:pPr>
        <w:pStyle w:val="ListBullet"/>
      </w:pPr>
      <w:r>
        <w:t>Domain source table/view is correctly bound.</w:t>
      </w:r>
    </w:p>
    <w:p>
      <w:pPr>
        <w:pStyle w:val="ListBullet"/>
      </w:pPr>
      <w:r>
        <w:t>Facility and search filters return expected records.</w:t>
      </w:r>
    </w:p>
    <w:p>
      <w:pPr>
        <w:pStyle w:val="ListBullet"/>
      </w:pPr>
      <w:r>
        <w:t>Current and proposed configuration values bind to the mapped fields.</w:t>
      </w:r>
    </w:p>
    <w:p>
      <w:pPr>
        <w:pStyle w:val="ListBullet"/>
      </w:pPr>
      <w:r>
        <w:t>Action To Take can be changed and saved.</w:t>
      </w:r>
    </w:p>
    <w:p>
      <w:pPr>
        <w:pStyle w:val="ListBullet"/>
      </w:pPr>
      <w:r>
        <w:t>Unsaved changes indicator works; Cancel restores committed values.</w:t>
      </w:r>
    </w:p>
    <w:p>
      <w:pPr>
        <w:pStyle w:val="ListBullet"/>
      </w:pPr>
      <w:r>
        <w:t>Target Match and sync prompt follow the mapped field and dated LIVE/TEST/ZCON rule.</w:t>
      </w:r>
    </w:p>
    <w:p>
      <w:pPr>
        <w:pStyle w:val="ListBullet"/>
      </w:pPr>
      <w:r>
        <w:t>ECCS lineage is traceable.</w:t>
      </w:r>
    </w:p>
    <w:p>
      <w:pPr>
        <w:pStyle w:val="ListBullet"/>
      </w:pPr>
      <w:r>
        <w:t>App Checker has no new blocking errors.</w:t>
      </w:r>
    </w:p>
    <w:p>
      <w:pPr>
        <w:pStyle w:val="Heading1"/>
      </w:pPr>
      <w:r>
        <w:t>8. Resume/build checkpoint</w:t>
      </w:r>
    </w:p>
    <w:p>
      <w:r>
        <w:t>This source-integration build is an extension of the ECCS 60.18U workflow. The next maker validation step is to install one updated shell, bind its domain Dataverse source, and execute the acceptance checks before repeating the pattern across the remaining applications.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317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0592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4585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317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