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ECCS Canvas App Shell Factory</w:t>
      </w:r>
    </w:p>
    <w:p>
      <w:r>
        <w:rPr>
          <w:rFonts w:ascii="Arial" w:hAnsi="Arial"/>
          <w:color w:val="54585A"/>
          <w:sz w:val="22"/>
        </w:rPr>
        <w:t>Developer Build Documentation Insert | Build 60.18U | 09/22/2026</w:t>
      </w:r>
    </w:p>
    <w:p>
      <w:pPr>
        <w:pStyle w:val="Heading1"/>
      </w:pPr>
      <w:r>
        <w:t>1. Purpose</w:t>
      </w:r>
    </w:p>
    <w:p>
      <w:r>
        <w:t>Create repeatable Canvas App shells for the ECCS Cutover Automation application family. Each shell is based on the supplied ECCS - Registration POC.msapp, retains the proven interaction pattern, and is configured with an app-specific title, domain, module, and record label.</w:t>
      </w:r>
    </w:p>
    <w:p>
      <w:r>
        <w:t>The shell does not package a CSV, source extract, or other business data. The retained Accommodation Data Clone connection is a starter wiring point and must be replaced with the actual domain data source before production use.</w:t>
      </w:r>
    </w:p>
    <w:p>
      <w:pPr>
        <w:pStyle w:val="Heading1"/>
      </w:pPr>
      <w:r>
        <w:t>2. Source and visual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Source</w:t>
            </w:r>
          </w:p>
        </w:tc>
        <w:tc>
          <w:tcPr>
            <w:tcW w:type="dxa" w:w="5112"/>
          </w:tcPr>
          <w:p>
            <w:r>
              <w:t>Use in build</w:t>
            </w:r>
          </w:p>
        </w:tc>
      </w:tr>
      <w:tr>
        <w:tc>
          <w:tcPr>
            <w:tcW w:type="dxa" w:w="5112"/>
          </w:tcPr>
          <w:p>
            <w:r>
              <w:t>ECCS - Registration POC.msapp</w:t>
            </w:r>
          </w:p>
        </w:tc>
        <w:tc>
          <w:tcPr>
            <w:tcW w:type="dxa" w:w="5112"/>
          </w:tcPr>
          <w:p>
            <w:r>
              <w:t>Base Canvas App shell, controls, Power Fx patterns, layout and interaction behavior.</w:t>
            </w:r>
          </w:p>
        </w:tc>
      </w:tr>
      <w:tr>
        <w:tc>
          <w:tcPr>
            <w:tcW w:type="dxa" w:w="5112"/>
          </w:tcPr>
          <w:p>
            <w:r>
              <w:t>ExpanseCutoverConfig- Demo All Solutions.png</w:t>
            </w:r>
          </w:p>
        </w:tc>
        <w:tc>
          <w:tcPr>
            <w:tcW w:type="dxa" w:w="5112"/>
          </w:tcPr>
          <w:p>
            <w:r>
              <w:t>Reference for the ECCS family presentation and domain/application structure.</w:t>
            </w:r>
          </w:p>
        </w:tc>
      </w:tr>
      <w:tr>
        <w:tc>
          <w:tcPr>
            <w:tcW w:type="dxa" w:w="5112"/>
          </w:tcPr>
          <w:p>
            <w:r>
              <w:t>CutoverConfig-Pilot Demo.png</w:t>
            </w:r>
          </w:p>
        </w:tc>
        <w:tc>
          <w:tcPr>
            <w:tcW w:type="dxa" w:w="5112"/>
          </w:tcPr>
          <w:p>
            <w:r>
              <w:t>Reference for application screens, configuration panels, validation and SQL-oriented workflow.</w:t>
            </w:r>
          </w:p>
        </w:tc>
      </w:tr>
    </w:tbl>
    <w:p>
      <w:pPr>
        <w:pStyle w:val="Heading1"/>
      </w:pPr>
      <w:r>
        <w:t>3. Reusable shell functions</w:t>
      </w:r>
    </w:p>
    <w:p>
      <w:pPr>
        <w:pStyle w:val="ListBullet"/>
      </w:pPr>
      <w:r>
        <w:t>Facility selector with single selection.</w:t>
      </w:r>
    </w:p>
    <w:p>
      <w:pPr>
        <w:pStyle w:val="ListBullet"/>
      </w:pPr>
      <w:r>
        <w:t>Search input and results gallery.</w:t>
      </w:r>
    </w:p>
    <w:p>
      <w:pPr>
        <w:pStyle w:val="ListBullet"/>
      </w:pPr>
      <w:r>
        <w:t>Selected-record state and record-count presentation.</w:t>
      </w:r>
    </w:p>
    <w:p>
      <w:pPr>
        <w:pStyle w:val="ListBullet"/>
      </w:pPr>
      <w:r>
        <w:t>Current Configuration display for source values.</w:t>
      </w:r>
    </w:p>
    <w:p>
      <w:pPr>
        <w:pStyle w:val="ListBullet"/>
      </w:pPr>
      <w:r>
        <w:t>Proposed Configuration with editable target controls using Classic/TextInput@2.3.2.</w:t>
      </w:r>
    </w:p>
    <w:p>
      <w:pPr>
        <w:pStyle w:val="ListBullet"/>
      </w:pPr>
      <w:r>
        <w:t>Save/Patch and Refresh pattern with Update_User and Update_Datetime capture.</w:t>
      </w:r>
    </w:p>
    <w:p>
      <w:pPr>
        <w:pStyle w:val="ListBullet"/>
      </w:pPr>
      <w:r>
        <w:t>Target Match status with NO MATCH red/bold handling.</w:t>
      </w:r>
    </w:p>
    <w:p>
      <w:pPr>
        <w:pStyle w:val="ListBullet"/>
      </w:pPr>
      <w:r>
        <w:t>Active Environment Synchronization Check using gblShowSyncPrompt and gblSyncConfirmed.</w:t>
      </w:r>
    </w:p>
    <w:p>
      <w:pPr>
        <w:pStyle w:val="ListBullet"/>
      </w:pPr>
      <w:r>
        <w:t>ECCS lineage display for row ID, source server, source procedure and refresh timestamp.</w:t>
      </w:r>
    </w:p>
    <w:p>
      <w:pPr>
        <w:pStyle w:val="Heading1"/>
      </w:pPr>
      <w:r>
        <w:t>4. Installation procedure</w:t>
      </w:r>
    </w:p>
    <w:p>
      <w:r>
        <w:t>1. Select the required app-specific package from the shell factory output.</w:t>
      </w:r>
    </w:p>
    <w:p>
      <w:r>
        <w:t>2. In the DevelopmentAuto environment, use Apps &gt; Import app &gt; From file (.msapp), or open the .msapp from Power Apps Studio.</w:t>
      </w:r>
    </w:p>
    <w:p>
      <w:r>
        <w:t>3. When Studio opens the shell, use File &gt; Save as and save the final application with the exact configured app name.</w:t>
      </w:r>
    </w:p>
    <w:p>
      <w:r>
        <w:t>4. Open Data and replace the retained Accommodation Data Clone source with the domain-specific Dataverse source/table/view.</w:t>
      </w:r>
    </w:p>
    <w:p>
      <w:r>
        <w:t>5. Rebind the facility selector, results gallery, source fields, target fields, Target Match field, and ECCS lineage fields.</w:t>
      </w:r>
    </w:p>
    <w:p>
      <w:r>
        <w:t>6. Update the Patch() record and column names in the Save Configuration button for the real target table.</w:t>
      </w:r>
    </w:p>
    <w:p>
      <w:r>
        <w:t>7. Validate search, record selection, current/proposed values, save, refresh, sync prompt, and NO MATCH formatting.</w:t>
      </w:r>
    </w:p>
    <w:p>
      <w:r>
        <w:t>8. Run App Checker, then Save and Publish.</w:t>
      </w:r>
    </w:p>
    <w:p>
      <w:r>
        <w:t>9. Add the finished app to the ECCS solution/ALM path and configure the corresponding Power Pages application link.</w:t>
      </w:r>
    </w:p>
    <w:p>
      <w:pPr>
        <w:pStyle w:val="Heading1"/>
      </w:pPr>
      <w:r>
        <w:t>5. Field mapping rule</w:t>
      </w:r>
    </w:p>
    <w:p>
      <w:r>
        <w:t>Do not guess domain-specific field names. Complete the included field-mapping-template.json with the actual Dataverse schema for the selected domain. The build package deliberately uses REPLACE_* placeholders where the source request does not provide schema details.</w:t>
      </w:r>
    </w:p>
    <w:p>
      <w:pPr>
        <w:pStyle w:val="Heading1"/>
      </w:pPr>
      <w:r>
        <w:br w:type="page"/>
      </w:r>
    </w:p>
    <w:p>
      <w:pPr>
        <w:pStyle w:val="Heading1"/>
      </w:pPr>
      <w:r>
        <w:t>6. Application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#</w:t>
            </w:r>
          </w:p>
        </w:tc>
        <w:tc>
          <w:tcPr>
            <w:tcW w:type="dxa" w:w="2556"/>
          </w:tcPr>
          <w:p>
            <w:r>
              <w:t>Application</w:t>
            </w:r>
          </w:p>
        </w:tc>
        <w:tc>
          <w:tcPr>
            <w:tcW w:type="dxa" w:w="2556"/>
          </w:tcPr>
          <w:p>
            <w:r>
              <w:t>Domain</w:t>
            </w:r>
          </w:p>
        </w:tc>
        <w:tc>
          <w:tcPr>
            <w:tcW w:type="dxa" w:w="2556"/>
          </w:tcPr>
          <w:p>
            <w:r>
              <w:t>Module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Expanse Cutover Automation - Registration/PTAC</w:t>
            </w:r>
          </w:p>
        </w:tc>
        <w:tc>
          <w:tcPr>
            <w:tcW w:type="dxa" w:w="2556"/>
          </w:tcPr>
          <w:p>
            <w:r>
              <w:t>Registration</w:t>
            </w:r>
          </w:p>
        </w:tc>
        <w:tc>
          <w:tcPr>
            <w:tcW w:type="dxa" w:w="2556"/>
          </w:tcPr>
          <w:p>
            <w:r>
              <w:t>PTAC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Expanse Cutover Automation - Emergency Department</w:t>
            </w:r>
          </w:p>
        </w:tc>
        <w:tc>
          <w:tcPr>
            <w:tcW w:type="dxa" w:w="2556"/>
          </w:tcPr>
          <w:p>
            <w:r>
              <w:t>Emergency Department</w:t>
            </w:r>
          </w:p>
        </w:tc>
        <w:tc>
          <w:tcPr>
            <w:tcW w:type="dxa" w:w="2556"/>
          </w:tcPr>
          <w:p>
            <w:r>
              <w:t>Emergency Department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Expanse Cutover Automation - Non-Med/RAD</w:t>
            </w:r>
          </w:p>
        </w:tc>
        <w:tc>
          <w:tcPr>
            <w:tcW w:type="dxa" w:w="2556"/>
          </w:tcPr>
          <w:p>
            <w:r>
              <w:t>Non-Med</w:t>
            </w:r>
          </w:p>
        </w:tc>
        <w:tc>
          <w:tcPr>
            <w:tcW w:type="dxa" w:w="2556"/>
          </w:tcPr>
          <w:p>
            <w:r>
              <w:t>RAD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Expanse Cutover Automation - Non-Med/LAB</w:t>
            </w:r>
          </w:p>
        </w:tc>
        <w:tc>
          <w:tcPr>
            <w:tcW w:type="dxa" w:w="2556"/>
          </w:tcPr>
          <w:p>
            <w:r>
              <w:t>Non-Med</w:t>
            </w:r>
          </w:p>
        </w:tc>
        <w:tc>
          <w:tcPr>
            <w:tcW w:type="dxa" w:w="2556"/>
          </w:tcPr>
          <w:p>
            <w:r>
              <w:t>LAB</w:t>
            </w:r>
          </w:p>
        </w:tc>
      </w:tr>
      <w:tr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Expanse Cutover Automation - Non-Med/DIET</w:t>
            </w:r>
          </w:p>
        </w:tc>
        <w:tc>
          <w:tcPr>
            <w:tcW w:type="dxa" w:w="2556"/>
          </w:tcPr>
          <w:p>
            <w:r>
              <w:t>Non-Med</w:t>
            </w:r>
          </w:p>
        </w:tc>
        <w:tc>
          <w:tcPr>
            <w:tcW w:type="dxa" w:w="2556"/>
          </w:tcPr>
          <w:p>
            <w:r>
              <w:t>DIET</w:t>
            </w:r>
          </w:p>
        </w:tc>
      </w:tr>
      <w:tr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Expanse Cutover Automation - Non-Med/OE</w:t>
            </w:r>
          </w:p>
        </w:tc>
        <w:tc>
          <w:tcPr>
            <w:tcW w:type="dxa" w:w="2556"/>
          </w:tcPr>
          <w:p>
            <w:r>
              <w:t>Non-Med</w:t>
            </w:r>
          </w:p>
        </w:tc>
        <w:tc>
          <w:tcPr>
            <w:tcW w:type="dxa" w:w="2556"/>
          </w:tcPr>
          <w:p>
            <w:r>
              <w:t>OE</w:t>
            </w:r>
          </w:p>
        </w:tc>
      </w:tr>
      <w:tr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Expanse Cutover Automation - Non-Med/CONSULTS</w:t>
            </w:r>
          </w:p>
        </w:tc>
        <w:tc>
          <w:tcPr>
            <w:tcW w:type="dxa" w:w="2556"/>
          </w:tcPr>
          <w:p>
            <w:r>
              <w:t>Non-Med</w:t>
            </w:r>
          </w:p>
        </w:tc>
        <w:tc>
          <w:tcPr>
            <w:tcW w:type="dxa" w:w="2556"/>
          </w:tcPr>
          <w:p>
            <w:r>
              <w:t>CONSULTS</w:t>
            </w:r>
          </w:p>
        </w:tc>
      </w:tr>
      <w:tr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Expanse Cutover Automation - Non-Med/LEVEL OF CARE</w:t>
            </w:r>
          </w:p>
        </w:tc>
        <w:tc>
          <w:tcPr>
            <w:tcW w:type="dxa" w:w="2556"/>
          </w:tcPr>
          <w:p>
            <w:r>
              <w:t>Non-Med</w:t>
            </w:r>
          </w:p>
        </w:tc>
        <w:tc>
          <w:tcPr>
            <w:tcW w:type="dxa" w:w="2556"/>
          </w:tcPr>
          <w:p>
            <w:r>
              <w:t>LEVEL OF CARE</w:t>
            </w:r>
          </w:p>
        </w:tc>
      </w:tr>
      <w:tr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Expanse Cutover Automation - Non-Med/NURSING</w:t>
            </w:r>
          </w:p>
        </w:tc>
        <w:tc>
          <w:tcPr>
            <w:tcW w:type="dxa" w:w="2556"/>
          </w:tcPr>
          <w:p>
            <w:r>
              <w:t>Non-Med</w:t>
            </w:r>
          </w:p>
        </w:tc>
        <w:tc>
          <w:tcPr>
            <w:tcW w:type="dxa" w:w="2556"/>
          </w:tcPr>
          <w:p>
            <w:r>
              <w:t>NURSING</w:t>
            </w:r>
          </w:p>
        </w:tc>
      </w:tr>
      <w:tr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Expanse Cutover Automation - Non-Med/RT-PT-OT</w:t>
            </w:r>
          </w:p>
        </w:tc>
        <w:tc>
          <w:tcPr>
            <w:tcW w:type="dxa" w:w="2556"/>
          </w:tcPr>
          <w:p>
            <w:r>
              <w:t>Non-Med</w:t>
            </w:r>
          </w:p>
        </w:tc>
        <w:tc>
          <w:tcPr>
            <w:tcW w:type="dxa" w:w="2556"/>
          </w:tcPr>
          <w:p>
            <w:r>
              <w:t>RT-PT-OT</w:t>
            </w:r>
          </w:p>
        </w:tc>
      </w:tr>
      <w:tr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Expanse Cutover Automation - Non-Med/EKG</w:t>
            </w:r>
          </w:p>
        </w:tc>
        <w:tc>
          <w:tcPr>
            <w:tcW w:type="dxa" w:w="2556"/>
          </w:tcPr>
          <w:p>
            <w:r>
              <w:t>Non-Med</w:t>
            </w:r>
          </w:p>
        </w:tc>
        <w:tc>
          <w:tcPr>
            <w:tcW w:type="dxa" w:w="2556"/>
          </w:tcPr>
          <w:p>
            <w:r>
              <w:t>EKG</w:t>
            </w:r>
          </w:p>
        </w:tc>
      </w:tr>
      <w:tr>
        <w:tc>
          <w:tcPr>
            <w:tcW w:type="dxa" w:w="2556"/>
          </w:tcPr>
          <w:p>
            <w:r>
              <w:t>12</w:t>
            </w:r>
          </w:p>
        </w:tc>
        <w:tc>
          <w:tcPr>
            <w:tcW w:type="dxa" w:w="2556"/>
          </w:tcPr>
          <w:p>
            <w:r>
              <w:t>Expanse Cutover Automation - PHA/MED</w:t>
            </w:r>
          </w:p>
        </w:tc>
        <w:tc>
          <w:tcPr>
            <w:tcW w:type="dxa" w:w="2556"/>
          </w:tcPr>
          <w:p>
            <w:r>
              <w:t>PHA</w:t>
            </w:r>
          </w:p>
        </w:tc>
        <w:tc>
          <w:tcPr>
            <w:tcW w:type="dxa" w:w="2556"/>
          </w:tcPr>
          <w:p>
            <w:r>
              <w:t>MED</w:t>
            </w:r>
          </w:p>
        </w:tc>
      </w:tr>
      <w:tr>
        <w:tc>
          <w:tcPr>
            <w:tcW w:type="dxa" w:w="2556"/>
          </w:tcPr>
          <w:p>
            <w:r>
              <w:t>13</w:t>
            </w:r>
          </w:p>
        </w:tc>
        <w:tc>
          <w:tcPr>
            <w:tcW w:type="dxa" w:w="2556"/>
          </w:tcPr>
          <w:p>
            <w:r>
              <w:t>Expanse Cutover Automation - MIS Provider</w:t>
            </w:r>
          </w:p>
        </w:tc>
        <w:tc>
          <w:tcPr>
            <w:tcW w:type="dxa" w:w="2556"/>
          </w:tcPr>
          <w:p>
            <w:r>
              <w:t>MIS Provider</w:t>
            </w:r>
          </w:p>
        </w:tc>
        <w:tc>
          <w:tcPr>
            <w:tcW w:type="dxa" w:w="2556"/>
          </w:tcPr>
          <w:p>
            <w:r>
              <w:t>MIS Provider</w:t>
            </w:r>
          </w:p>
        </w:tc>
      </w:tr>
      <w:tr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Expanse Cutover Automation - CNET</w:t>
            </w:r>
          </w:p>
        </w:tc>
        <w:tc>
          <w:tcPr>
            <w:tcW w:type="dxa" w:w="2556"/>
          </w:tcPr>
          <w:p>
            <w:r>
              <w:t>Cutover Nursing Entry Tool (CNET)</w:t>
            </w:r>
          </w:p>
        </w:tc>
        <w:tc>
          <w:tcPr>
            <w:tcW w:type="dxa" w:w="2556"/>
          </w:tcPr>
          <w:p>
            <w:r>
              <w:t>CNET</w:t>
            </w:r>
          </w:p>
        </w:tc>
      </w:tr>
    </w:tbl>
    <w:p>
      <w:pPr>
        <w:pStyle w:val="Heading1"/>
      </w:pPr>
      <w:r>
        <w:t>7. Acceptance criteria</w:t>
      </w:r>
    </w:p>
    <w:p>
      <w:pPr>
        <w:pStyle w:val="ListBullet"/>
      </w:pPr>
      <w:r>
        <w:t>The application title and module/domain text are correct.</w:t>
      </w:r>
    </w:p>
    <w:p>
      <w:pPr>
        <w:pStyle w:val="ListBullet"/>
      </w:pPr>
      <w:r>
        <w:t>Registration-specific title text is not used outside the Registration/PTAC app.</w:t>
      </w:r>
    </w:p>
    <w:p>
      <w:pPr>
        <w:pStyle w:val="ListBullet"/>
      </w:pPr>
      <w:r>
        <w:t>No CSV or sample business data is included in the shell package.</w:t>
      </w:r>
    </w:p>
    <w:p>
      <w:pPr>
        <w:pStyle w:val="ListBullet"/>
      </w:pPr>
      <w:r>
        <w:t>The correct domain data source and field bindings are connected.</w:t>
      </w:r>
    </w:p>
    <w:p>
      <w:pPr>
        <w:pStyle w:val="ListBullet"/>
      </w:pPr>
      <w:r>
        <w:t>The gallery, search, current configuration, proposed configuration, save flow, synchronization prompt, and lineage functions are operational.</w:t>
      </w:r>
    </w:p>
    <w:p>
      <w:pPr>
        <w:pStyle w:val="ListBullet"/>
      </w:pPr>
      <w:r>
        <w:t>App Checker has no new blocking errors.</w:t>
      </w:r>
    </w:p>
    <w:p>
      <w:pPr>
        <w:pStyle w:val="ListBullet"/>
      </w:pPr>
      <w:r>
        <w:t>The application is saved and published and is ready to be linked from the ECCS Power Pages hub.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4585A"/>
        <w:sz w:val="16"/>
      </w:rPr>
      <w:t>ECCS | Canvas App Shell Factory | DevelopmentAuto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3173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E0592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4585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3173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