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C55A11"/>
          <w:sz w:val="44"/>
          <w:szCs w:val="44"/>
        </w:rPr>
        <w:t xml:space="preserve">LATCHED</w:t>
      </w:r>
    </w:p>
    <w:p>
      <w:pPr>
        <w:spacing w:after="40"/>
      </w:pPr>
      <w:r>
        <w:rPr>
          <w:b/>
          <w:bCs/>
          <w:color w:val="1F3864"/>
          <w:sz w:val="26"/>
          <w:szCs w:val="26"/>
        </w:rPr>
        <w:t xml:space="preserve">Sponsored Infant Feeding Support — Payer &amp; Employer Value Narrative</w:t>
      </w:r>
    </w:p>
    <w:p>
      <w:pPr>
        <w:pBdr>
          <w:bottom w:val="single" w:color="C55A11" w:sz="6"/>
        </w:pBdr>
        <w:spacing w:after="240"/>
      </w:pPr>
      <w:r>
        <w:rPr>
          <w:i/>
          <w:iCs/>
          <w:color w:val="808080"/>
          <w:sz w:val="18"/>
          <w:szCs w:val="18"/>
        </w:rPr>
        <w:t xml:space="preserve">Discussion document · Prepared for benefits and clinical leadership</w:t>
      </w:r>
    </w:p>
    <w:p>
      <w:pPr>
        <w:pStyle w:val="Heading1"/>
        <w:spacing w:after="140" w:before="280"/>
      </w:pPr>
      <w:r>
        <w:t xml:space="preserve">The ask</w:t>
      </w:r>
    </w:p>
    <w:p>
      <w:pPr>
        <w:spacing w:after="120"/>
      </w:pPr>
      <w:r>
        <w:rPr>
          <w:sz w:val="20"/>
          <w:szCs w:val="20"/>
        </w:rPr>
        <w:t xml:space="preserve">Cover Latched for your covered lives so members pay $0–25 instead of full price. In exchange you get earlier feeding intervention, measurable breastfeeding-duration lift, and avoided downstream cost — with near-zero implementation lift.</w:t>
      </w:r>
    </w:p>
    <w:p>
      <w:pPr>
        <w:spacing w:after="120"/>
      </w:pPr>
      <w:r>
        <w:rPr>
          <w:sz w:val="20"/>
          <w:szCs w:val="20"/>
        </w:rPr>
        <w:t xml:space="preserve">Latched spans a 15-month feeding journey with four evidence-based support peaks: milk establishment (weeks 0–8), return to work (months 3–4), solids introduction (months 5–7), and weaning (months 12–15). Support today is concentrated almost entirely in the first weeks and largely absent for the other three.</w:t>
      </w:r>
    </w:p>
    <w:p>
      <w:pPr>
        <w:pStyle w:val="Heading1"/>
        <w:spacing w:after="140" w:before="280"/>
      </w:pPr>
      <w:r>
        <w:t xml:space="preserve">Why this is already your obligation</w:t>
      </w:r>
    </w:p>
    <w:p>
      <w:pPr>
        <w:spacing w:after="120"/>
      </w:pPr>
      <w:r>
        <w:rPr>
          <w:sz w:val="20"/>
          <w:szCs w:val="20"/>
        </w:rPr>
        <w:t xml:space="preserve">Under ACA §2713, non-grandfathered plans must cover comprehensive prenatal and postnatal lactation support, counseling, and equipment with no member cost-sharing, for the duration of breastfeeding, per HRSA/WPSI recommendations.</w:t>
      </w:r>
    </w:p>
    <w:p>
      <w:pPr>
        <w:spacing w:after="120"/>
      </w:pPr>
      <w:r>
        <w:rPr>
          <w:sz w:val="20"/>
          <w:szCs w:val="20"/>
        </w:rPr>
        <w:t xml:space="preserve">The mandate is met unevenly in practice. Members report difficulty finding in-network lactation providers, and support is often unavailable at the moment of need — nights, weekends, and the first 72 hours postpartum, when most breastfeeding failures begin. Latched closes that gap at a fraction of the cost of a visit.</w:t>
      </w:r>
    </w:p>
    <w:p>
      <w:pPr>
        <w:spacing w:after="100"/>
      </w:pPr>
      <w:r>
        <w:rPr>
          <w:i/>
          <w:iCs/>
          <w:color w:val="808080"/>
          <w:sz w:val="16"/>
          <w:szCs w:val="16"/>
        </w:rPr>
        <w:t xml:space="preserve">Sources: ACA §2713; HRSA Women's Preventive Services Guidelines; National Women's Law Center, State of Breastfeeding Coverage; CDC NIS-Child (2022 birth cohort).</w:t>
      </w:r>
    </w:p>
    <w:p>
      <w:pPr>
        <w:pStyle w:val="Heading1"/>
        <w:spacing w:after="140" w:before="280"/>
      </w:pPr>
      <w:r>
        <w:t xml:space="preserve">The clinical case</w:t>
      </w:r>
    </w:p>
    <w:p>
      <w:pPr>
        <w:pStyle w:val="ListParagraph"/>
        <w:numPr>
          <w:ilvl w:val="0"/>
          <w:numId w:val="1"/>
        </w:numPr>
        <w:spacing w:after="80"/>
      </w:pPr>
      <w:r>
        <w:rPr>
          <w:sz w:val="20"/>
          <w:szCs w:val="20"/>
        </w:rPr>
        <w:t xml:space="preserve">Breastfeeding initiation is high, continuation is not. ~83% of U.S. infants are ever breastfed (CDC NIS-Child), but roughly 60% of mothers stop earlier than they intended (CDC).</w:t>
      </w:r>
    </w:p>
    <w:p>
      <w:pPr>
        <w:pStyle w:val="ListParagraph"/>
        <w:numPr>
          <w:ilvl w:val="0"/>
          <w:numId w:val="1"/>
        </w:numPr>
        <w:spacing w:after="80"/>
      </w:pPr>
      <w:r>
        <w:rPr>
          <w:sz w:val="20"/>
          <w:szCs w:val="20"/>
        </w:rPr>
        <w:t xml:space="preserve">Coverage demonstrably changes behavior. The 2012 ACA lactation-coverage change was associated with a ~10% increase in breastfeeding duration and a ~21% increase in exclusive breastfeeding duration among the eligible population (Am J Public Health).</w:t>
      </w:r>
    </w:p>
    <w:p>
      <w:pPr>
        <w:pStyle w:val="ListParagraph"/>
        <w:numPr>
          <w:ilvl w:val="0"/>
          <w:numId w:val="1"/>
        </w:numPr>
        <w:spacing w:after="80"/>
      </w:pPr>
      <w:r>
        <w:rPr>
          <w:sz w:val="20"/>
          <w:szCs w:val="20"/>
        </w:rPr>
        <w:t xml:space="preserve">Support is time-critical, and the risk is not front-loaded. CDC NIS-Child data (2022 cohort, n=19,309) show three distinct cliffs after the newborn window: a 7.7% monthly cessation rate at months 3–4 (return to work, coinciding with the end of ~12-week leave), a 12.9% cliff between months 6 and 7 (solids introduction — the single largest monthly drop in the first year), and a sustained ~11.8% monthly rate from month 12 to 18 (weaning).</w:t>
      </w:r>
    </w:p>
    <w:p>
      <w:pPr>
        <w:pStyle w:val="ListParagraph"/>
        <w:numPr>
          <w:ilvl w:val="0"/>
          <w:numId w:val="1"/>
        </w:numPr>
        <w:spacing w:after="80"/>
      </w:pPr>
      <w:r>
        <w:rPr>
          <w:sz w:val="20"/>
          <w:szCs w:val="20"/>
        </w:rPr>
        <w:t xml:space="preserve">Median weaning, among mothers who make it past six weeks, is approximately 12 months — half are still breastfeeding at a year. Most digital support has stopped long before.</w:t>
      </w:r>
    </w:p>
    <w:p>
      <w:pPr>
        <w:pStyle w:val="Heading1"/>
        <w:spacing w:after="140" w:before="280"/>
      </w:pPr>
      <w:r>
        <w:t xml:space="preserve">The financial case</w:t>
      </w:r>
    </w:p>
    <w:p>
      <w:pPr>
        <w:spacing w:after="120"/>
      </w:pPr>
      <w:r>
        <w:rPr>
          <w:sz w:val="20"/>
          <w:szCs w:val="20"/>
        </w:rPr>
        <w:t xml:space="preserve">Latched is a low-cost intervention against high-cost downstream events. Each avoided event pays for many covered members.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1F3864" w:val="clear"/>
          </w:tcPr>
          <w:p>
            <w:r>
              <w:rPr>
                <w:b/>
                <w:bCs/>
                <w:color w:val="FFFFFF"/>
                <w:sz w:val="18"/>
                <w:szCs w:val="18"/>
              </w:rPr>
              <w:t xml:space="preserve">Cost driver</w:t>
            </w:r>
          </w:p>
        </w:tc>
        <w:tc>
          <w:tcPr>
            <w:tcW w:type="dxa" w:w="6160"/>
            <w:shd w:fill="1F3864" w:val="clear"/>
          </w:tcPr>
          <w:p>
            <w:r>
              <w:rPr>
                <w:b/>
                <w:bCs/>
                <w:color w:val="FFFFFF"/>
                <w:sz w:val="18"/>
                <w:szCs w:val="18"/>
              </w:rPr>
              <w:t xml:space="preserve">Mechanism of avoidance</w:t>
            </w:r>
          </w:p>
        </w:tc>
      </w:tr>
      <w:tr>
        <w:tc>
          <w:tcPr>
            <w:tcW w:type="dxa" w:w="3200"/>
          </w:tcPr>
          <w:p>
            <w:r>
              <w:rPr>
                <w:sz w:val="18"/>
                <w:szCs w:val="18"/>
              </w:rPr>
              <w:t xml:space="preserve">Avoidable ED / urgent care visits</w:t>
            </w:r>
          </w:p>
        </w:tc>
        <w:tc>
          <w:tcPr>
            <w:tcW w:type="dxa" w:w="6160"/>
          </w:tcPr>
          <w:p>
            <w:r>
              <w:rPr>
                <w:sz w:val="18"/>
                <w:szCs w:val="18"/>
              </w:rPr>
              <w:t xml:space="preserve">Feeding and latch anxiety, poor weight gain, mastitis triaged in-app before escalation</w:t>
            </w:r>
          </w:p>
        </w:tc>
      </w:tr>
      <w:tr>
        <w:tc>
          <w:tcPr>
            <w:tcW w:type="dxa" w:w="3200"/>
            <w:shd w:fill="F2F2F2" w:val="clear"/>
          </w:tcPr>
          <w:p>
            <w:r>
              <w:rPr>
                <w:sz w:val="18"/>
                <w:szCs w:val="18"/>
              </w:rPr>
              <w:t xml:space="preserve">Newborn readmission</w:t>
            </w:r>
          </w:p>
        </w:tc>
        <w:tc>
          <w:tcPr>
            <w:tcW w:type="dxa" w:w="6160"/>
            <w:shd w:fill="F2F2F2" w:val="clear"/>
          </w:tcPr>
          <w:p>
            <w:r>
              <w:rPr>
                <w:sz w:val="18"/>
                <w:szCs w:val="18"/>
              </w:rPr>
              <w:t xml:space="preserve">Early detection of inadequate intake, jaundice and dehydration risk</w:t>
            </w:r>
          </w:p>
        </w:tc>
      </w:tr>
      <w:tr>
        <w:tc>
          <w:tcPr>
            <w:tcW w:type="dxa" w:w="3200"/>
          </w:tcPr>
          <w:p>
            <w:r>
              <w:rPr>
                <w:sz w:val="18"/>
                <w:szCs w:val="18"/>
              </w:rPr>
              <w:t xml:space="preserve">Formula spend (incl. WIC)</w:t>
            </w:r>
          </w:p>
        </w:tc>
        <w:tc>
          <w:tcPr>
            <w:tcW w:type="dxa" w:w="6160"/>
          </w:tcPr>
          <w:p>
            <w:r>
              <w:rPr>
                <w:sz w:val="18"/>
                <w:szCs w:val="18"/>
              </w:rPr>
              <w:t xml:space="preserve">Longer breastfeeding duration reduces formula reliance</w:t>
            </w:r>
          </w:p>
        </w:tc>
      </w:tr>
      <w:tr>
        <w:tc>
          <w:tcPr>
            <w:tcW w:type="dxa" w:w="3200"/>
            <w:shd w:fill="F2F2F2" w:val="clear"/>
          </w:tcPr>
          <w:p>
            <w:r>
              <w:rPr>
                <w:sz w:val="18"/>
                <w:szCs w:val="18"/>
              </w:rPr>
              <w:t xml:space="preserve">Solids-transition missteps</w:t>
            </w:r>
          </w:p>
        </w:tc>
        <w:tc>
          <w:tcPr>
            <w:tcW w:type="dxa" w:w="6160"/>
            <w:shd w:fill="F2F2F2" w:val="clear"/>
          </w:tcPr>
          <w:p>
            <w:r>
              <w:rPr>
                <w:sz w:val="18"/>
                <w:szCs w:val="18"/>
              </w:rPr>
              <w:t xml:space="preserve">Guidance on allergen introduction and milk/solids balance reduces avoidable pediatric visits</w:t>
            </w:r>
          </w:p>
        </w:tc>
      </w:tr>
      <w:tr>
        <w:tc>
          <w:tcPr>
            <w:tcW w:type="dxa" w:w="3200"/>
          </w:tcPr>
          <w:p>
            <w:r>
              <w:rPr>
                <w:sz w:val="18"/>
                <w:szCs w:val="18"/>
              </w:rPr>
              <w:t xml:space="preserve">Early return-to-work cessation</w:t>
            </w:r>
          </w:p>
        </w:tc>
        <w:tc>
          <w:tcPr>
            <w:tcW w:type="dxa" w:w="6160"/>
          </w:tcPr>
          <w:p>
            <w:r>
              <w:rPr>
                <w:sz w:val="18"/>
                <w:szCs w:val="18"/>
              </w:rPr>
              <w:t xml:space="preserve">Pumping and supply-maintenance support at months 3–4 sustains breastfeeding through the leave transition — and supports retention of the employee</w:t>
            </w:r>
          </w:p>
        </w:tc>
      </w:tr>
      <w:tr>
        <w:tc>
          <w:tcPr>
            <w:tcW w:type="dxa" w:w="3200"/>
            <w:shd w:fill="F2F2F2" w:val="clear"/>
          </w:tcPr>
          <w:p>
            <w:r>
              <w:rPr>
                <w:sz w:val="18"/>
                <w:szCs w:val="18"/>
              </w:rPr>
              <w:t xml:space="preserve">Maternal mental health cost</w:t>
            </w:r>
          </w:p>
        </w:tc>
        <w:tc>
          <w:tcPr>
            <w:tcW w:type="dxa" w:w="6160"/>
            <w:shd w:fill="F2F2F2" w:val="clear"/>
          </w:tcPr>
          <w:p>
            <w:r>
              <w:rPr>
                <w:sz w:val="18"/>
                <w:szCs w:val="18"/>
              </w:rPr>
              <w:t xml:space="preserve">Feeding failure is a documented contributor to postpartum depression and anxiety</w:t>
            </w:r>
          </w:p>
        </w:tc>
      </w:tr>
      <w:tr>
        <w:tc>
          <w:tcPr>
            <w:tcW w:type="dxa" w:w="3200"/>
          </w:tcPr>
          <w:p>
            <w:r>
              <w:rPr>
                <w:sz w:val="18"/>
                <w:szCs w:val="18"/>
              </w:rPr>
              <w:t xml:space="preserve">Lactation consult utilization</w:t>
            </w:r>
          </w:p>
        </w:tc>
        <w:tc>
          <w:tcPr>
            <w:tcW w:type="dxa" w:w="6160"/>
          </w:tcPr>
          <w:p>
            <w:r>
              <w:rPr>
                <w:sz w:val="18"/>
                <w:szCs w:val="18"/>
              </w:rPr>
              <w:t xml:space="preserve">Triage deflects low-acuity questions; IBCLC time reserved for true clinical need</w:t>
            </w:r>
          </w:p>
        </w:tc>
      </w:tr>
    </w:tbl>
    <w:p>
      <w:pPr>
        <w:spacing w:after="100"/>
      </w:pPr>
      <w:r>
        <w:rPr>
          <w:i/>
          <w:iCs/>
          <w:color w:val="808080"/>
          <w:sz w:val="16"/>
          <w:szCs w:val="16"/>
        </w:rPr>
        <w:t xml:space="preserve">Directional model — to be validated against your claims data in a pilot.</w:t>
      </w:r>
    </w:p>
    <w:p>
      <w:pPr>
        <w:pStyle w:val="Heading1"/>
        <w:spacing w:after="140" w:before="280"/>
      </w:pPr>
      <w:r>
        <w:t xml:space="preserve">Quality and equity impact</w:t>
      </w:r>
    </w:p>
    <w:p>
      <w:pPr>
        <w:pStyle w:val="ListParagraph"/>
        <w:numPr>
          <w:ilvl w:val="0"/>
          <w:numId w:val="1"/>
        </w:numPr>
        <w:spacing w:after="80"/>
      </w:pPr>
      <w:r>
        <w:rPr>
          <w:sz w:val="20"/>
          <w:szCs w:val="20"/>
        </w:rPr>
        <w:t xml:space="preserve">Supports postpartum-care engagement and well-child visit adherence.</w:t>
      </w:r>
    </w:p>
    <w:p>
      <w:pPr>
        <w:pStyle w:val="ListParagraph"/>
        <w:numPr>
          <w:ilvl w:val="0"/>
          <w:numId w:val="1"/>
        </w:numPr>
        <w:spacing w:after="80"/>
      </w:pPr>
      <w:r>
        <w:rPr>
          <w:sz w:val="20"/>
          <w:szCs w:val="20"/>
        </w:rPr>
        <w:t xml:space="preserve">Directly relevant to maternal health equity priorities, a stated focus of Medicaid MCOs and state programs.</w:t>
      </w:r>
    </w:p>
    <w:p>
      <w:pPr>
        <w:pStyle w:val="ListParagraph"/>
        <w:numPr>
          <w:ilvl w:val="0"/>
          <w:numId w:val="1"/>
        </w:numPr>
        <w:spacing w:after="80"/>
      </w:pPr>
      <w:r>
        <w:rPr>
          <w:sz w:val="20"/>
          <w:szCs w:val="20"/>
        </w:rPr>
        <w:t xml:space="preserve">Reaches members who cannot access in-person lactation care — rural, non-metropolitan, and shift-working members, who CDC data show are least likely to ever breastfeed.</w:t>
      </w:r>
    </w:p>
    <w:p>
      <w:pPr>
        <w:pStyle w:val="Heading1"/>
        <w:spacing w:after="140" w:before="280"/>
      </w:pPr>
      <w:r>
        <w:t xml:space="preserve">Commercial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2500"/>
        <w:gridCol w:w="3260"/>
      </w:tblGrid>
      <w:tr>
        <w:trPr>
          <w:tblHeader/>
        </w:trPr>
        <w:tc>
          <w:tcPr>
            <w:tcW w:type="dxa" w:w="2100"/>
            <w:shd w:fill="1F3864" w:val="clear"/>
          </w:tcPr>
          <w:p>
            <w:r>
              <w:rPr>
                <w:b/>
                <w:bCs/>
                <w:color w:val="FFFFFF"/>
                <w:sz w:val="18"/>
                <w:szCs w:val="18"/>
              </w:rPr>
              <w:t xml:space="preserve">Route</w:t>
            </w:r>
          </w:p>
        </w:tc>
        <w:tc>
          <w:tcPr>
            <w:tcW w:type="dxa" w:w="1500"/>
            <w:shd w:fill="1F3864" w:val="clear"/>
          </w:tcPr>
          <w:p>
            <w:r>
              <w:rPr>
                <w:b/>
                <w:bCs/>
                <w:color w:val="FFFFFF"/>
                <w:sz w:val="18"/>
                <w:szCs w:val="18"/>
              </w:rPr>
              <w:t xml:space="preserve">Member pays</w:t>
            </w:r>
          </w:p>
        </w:tc>
        <w:tc>
          <w:tcPr>
            <w:tcW w:type="dxa" w:w="2500"/>
            <w:shd w:fill="1F3864" w:val="clear"/>
          </w:tcPr>
          <w:p>
            <w:r>
              <w:rPr>
                <w:b/>
                <w:bCs/>
                <w:color w:val="FFFFFF"/>
                <w:sz w:val="18"/>
                <w:szCs w:val="18"/>
              </w:rPr>
              <w:t xml:space="preserve">Sponsor pays</w:t>
            </w:r>
          </w:p>
        </w:tc>
        <w:tc>
          <w:tcPr>
            <w:tcW w:type="dxa" w:w="3260"/>
            <w:shd w:fill="1F3864" w:val="clear"/>
          </w:tcPr>
          <w:p>
            <w:r>
              <w:rPr>
                <w:b/>
                <w:bCs/>
                <w:color w:val="FFFFFF"/>
                <w:sz w:val="18"/>
                <w:szCs w:val="18"/>
              </w:rPr>
              <w:t xml:space="preserve">Best for</w:t>
            </w:r>
          </w:p>
        </w:tc>
      </w:tr>
      <w:tr>
        <w:tc>
          <w:tcPr>
            <w:tcW w:type="dxa" w:w="2100"/>
          </w:tcPr>
          <w:p>
            <w:r>
              <w:rPr>
                <w:sz w:val="18"/>
                <w:szCs w:val="18"/>
              </w:rPr>
              <w:t xml:space="preserve">Employer-sponsored</w:t>
            </w:r>
          </w:p>
        </w:tc>
        <w:tc>
          <w:tcPr>
            <w:tcW w:type="dxa" w:w="1500"/>
          </w:tcPr>
          <w:p>
            <w:r>
              <w:rPr>
                <w:sz w:val="18"/>
                <w:szCs w:val="18"/>
              </w:rPr>
              <w:t xml:space="preserve">$0</w:t>
            </w:r>
          </w:p>
        </w:tc>
        <w:tc>
          <w:tcPr>
            <w:tcW w:type="dxa" w:w="2500"/>
          </w:tcPr>
          <w:p>
            <w:r>
              <w:rPr>
                <w:sz w:val="18"/>
                <w:szCs w:val="18"/>
              </w:rPr>
              <w:t xml:space="preserve">Fee per covered birth + platform fee</w:t>
            </w:r>
          </w:p>
        </w:tc>
        <w:tc>
          <w:tcPr>
            <w:tcW w:type="dxa" w:w="3260"/>
          </w:tcPr>
          <w:p>
            <w:r>
              <w:rPr>
                <w:sz w:val="18"/>
                <w:szCs w:val="18"/>
              </w:rPr>
              <w:t xml:space="preserve">Self-insured employers. Fastest to value.</w:t>
            </w:r>
          </w:p>
        </w:tc>
      </w:tr>
      <w:tr>
        <w:tc>
          <w:tcPr>
            <w:tcW w:type="dxa" w:w="2100"/>
            <w:shd w:fill="F2F2F2" w:val="clear"/>
          </w:tcPr>
          <w:p>
            <w:r>
              <w:rPr>
                <w:sz w:val="18"/>
                <w:szCs w:val="18"/>
              </w:rPr>
              <w:t xml:space="preserve">Health plan / MCO</w:t>
            </w:r>
          </w:p>
        </w:tc>
        <w:tc>
          <w:tcPr>
            <w:tcW w:type="dxa" w:w="1500"/>
            <w:shd w:fill="F2F2F2" w:val="clear"/>
          </w:tcPr>
          <w:p>
            <w:r>
              <w:rPr>
                <w:sz w:val="18"/>
                <w:szCs w:val="18"/>
              </w:rPr>
              <w:t xml:space="preserve">$0</w:t>
            </w:r>
          </w:p>
        </w:tc>
        <w:tc>
          <w:tcPr>
            <w:tcW w:type="dxa" w:w="2500"/>
            <w:shd w:fill="F2F2F2" w:val="clear"/>
          </w:tcPr>
          <w:p>
            <w:r>
              <w:rPr>
                <w:sz w:val="18"/>
                <w:szCs w:val="18"/>
              </w:rPr>
              <w:t xml:space="preserve">Fee per covered birth</w:t>
            </w:r>
          </w:p>
        </w:tc>
        <w:tc>
          <w:tcPr>
            <w:tcW w:type="dxa" w:w="3260"/>
            <w:shd w:fill="F2F2F2" w:val="clear"/>
          </w:tcPr>
          <w:p>
            <w:r>
              <w:rPr>
                <w:sz w:val="18"/>
                <w:szCs w:val="18"/>
              </w:rPr>
              <w:t xml:space="preserve">Scale across covered lives.</w:t>
            </w:r>
          </w:p>
        </w:tc>
      </w:tr>
      <w:tr>
        <w:tc>
          <w:tcPr>
            <w:tcW w:type="dxa" w:w="2100"/>
          </w:tcPr>
          <w:p>
            <w:r>
              <w:rPr>
                <w:sz w:val="18"/>
                <w:szCs w:val="18"/>
              </w:rPr>
              <w:t xml:space="preserve">Hybrid subsidy</w:t>
            </w:r>
          </w:p>
        </w:tc>
        <w:tc>
          <w:tcPr>
            <w:tcW w:type="dxa" w:w="1500"/>
          </w:tcPr>
          <w:p>
            <w:r>
              <w:rPr>
                <w:sz w:val="18"/>
                <w:szCs w:val="18"/>
              </w:rPr>
              <w:t xml:space="preserve">$20–30</w:t>
            </w:r>
          </w:p>
        </w:tc>
        <w:tc>
          <w:tcPr>
            <w:tcW w:type="dxa" w:w="2500"/>
          </w:tcPr>
          <w:p>
            <w:r>
              <w:rPr>
                <w:sz w:val="18"/>
                <w:szCs w:val="18"/>
              </w:rPr>
              <w:t xml:space="preserve">Balance of list price</w:t>
            </w:r>
          </w:p>
        </w:tc>
        <w:tc>
          <w:tcPr>
            <w:tcW w:type="dxa" w:w="3260"/>
          </w:tcPr>
          <w:p>
            <w:r>
              <w:rPr>
                <w:sz w:val="18"/>
                <w:szCs w:val="18"/>
              </w:rPr>
              <w:t xml:space="preserve">Bridge structure while outcomes accrue.</w:t>
            </w:r>
          </w:p>
        </w:tc>
      </w:tr>
    </w:tbl>
    <w:p>
      <w:pPr>
        <w:spacing w:after="120"/>
      </w:pPr>
      <w:r>
        <w:rPr>
          <w:sz w:val="20"/>
          <w:szCs w:val="20"/>
        </w:rPr>
        <w:t xml:space="preserve">Pricing is per covered birth for the 15-month journey, plus an annual platform fee — not a per-member subscription. Each year's birth cohort is a new population, so the contract renews annually while each family is served once.</w:t>
      </w:r>
    </w:p>
    <w:p>
      <w:pPr>
        <w:spacing w:after="120"/>
      </w:pPr>
      <w:r>
        <w:rPr>
          <w:sz w:val="20"/>
          <w:szCs w:val="20"/>
        </w:rPr>
        <w:t xml:space="preserve">Benchmark: enterprise maternity platforms price at a $20–40K annual platform fee plus $700–950 per enrolled member per year. Latched is a focused feeding point-solution priced well below that, and is designed to sit alongside — not replace — an existing maternity benefit.</w:t>
      </w:r>
    </w:p>
    <w:p>
      <w:pPr>
        <w:pStyle w:val="Heading1"/>
        <w:spacing w:after="140" w:before="280"/>
      </w:pPr>
      <w:r>
        <w:t xml:space="preserve">Why this is low-risk to adopt</w:t>
      </w:r>
    </w:p>
    <w:p>
      <w:pPr>
        <w:pStyle w:val="ListParagraph"/>
        <w:numPr>
          <w:ilvl w:val="0"/>
          <w:numId w:val="1"/>
        </w:numPr>
        <w:spacing w:after="80"/>
      </w:pPr>
      <w:r>
        <w:rPr>
          <w:sz w:val="20"/>
          <w:szCs w:val="20"/>
        </w:rPr>
        <w:t xml:space="preserve">No clinical liability transfer — Latched is educational and triage-oriented, with IBCLC oversight and clear escalation to licensed care.</w:t>
      </w:r>
    </w:p>
    <w:p>
      <w:pPr>
        <w:pStyle w:val="ListParagraph"/>
        <w:numPr>
          <w:ilvl w:val="0"/>
          <w:numId w:val="1"/>
        </w:numPr>
        <w:spacing w:after="80"/>
      </w:pPr>
      <w:r>
        <w:rPr>
          <w:sz w:val="20"/>
          <w:szCs w:val="20"/>
        </w:rPr>
        <w:t xml:space="preserve">Light integration — eligibility file only. No EHR build required to start.</w:t>
      </w:r>
    </w:p>
    <w:p>
      <w:pPr>
        <w:pStyle w:val="ListParagraph"/>
        <w:numPr>
          <w:ilvl w:val="0"/>
          <w:numId w:val="1"/>
        </w:numPr>
        <w:spacing w:after="80"/>
      </w:pPr>
      <w:r>
        <w:rPr>
          <w:sz w:val="20"/>
          <w:szCs w:val="20"/>
        </w:rPr>
        <w:t xml:space="preserve">Billing-compatible — aligns to existing lactation codes (CPT 99401–04; ICD Z39.1, O92.70) where a counseling benefit is billed through a licensed provider.</w:t>
      </w:r>
    </w:p>
    <w:p>
      <w:pPr>
        <w:pStyle w:val="ListParagraph"/>
        <w:numPr>
          <w:ilvl w:val="0"/>
          <w:numId w:val="1"/>
        </w:numPr>
        <w:spacing w:after="80"/>
      </w:pPr>
      <w:r>
        <w:rPr>
          <w:sz w:val="20"/>
          <w:szCs w:val="20"/>
        </w:rPr>
        <w:t xml:space="preserve">Pilot-first — priced and scoped for a time-boxed cohort with pre-agreed success metrics.</w:t>
      </w:r>
    </w:p>
    <w:p>
      <w:pPr>
        <w:pStyle w:val="Heading1"/>
        <w:spacing w:after="140" w:before="280"/>
      </w:pPr>
      <w:r>
        <w:t xml:space="preserve">Proposed pilot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F3864" w:val="clear"/>
          </w:tcPr>
          <w:p>
            <w:r>
              <w:rPr>
                <w:b/>
                <w:bCs/>
                <w:color w:val="FFFFFF"/>
                <w:sz w:val="18"/>
                <w:szCs w:val="18"/>
              </w:rPr>
              <w:t xml:space="preserve">Element</w:t>
            </w:r>
          </w:p>
        </w:tc>
        <w:tc>
          <w:tcPr>
            <w:tcW w:type="dxa" w:w="6760"/>
            <w:shd w:fill="1F3864" w:val="clear"/>
          </w:tcPr>
          <w:p>
            <w:r>
              <w:rPr>
                <w:b/>
                <w:bCs/>
                <w:color w:val="FFFFFF"/>
                <w:sz w:val="18"/>
                <w:szCs w:val="18"/>
              </w:rPr>
              <w:t xml:space="preserve">Proposal</w:t>
            </w:r>
          </w:p>
        </w:tc>
      </w:tr>
      <w:tr>
        <w:tc>
          <w:tcPr>
            <w:tcW w:type="dxa" w:w="2600"/>
          </w:tcPr>
          <w:p>
            <w:r>
              <w:rPr>
                <w:sz w:val="18"/>
                <w:szCs w:val="18"/>
              </w:rPr>
              <w:t xml:space="preserve">Cohort</w:t>
            </w:r>
          </w:p>
        </w:tc>
        <w:tc>
          <w:tcPr>
            <w:tcW w:type="dxa" w:w="6760"/>
          </w:tcPr>
          <w:p>
            <w:r>
              <w:rPr>
                <w:sz w:val="18"/>
                <w:szCs w:val="18"/>
              </w:rPr>
              <w:t xml:space="preserve">500–1,000 covered births</w:t>
            </w:r>
          </w:p>
        </w:tc>
      </w:tr>
      <w:tr>
        <w:tc>
          <w:tcPr>
            <w:tcW w:type="dxa" w:w="2600"/>
            <w:shd w:fill="F2F2F2" w:val="clear"/>
          </w:tcPr>
          <w:p>
            <w:r>
              <w:rPr>
                <w:sz w:val="18"/>
                <w:szCs w:val="18"/>
              </w:rPr>
              <w:t xml:space="preserve">Duration</w:t>
            </w:r>
          </w:p>
        </w:tc>
        <w:tc>
          <w:tcPr>
            <w:tcW w:type="dxa" w:w="6760"/>
            <w:shd w:fill="F2F2F2" w:val="clear"/>
          </w:tcPr>
          <w:p>
            <w:r>
              <w:rPr>
                <w:sz w:val="18"/>
                <w:szCs w:val="18"/>
              </w:rPr>
              <w:t xml:space="preserve">6 months, plus 6-month outcome tail</w:t>
            </w:r>
          </w:p>
        </w:tc>
      </w:tr>
      <w:tr>
        <w:tc>
          <w:tcPr>
            <w:tcW w:type="dxa" w:w="2600"/>
          </w:tcPr>
          <w:p>
            <w:r>
              <w:rPr>
                <w:sz w:val="18"/>
                <w:szCs w:val="18"/>
              </w:rPr>
              <w:t xml:space="preserve">Primary endpoint</w:t>
            </w:r>
          </w:p>
        </w:tc>
        <w:tc>
          <w:tcPr>
            <w:tcW w:type="dxa" w:w="6760"/>
          </w:tcPr>
          <w:p>
            <w:r>
              <w:rPr>
                <w:sz w:val="18"/>
                <w:szCs w:val="18"/>
              </w:rPr>
              <w:t xml:space="preserve">Breastfeeding duration at 3 and 6 months vs. matched control</w:t>
            </w:r>
          </w:p>
        </w:tc>
      </w:tr>
      <w:tr>
        <w:tc>
          <w:tcPr>
            <w:tcW w:type="dxa" w:w="2600"/>
            <w:shd w:fill="F2F2F2" w:val="clear"/>
          </w:tcPr>
          <w:p>
            <w:r>
              <w:rPr>
                <w:sz w:val="18"/>
                <w:szCs w:val="18"/>
              </w:rPr>
              <w:t xml:space="preserve">Also tracked</w:t>
            </w:r>
          </w:p>
        </w:tc>
        <w:tc>
          <w:tcPr>
            <w:tcW w:type="dxa" w:w="6760"/>
            <w:shd w:fill="F2F2F2" w:val="clear"/>
          </w:tcPr>
          <w:p>
            <w:r>
              <w:rPr>
                <w:sz w:val="18"/>
                <w:szCs w:val="18"/>
              </w:rPr>
              <w:t xml:space="preserve">Return-to-work continuation (M3–4); solids confidence (M5–7); weaning support (M12–15)</w:t>
            </w:r>
          </w:p>
        </w:tc>
      </w:tr>
      <w:tr>
        <w:tc>
          <w:tcPr>
            <w:tcW w:type="dxa" w:w="2600"/>
          </w:tcPr>
          <w:p>
            <w:r>
              <w:rPr>
                <w:sz w:val="18"/>
                <w:szCs w:val="18"/>
              </w:rPr>
              <w:t xml:space="preserve">Secondary</w:t>
            </w:r>
          </w:p>
        </w:tc>
        <w:tc>
          <w:tcPr>
            <w:tcW w:type="dxa" w:w="6760"/>
          </w:tcPr>
          <w:p>
            <w:r>
              <w:rPr>
                <w:sz w:val="18"/>
                <w:szCs w:val="18"/>
              </w:rPr>
              <w:t xml:space="preserve">Avoidable ED/urgent care visits; lactation consult utilization mix; member NPS</w:t>
            </w:r>
          </w:p>
        </w:tc>
      </w:tr>
      <w:tr>
        <w:tc>
          <w:tcPr>
            <w:tcW w:type="dxa" w:w="2600"/>
            <w:shd w:fill="F2F2F2" w:val="clear"/>
          </w:tcPr>
          <w:p>
            <w:r>
              <w:rPr>
                <w:sz w:val="18"/>
                <w:szCs w:val="18"/>
              </w:rPr>
              <w:t xml:space="preserve">Success bar</w:t>
            </w:r>
          </w:p>
        </w:tc>
        <w:tc>
          <w:tcPr>
            <w:tcW w:type="dxa" w:w="6760"/>
            <w:shd w:fill="F2F2F2" w:val="clear"/>
          </w:tcPr>
          <w:p>
            <w:r>
              <w:rPr>
                <w:sz w:val="18"/>
                <w:szCs w:val="18"/>
              </w:rPr>
              <w:t xml:space="preserve">Agreed in advance; renewal contingent on hitting it</w:t>
            </w:r>
          </w:p>
        </w:tc>
      </w:tr>
    </w:tbl>
    <w:p>
      <w:pPr>
        <w:pStyle w:val="Heading1"/>
        <w:spacing w:after="140" w:before="280"/>
      </w:pPr>
      <w:r>
        <w:t xml:space="preserve">What we need from you</w:t>
      </w:r>
    </w:p>
    <w:p>
      <w:pPr>
        <w:pStyle w:val="ListParagraph"/>
        <w:numPr>
          <w:ilvl w:val="0"/>
          <w:numId w:val="1"/>
        </w:numPr>
        <w:spacing w:after="80"/>
      </w:pPr>
      <w:r>
        <w:rPr>
          <w:sz w:val="20"/>
          <w:szCs w:val="20"/>
        </w:rPr>
        <w:t xml:space="preserve">A decision-maker willing to sponsor a time-boxed pilot.</w:t>
      </w:r>
    </w:p>
    <w:p>
      <w:pPr>
        <w:pStyle w:val="ListParagraph"/>
        <w:numPr>
          <w:ilvl w:val="0"/>
          <w:numId w:val="1"/>
        </w:numPr>
        <w:spacing w:after="80"/>
      </w:pPr>
      <w:r>
        <w:rPr>
          <w:sz w:val="20"/>
          <w:szCs w:val="20"/>
        </w:rPr>
        <w:t xml:space="preserve">De-identified baseline data to size the opportunity (births/yr, feeding-related ED utilization, lactation benefit uptake).</w:t>
      </w:r>
    </w:p>
    <w:p>
      <w:pPr>
        <w:pStyle w:val="ListParagraph"/>
        <w:numPr>
          <w:ilvl w:val="0"/>
          <w:numId w:val="1"/>
        </w:numPr>
        <w:spacing w:after="80"/>
      </w:pPr>
      <w:r>
        <w:rPr>
          <w:sz w:val="20"/>
          <w:szCs w:val="20"/>
        </w:rPr>
        <w:t xml:space="preserve">Agreement on the success metric before we start.</w:t>
      </w:r>
    </w:p>
    <w:p>
      <w:pPr>
        <w:pBdr>
          <w:top w:val="single" w:color="C55A11" w:sz="6"/>
        </w:pBdr>
        <w:spacing w:before="280"/>
      </w:pPr>
      <w:r>
        <w:rPr>
          <w:i/>
          <w:iCs/>
          <w:color w:val="808080"/>
          <w:sz w:val="15"/>
          <w:szCs w:val="15"/>
        </w:rPr>
        <w:t xml:space="preserve">Discussion document. Figures marked directional are modeled, not audited, and are intended to be validated against sponsor data during a pilot.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2026-07-12T03:49:21.895Z</dcterms:created>
  <dcterms:modified xsi:type="dcterms:W3CDTF">2026-07-12T03:49:21.904Z</dcterms:modified>
</cp:coreProperties>
</file>

<file path=docProps/custom.xml><?xml version="1.0" encoding="utf-8"?>
<Properties xmlns="http://schemas.openxmlformats.org/officeDocument/2006/custom-properties" xmlns:vt="http://schemas.openxmlformats.org/officeDocument/2006/docPropsVTypes"/>
</file>