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cb59272153c792f0b9340e5668b2e8d508b87c"/>
      <w:r>
        <w:t xml:space="preserve">Latched — New Getting Started Guide: Choosing a Bottle and Nipple</w:t>
      </w:r>
      <w:bookmarkEnd w:id="20"/>
    </w:p>
    <w:p>
      <w:pPr>
        <w:pStyle w:val="FirstParagraph"/>
      </w:pPr>
      <w:r>
        <w:rPr>
          <w:b/>
        </w:rPr>
        <w:t xml:space="preserve">Status:</w:t>
      </w:r>
      <w:r>
        <w:t xml:space="preserve"> </w:t>
      </w:r>
      <w:r>
        <w:t xml:space="preserve">Content AND visuals locked (2026-07-08). Flagged sections in the IBCLC review block still need clinical sign-off before this goes to Lovable.</w:t>
      </w:r>
      <w:r>
        <w:t xml:space="preserve"> </w:t>
      </w:r>
      <w:r>
        <w:rPr>
          <w:b/>
        </w:rPr>
        <w:t xml:space="preserve">Prepared:</w:t>
      </w:r>
      <w:r>
        <w:t xml:space="preserve"> </w:t>
      </w:r>
      <w:r>
        <w:t xml:space="preserve">2026-07-08. Path tag corrected 2026-07-08 (B/C only, not ALL). Split into two labeled path variants 2026-07-08 per Ashley’s call: an exclusively pumping user doesn’t need formula content, so the guide now has an EP variant and a Combination Feeding variant, following the same single-guide-with-per-path-variant pattern already used elsewhere (e.g. Feeding Your Supply). Restructured again 2026-07-08: TLDR moved to the top (leads with the recommended bottle size directly instead of building up to it), and both variants tightened from ~5 min to ~3 min read time. Visual components locked 2026-07-08 — see Part 10-style spec below.</w:t>
      </w:r>
      <w:r>
        <w:t xml:space="preserve"> </w:t>
      </w:r>
      <w:r>
        <w:rPr>
          <w:b/>
        </w:rPr>
        <w:t xml:space="preserve">Path tag:</w:t>
      </w:r>
      <w:r>
        <w:t xml:space="preserve"> </w:t>
      </w:r>
      <w:r>
        <w:t xml:space="preserve">[B, C] — gated the same way Latch &amp; Positioning is gated to [A, C], just the mirror case. This changes guide totals: Path A stays 7 (Latch present, this guide absent), Path B becomes 7 (Latch absent, this guide present), Path C becomes 8 (both present). Needs a corresponding update to the e2e guide-count assertions (</w:t>
      </w:r>
      <w:r>
        <w:rPr>
          <w:rStyle w:val="VerbatimChar"/>
        </w:rPr>
        <w:t xml:space="preserve">flow2-modules-chat.spec.ts</w:t>
      </w:r>
      <w:r>
        <w:t xml:space="preserve">,</w:t>
      </w:r>
      <w:r>
        <w:t xml:space="preserve"> </w:t>
      </w:r>
      <w:r>
        <w:rPr>
          <w:rStyle w:val="VerbatimChar"/>
        </w:rPr>
        <w:t xml:space="preserve">flow1a-onboarding.spec.ts</w:t>
      </w:r>
      <w:r>
        <w:t xml:space="preserve">,</w:t>
      </w:r>
      <w:r>
        <w:t xml:space="preserve"> </w:t>
      </w:r>
      <w:r>
        <w:rPr>
          <w:rStyle w:val="VerbatimChar"/>
        </w:rPr>
        <w:t xml:space="preserve">flow-path-personalization.spec.ts</w:t>
      </w:r>
      <w:r>
        <w:t xml:space="preserve">) once this ships — tracked as task #17.</w:t>
      </w:r>
      <w:r>
        <w:t xml:space="preserve"> </w:t>
      </w:r>
      <w:r>
        <w:rPr>
          <w:b/>
        </w:rPr>
        <w:t xml:space="preserve">Where it fits:</w:t>
      </w:r>
      <w:r>
        <w:t xml:space="preserve"> </w:t>
      </w:r>
      <w:r>
        <w:t xml:space="preserve">A new standalone Getting Started guide, not a Path Change transition module. Reachable from the library for Path B/C users, and worth a link-out from T-A-B and T-A-C in the Path Change library, since those are exactly the transitions that land a user on B or C.</w:t>
      </w:r>
    </w:p>
    <w:p>
      <w:pPr>
        <w:pStyle w:val="BodyText"/>
      </w:pPr>
      <w:r>
        <w:t xml:space="preserve">This does</w:t>
      </w:r>
      <w:r>
        <w:t xml:space="preserve"> </w:t>
      </w:r>
      <w:r>
        <w:rPr>
          <w:b/>
        </w:rPr>
        <w:t xml:space="preserve">not</w:t>
      </w:r>
      <w:r>
        <w:t xml:space="preserve"> </w:t>
      </w:r>
      <w:r>
        <w:t xml:space="preserve">cover paced bottle feeding technique (how to hold and pace a bottle) — that’s already covered thoroughly elsewhere (T-A-B, T-A-C, the protocol outline). This guide is about</w:t>
      </w:r>
      <w:r>
        <w:t xml:space="preserve"> </w:t>
      </w:r>
      <w:r>
        <w:rPr>
          <w:i/>
        </w:rPr>
        <w:t xml:space="preserve">which</w:t>
      </w:r>
      <w:r>
        <w:t xml:space="preserve"> </w:t>
      </w:r>
      <w:r>
        <w:t xml:space="preserve">bottle and nipple to reach for, not how to use it.</w:t>
      </w:r>
    </w:p>
    <w:p>
      <w:r>
        <w:pict>
          <v:rect style="width:0;height:1.5pt" o:hralign="center" o:hrstd="t" o:hr="t"/>
        </w:pict>
      </w:r>
    </w:p>
    <w:p>
      <w:pPr>
        <w:pStyle w:val="Heading2"/>
      </w:pPr>
      <w:bookmarkStart w:id="21" w:name="X54e6ebdea7567f22fe453ca99cf594cde81a710"/>
      <w:r>
        <w:t xml:space="preserve">A note before the content: what’s solid vs. what’s contested</w:t>
      </w:r>
      <w:bookmarkEnd w:id="21"/>
    </w:p>
    <w:p>
      <w:pPr>
        <w:pStyle w:val="FirstParagraph"/>
      </w:pPr>
      <w:r>
        <w:t xml:space="preserve">Bottle and nipple marketing is one of the more evidence-thin corners of infant feeding content. A few things below are backed by real research. A few are backed by exactly one person’s method that went viral. This guide tries to be honest about which is which, and flags the murkiest ones separately below for you and the IBCLC to weigh in on before anything ships.</w:t>
      </w:r>
    </w:p>
    <w:p>
      <w:r>
        <w:pict>
          <v:rect style="width:0;height:1.5pt" o:hralign="center" o:hrstd="t" o:hr="t"/>
        </w:pict>
      </w:r>
    </w:p>
    <w:p>
      <w:pPr>
        <w:pStyle w:val="Heading2"/>
      </w:pPr>
      <w:bookmarkStart w:id="22" w:name="whats-shared-vs.-whats-variant"/>
      <w:r>
        <w:t xml:space="preserve">What’s shared vs. what’s variant</w:t>
      </w:r>
      <w:bookmarkEnd w:id="22"/>
    </w:p>
    <w:p>
      <w:pPr>
        <w:pStyle w:val="FirstParagraph"/>
      </w:pPr>
      <w:r>
        <w:t xml:space="preserve">Nipple shape, material, venting systems, breast-mimicking claims, and the triangle test don’t change based on whether formula is in the picture at all, so that content is identical in both variants. Only bottle</w:t>
      </w:r>
      <w:r>
        <w:t xml:space="preserve"> </w:t>
      </w:r>
      <w:r>
        <w:rPr>
          <w:i/>
        </w:rPr>
        <w:t xml:space="preserve">size</w:t>
      </w:r>
      <w:r>
        <w:t xml:space="preserve"> </w:t>
      </w:r>
      <w:r>
        <w:t xml:space="preserve">guidance differs, because it depends on what’s actually going in the bottle. The two variants below are what a Path B user and a Path C user each see; they share the same</w:t>
      </w:r>
      <w:r>
        <w:t xml:space="preserve"> </w:t>
      </w:r>
      <w:r>
        <w:t xml:space="preserve">“</w:t>
      </w:r>
      <w:r>
        <w:t xml:space="preserve">WHAT TO KNOW</w:t>
      </w:r>
      <w:r>
        <w:t xml:space="preserve">”</w:t>
      </w:r>
      <w:r>
        <w:t xml:space="preserve"> </w:t>
      </w:r>
      <w:r>
        <w:t xml:space="preserve">nipple content,</w:t>
      </w:r>
      <w:r>
        <w:t xml:space="preserve"> </w:t>
      </w:r>
      <w:r>
        <w:t xml:space="preserve">“</w:t>
      </w:r>
      <w:r>
        <w:t xml:space="preserve">WHAT TO DO</w:t>
      </w:r>
      <w:r>
        <w:t xml:space="preserve">”</w:t>
      </w:r>
      <w:r>
        <w:t xml:space="preserve"> </w:t>
      </w:r>
      <w:r>
        <w:t xml:space="preserve">list, and IBCLC review flags, and differ only in the bottle-size passage and crash-course reference table.</w:t>
      </w:r>
    </w:p>
    <w:p>
      <w:r>
        <w:pict>
          <v:rect style="width:0;height:1.5pt" o:hralign="center" o:hrstd="t" o:hr="t"/>
        </w:pict>
      </w:r>
    </w:p>
    <w:p>
      <w:pPr>
        <w:pStyle w:val="Heading2"/>
      </w:pPr>
      <w:bookmarkStart w:id="23" w:name="X84ee3632de048b3c1b5c7c63c0d84b0b5903779"/>
      <w:r>
        <w:t xml:space="preserve">GUIDE CONTENT (user-facing) — EXCLUSIVE PUMPING VERSION (Path B)</w:t>
      </w:r>
      <w:bookmarkEnd w:id="23"/>
    </w:p>
    <w:p>
      <w:pPr>
        <w:pStyle w:val="FirstParagraph"/>
      </w:pPr>
      <w:r>
        <w:rPr>
          <w:b/>
        </w:rPr>
        <w:t xml:space="preserve">CHOOSING A BOTTLE AND NIPPLE: WHAT ACTUALLY MATTERS</w:t>
      </w:r>
      <w:r>
        <w:t xml:space="preserve"> </w:t>
      </w:r>
      <w:r>
        <w:t xml:space="preserve">Getting Started • Exclusive Pumping • Estimated read time: 3 min</w:t>
      </w:r>
    </w:p>
    <w:p>
      <w:r>
        <w:pict>
          <v:rect style="width:0;height:1.5pt" o:hralign="center" o:hrstd="t" o:hr="t"/>
        </w:pict>
      </w:r>
    </w:p>
    <w:p>
      <w:pPr>
        <w:pStyle w:val="FirstParagraph"/>
      </w:pPr>
      <w:r>
        <w:rPr>
          <w:b/>
        </w:rPr>
        <w:t xml:space="preserve">HERE’S THE TLDR</w:t>
      </w:r>
    </w:p>
    <w:p>
      <w:pPr>
        <w:numPr>
          <w:ilvl w:val="0"/>
          <w:numId w:val="1001"/>
        </w:numPr>
        <w:pStyle w:val="Compact"/>
      </w:pPr>
      <w:r>
        <w:rPr>
          <w:b/>
        </w:rPr>
        <w:t xml:space="preserve">Bottle size: get a 2 to 5 ounce bottle, and plan to use that size your entire EP journey.</w:t>
      </w:r>
      <w:r>
        <w:t xml:space="preserve"> </w:t>
      </w:r>
      <w:r>
        <w:t xml:space="preserve">Pumped milk intake per feeding doesn’t grow the way formula intake does, so you won’t need to size up.</w:t>
      </w:r>
    </w:p>
    <w:p>
      <w:pPr>
        <w:numPr>
          <w:ilvl w:val="0"/>
          <w:numId w:val="1001"/>
        </w:numPr>
        <w:pStyle w:val="Compact"/>
      </w:pPr>
      <w:r>
        <w:rPr>
          <w:b/>
        </w:rPr>
        <w:t xml:space="preserve">Nipple material: silicone by default.</w:t>
      </w:r>
      <w:r>
        <w:t xml:space="preserve"> </w:t>
      </w:r>
      <w:r>
        <w:t xml:space="preserve">Reach for latex only if your baby clearly prefers a softer feel, and replace latex every 1 to 2 months (or sooner if it looks worn). Skip latex entirely if there’s a latex allergy in the family.</w:t>
      </w:r>
    </w:p>
    <w:p>
      <w:pPr>
        <w:numPr>
          <w:ilvl w:val="0"/>
          <w:numId w:val="1001"/>
        </w:numPr>
        <w:pStyle w:val="Compact"/>
      </w:pPr>
      <w:r>
        <w:rPr>
          <w:b/>
        </w:rPr>
        <w:t xml:space="preserve">Nipple shape, anti-colic venting,</w:t>
      </w:r>
      <w:r>
        <w:rPr>
          <w:b/>
        </w:rPr>
        <w:t xml:space="preserve"> </w:t>
      </w:r>
      <w:r>
        <w:rPr>
          <w:b/>
        </w:rPr>
        <w:t xml:space="preserve">“</w:t>
      </w:r>
      <w:r>
        <w:rPr>
          <w:b/>
        </w:rPr>
        <w:t xml:space="preserve">breast-mimicking</w:t>
      </w:r>
      <w:r>
        <w:rPr>
          <w:b/>
        </w:rPr>
        <w:t xml:space="preserve">”</w:t>
      </w:r>
      <w:r>
        <w:rPr>
          <w:b/>
        </w:rPr>
        <w:t xml:space="preserve"> </w:t>
      </w:r>
      <w:r>
        <w:rPr>
          <w:b/>
        </w:rPr>
        <w:t xml:space="preserve">designs, the viral triangle test: none of these are proven to matter more than fit.</w:t>
      </w:r>
      <w:r>
        <w:t xml:space="preserve"> </w:t>
      </w:r>
      <w:r>
        <w:t xml:space="preserve">Start with what’s affordable and accessible, and expect some trial and error.</w:t>
      </w:r>
    </w:p>
    <w:p>
      <w:pPr>
        <w:numPr>
          <w:ilvl w:val="0"/>
          <w:numId w:val="1001"/>
        </w:numPr>
        <w:pStyle w:val="Compact"/>
      </w:pPr>
      <w:r>
        <w:rPr>
          <w:b/>
        </w:rPr>
        <w:t xml:space="preserve">If reflux or gas is a concern, an angled or vented bottle is worth trying</w:t>
      </w:r>
      <w:r>
        <w:t xml:space="preserve">, though the evidence that it actually reduces symptoms (versus just reducing swallowed air) is mixed.</w:t>
      </w:r>
    </w:p>
    <w:p>
      <w:r>
        <w:pict>
          <v:rect style="width:0;height:1.5pt" o:hralign="center" o:hrstd="t" o:hr="t"/>
        </w:pict>
      </w:r>
    </w:p>
    <w:p>
      <w:pPr>
        <w:pStyle w:val="FirstParagraph"/>
      </w:pPr>
      <w:r>
        <w:rPr>
          <w:b/>
        </w:rPr>
        <w:t xml:space="preserve">WHAT TO KNOW (the why, if you want it)</w:t>
      </w:r>
    </w:p>
    <w:p>
      <w:pPr>
        <w:pStyle w:val="BodyText"/>
      </w:pPr>
      <w:r>
        <w:rPr>
          <w:b/>
        </w:rPr>
        <w:t xml:space="preserve">Glass vs. plastic is a real tradeoff, not a clear winner.</w:t>
      </w:r>
      <w:r>
        <w:t xml:space="preserve"> </w:t>
      </w:r>
      <w:r>
        <w:t xml:space="preserve">Plastic sheds microplastics, more so when heated (including when warming pumped milk). Glass avoids that, but 2024 testing found lead in the painted exterior of several popular glass bottle lines; two brands paused sales that spring and said they’d reformulated by fall. If you go glass to avoid plastic, look for unpainted glass or a brand that’s confirmed lead-free printing. Stainless steel avoids both issues but you can’t see the milk level.</w:t>
      </w:r>
    </w:p>
    <w:p>
      <w:pPr>
        <w:pStyle w:val="BodyText"/>
      </w:pPr>
      <w:r>
        <w:rPr>
          <w:b/>
        </w:rPr>
        <w:t xml:space="preserve">Why 2 to 5 ounces is enough for the whole journey.</w:t>
      </w:r>
      <w:r>
        <w:t xml:space="preserve"> </w:t>
      </w:r>
      <w:r>
        <w:t xml:space="preserve">Breastmilk intake ramps up in the first few weeks, plateaus around 25 to 30 ounces a day by 4 to 6 weeks, and stays there. Growing needs get met by more frequent feeds, not bigger ones.</w:t>
      </w:r>
    </w:p>
    <w:p>
      <w:pPr>
        <w:pStyle w:val="BodyText"/>
      </w:pPr>
      <w:r>
        <w:rPr>
          <w:b/>
        </w:rPr>
        <w:t xml:space="preserve">“</w:t>
      </w:r>
      <w:r>
        <w:rPr>
          <w:b/>
        </w:rPr>
        <w:t xml:space="preserve">Wide-neck</w:t>
      </w:r>
      <w:r>
        <w:rPr>
          <w:b/>
        </w:rPr>
        <w:t xml:space="preserve">”</w:t>
      </w:r>
      <w:r>
        <w:rPr>
          <w:b/>
        </w:rPr>
        <w:t xml:space="preserve"> </w:t>
      </w:r>
      <w:r>
        <w:rPr>
          <w:b/>
        </w:rPr>
        <w:t xml:space="preserve">describes the bottle opening, not the nipple’s actual shape.</w:t>
      </w:r>
      <w:r>
        <w:t xml:space="preserve"> </w:t>
      </w:r>
      <w:r>
        <w:t xml:space="preserve">A wide-neck bottle doesn’t automatically mean a better latch; what matters is the nipple’s own base and slope, which varies by brand either way. Angled bottles keep the nipple filled with milk at more angles, which can reduce swallowed air, a plausible mechanism with limited independent research behind it.</w:t>
      </w:r>
    </w:p>
    <w:p>
      <w:pPr>
        <w:pStyle w:val="BodyText"/>
      </w:pPr>
      <w:r>
        <w:rPr>
          <w:b/>
        </w:rPr>
        <w:t xml:space="preserve">Anti-colic venting reduces swallowed air. Whether that reduces colic symptoms is still unclear.</w:t>
      </w:r>
      <w:r>
        <w:t xml:space="preserve"> </w:t>
      </w:r>
      <w:r>
        <w:t xml:space="preserve">Some studies show less air ingested with a vented system; a Cochrane-level review found the evidence doesn’t yet prove it reduces crying or colic itself. If it helps your baby, keep it, just know the</w:t>
      </w:r>
      <w:r>
        <w:t xml:space="preserve"> </w:t>
      </w:r>
      <w:r>
        <w:t xml:space="preserve">“</w:t>
      </w:r>
      <w:r>
        <w:t xml:space="preserve">cures colic</w:t>
      </w:r>
      <w:r>
        <w:t xml:space="preserve">”</w:t>
      </w:r>
      <w:r>
        <w:t xml:space="preserve"> </w:t>
      </w:r>
      <w:r>
        <w:t xml:space="preserve">framing is ahead of the research.</w:t>
      </w:r>
    </w:p>
    <w:p>
      <w:pPr>
        <w:pStyle w:val="BodyText"/>
      </w:pPr>
      <w:r>
        <w:rPr>
          <w:b/>
        </w:rPr>
        <w:t xml:space="preserve">“</w:t>
      </w:r>
      <w:r>
        <w:rPr>
          <w:b/>
        </w:rPr>
        <w:t xml:space="preserve">Breast-mimicking</w:t>
      </w:r>
      <w:r>
        <w:rPr>
          <w:b/>
        </w:rPr>
        <w:t xml:space="preserve">”</w:t>
      </w:r>
      <w:r>
        <w:rPr>
          <w:b/>
        </w:rPr>
        <w:t xml:space="preserve"> </w:t>
      </w:r>
      <w:r>
        <w:rPr>
          <w:b/>
        </w:rPr>
        <w:t xml:space="preserve">nipples and the triangle test are both plausible ideas without independent evidence behind the specific claims.</w:t>
      </w:r>
      <w:r>
        <w:t xml:space="preserve"> </w:t>
      </w:r>
      <w:r>
        <w:t xml:space="preserve">Wide, mounded silicone nipples are marketed to ease breast-to-bottle transitions, but no published research confirms they outperform a standard shape. The triangle test (matching a nipple’s taper to a triangle made with your fingers) came from one IBCLC as a visual teaching tool, not a validated clinical measure.</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Bottle size reference</w:t>
      </w:r>
      <w:r>
        <w:rPr>
          <w:b/>
        </w:rPr>
        <w:t xml:space="preserve">”</w:t>
      </w:r>
      <w:r>
        <w:rPr>
          <w:b/>
        </w:rPr>
        <w:t xml:space="preserve">]</w:t>
      </w:r>
    </w:p>
    <w:p>
      <w:pPr>
        <w:pStyle w:val="BodyText"/>
      </w:pPr>
      <w:r>
        <w:t xml:space="preserve">A 2 to 5 ounce bottle covers nearly the entire first 6 months for pumped breastmilk. Per-feeding volume plateaus early and stays flat; frequency, not size, is what increases as your baby grows.</w:t>
      </w:r>
    </w:p>
    <w:p>
      <w:r>
        <w:pict>
          <v:rect style="width:0;height:1.5pt" o:hralign="center" o:hrstd="t" o:hr="t"/>
        </w:pict>
      </w:r>
    </w:p>
    <w:p>
      <w:pPr>
        <w:pStyle w:val="Heading2"/>
      </w:pPr>
      <w:bookmarkStart w:id="24" w:name="Xfc16b8cf2c56cce36c0c6a07b2e3596a075d34c"/>
      <w:r>
        <w:t xml:space="preserve">GUIDE CONTENT (user-facing) — COMBINATION FEEDING VERSION (Path C)</w:t>
      </w:r>
      <w:bookmarkEnd w:id="24"/>
    </w:p>
    <w:p>
      <w:pPr>
        <w:pStyle w:val="FirstParagraph"/>
      </w:pPr>
      <w:r>
        <w:rPr>
          <w:b/>
        </w:rPr>
        <w:t xml:space="preserve">CHOOSING A BOTTLE AND NIPPLE: WHAT ACTUALLY MATTERS</w:t>
      </w:r>
      <w:r>
        <w:t xml:space="preserve"> </w:t>
      </w:r>
      <w:r>
        <w:t xml:space="preserve">Getting Started • Combination Feeding • Estimated read time: 3 min</w:t>
      </w:r>
    </w:p>
    <w:p>
      <w:r>
        <w:pict>
          <v:rect style="width:0;height:1.5pt" o:hralign="center" o:hrstd="t" o:hr="t"/>
        </w:pict>
      </w:r>
    </w:p>
    <w:p>
      <w:pPr>
        <w:pStyle w:val="FirstParagraph"/>
      </w:pPr>
      <w:r>
        <w:rPr>
          <w:b/>
        </w:rPr>
        <w:t xml:space="preserve">HERE’S THE TLDR</w:t>
      </w:r>
    </w:p>
    <w:p>
      <w:pPr>
        <w:numPr>
          <w:ilvl w:val="0"/>
          <w:numId w:val="1002"/>
        </w:numPr>
        <w:pStyle w:val="Compact"/>
      </w:pPr>
      <w:r>
        <w:rPr>
          <w:b/>
        </w:rPr>
        <w:t xml:space="preserve">Bottle size depends on what’s in it.</w:t>
      </w:r>
      <w:r>
        <w:t xml:space="preserve"> </w:t>
      </w:r>
      <w:r>
        <w:t xml:space="preserve">For breastmilk feeds, a 2 to 5 ounce bottle covers you the entire journey. For formula feeds, plan to size up as your baby grows: about 2 to 4 oz as a newborn, 3 to 4 oz by one month, and 6 to 8 oz by 3 to 6 months. Keep both sizes on hand rather than using one bottle for everything.</w:t>
      </w:r>
    </w:p>
    <w:p>
      <w:pPr>
        <w:numPr>
          <w:ilvl w:val="0"/>
          <w:numId w:val="1002"/>
        </w:numPr>
        <w:pStyle w:val="Compact"/>
      </w:pPr>
      <w:r>
        <w:rPr>
          <w:b/>
        </w:rPr>
        <w:t xml:space="preserve">Don’t jump straight to the biggest formula bottle</w:t>
      </w:r>
      <w:r>
        <w:rPr>
          <w:b/>
        </w:rPr>
        <w:t xml:space="preserve"> </w:t>
      </w:r>
      <w:r>
        <w:rPr>
          <w:b/>
        </w:rPr>
        <w:t xml:space="preserve">“</w:t>
      </w:r>
      <w:r>
        <w:rPr>
          <w:b/>
        </w:rPr>
        <w:t xml:space="preserve">to be safe.</w:t>
      </w:r>
      <w:r>
        <w:rPr>
          <w:b/>
        </w:rPr>
        <w:t xml:space="preserve">”</w:t>
      </w:r>
      <w:r>
        <w:t xml:space="preserve"> </w:t>
      </w:r>
      <w:r>
        <w:t xml:space="preserve">Research on formula-fed babies found larger bottles were linked to babies taking in more formula overall, an overfeeding risk. Size the formula bottle to what your baby is actually taking right now.</w:t>
      </w:r>
    </w:p>
    <w:p>
      <w:pPr>
        <w:numPr>
          <w:ilvl w:val="0"/>
          <w:numId w:val="1002"/>
        </w:numPr>
        <w:pStyle w:val="Compact"/>
      </w:pPr>
      <w:r>
        <w:rPr>
          <w:b/>
        </w:rPr>
        <w:t xml:space="preserve">Nipple material: silicone by default.</w:t>
      </w:r>
      <w:r>
        <w:t xml:space="preserve"> </w:t>
      </w:r>
      <w:r>
        <w:t xml:space="preserve">Reach for latex only if your baby clearly prefers a softer feel, and replace latex every 1 to 2 months (or sooner if worn). Skip latex if there’s a latex allergy in the family.</w:t>
      </w:r>
    </w:p>
    <w:p>
      <w:pPr>
        <w:numPr>
          <w:ilvl w:val="0"/>
          <w:numId w:val="1002"/>
        </w:numPr>
        <w:pStyle w:val="Compact"/>
      </w:pPr>
      <w:r>
        <w:rPr>
          <w:b/>
        </w:rPr>
        <w:t xml:space="preserve">Nipple shape, anti-colic venting,</w:t>
      </w:r>
      <w:r>
        <w:rPr>
          <w:b/>
        </w:rPr>
        <w:t xml:space="preserve"> </w:t>
      </w:r>
      <w:r>
        <w:rPr>
          <w:b/>
        </w:rPr>
        <w:t xml:space="preserve">“</w:t>
      </w:r>
      <w:r>
        <w:rPr>
          <w:b/>
        </w:rPr>
        <w:t xml:space="preserve">breast-mimicking</w:t>
      </w:r>
      <w:r>
        <w:rPr>
          <w:b/>
        </w:rPr>
        <w:t xml:space="preserve">”</w:t>
      </w:r>
      <w:r>
        <w:rPr>
          <w:b/>
        </w:rPr>
        <w:t xml:space="preserve"> </w:t>
      </w:r>
      <w:r>
        <w:rPr>
          <w:b/>
        </w:rPr>
        <w:t xml:space="preserve">designs, the viral triangle test: none of these are proven to matter more than fit.</w:t>
      </w:r>
      <w:r>
        <w:t xml:space="preserve"> </w:t>
      </w:r>
      <w:r>
        <w:t xml:space="preserve">Start with what’s affordable and accessible, and expect some trial and error.</w:t>
      </w:r>
    </w:p>
    <w:p>
      <w:pPr>
        <w:numPr>
          <w:ilvl w:val="0"/>
          <w:numId w:val="1002"/>
        </w:numPr>
        <w:pStyle w:val="Compact"/>
      </w:pPr>
      <w:r>
        <w:rPr>
          <w:b/>
        </w:rPr>
        <w:t xml:space="preserve">If reflux or gas is a concern, an angled or vented bottle is worth trying</w:t>
      </w:r>
      <w:r>
        <w:t xml:space="preserve">, though the evidence it reduces symptoms (versus just reducing swallowed air) is mixed.</w:t>
      </w:r>
    </w:p>
    <w:p>
      <w:r>
        <w:pict>
          <v:rect style="width:0;height:1.5pt" o:hralign="center" o:hrstd="t" o:hr="t"/>
        </w:pict>
      </w:r>
    </w:p>
    <w:p>
      <w:pPr>
        <w:pStyle w:val="FirstParagraph"/>
      </w:pPr>
      <w:r>
        <w:rPr>
          <w:b/>
        </w:rPr>
        <w:t xml:space="preserve">WHAT TO KNOW (the why, if you want it)</w:t>
      </w:r>
    </w:p>
    <w:p>
      <w:pPr>
        <w:pStyle w:val="BodyText"/>
      </w:pPr>
      <w:r>
        <w:rPr>
          <w:b/>
        </w:rPr>
        <w:t xml:space="preserve">Glass vs. plastic is a real tradeoff, not a clear winner.</w:t>
      </w:r>
      <w:r>
        <w:t xml:space="preserve"> </w:t>
      </w:r>
      <w:r>
        <w:t xml:space="preserve">Plastic sheds microplastics, more so when heated. Glass avoids that, but 2024 testing found lead in the painted exterior of several popular glass bottle lines; two brands paused sales that spring and said they’d reformulated by fall. If you go glass to avoid plastic, look for unpainted glass or a brand that’s confirmed lead-free printing. Stainless steel avoids both issues but you can’t see the milk level.</w:t>
      </w:r>
    </w:p>
    <w:p>
      <w:pPr>
        <w:pStyle w:val="BodyText"/>
      </w:pPr>
      <w:r>
        <w:rPr>
          <w:b/>
        </w:rPr>
        <w:t xml:space="preserve">Why breastmilk and formula bottles need different sizing logic.</w:t>
      </w:r>
      <w:r>
        <w:t xml:space="preserve"> </w:t>
      </w:r>
      <w:r>
        <w:t xml:space="preserve">Breastmilk intake plateaus around 25 to 30 ounces a day by 4 to 6 weeks and stays there; growing needs get met by more frequent feeds, not bigger ones. Formula intake genuinely grows with your baby, which is why that side of your rotation needs to scale up. The oversized-bottle risk (more formula fed than intended) is specific to formula, since a small breastmilk bottle is already the right size the whole way through.</w:t>
      </w:r>
    </w:p>
    <w:p>
      <w:pPr>
        <w:pStyle w:val="BodyText"/>
      </w:pPr>
      <w:r>
        <w:rPr>
          <w:b/>
        </w:rPr>
        <w:t xml:space="preserve">“</w:t>
      </w:r>
      <w:r>
        <w:rPr>
          <w:b/>
        </w:rPr>
        <w:t xml:space="preserve">Wide-neck</w:t>
      </w:r>
      <w:r>
        <w:rPr>
          <w:b/>
        </w:rPr>
        <w:t xml:space="preserve">”</w:t>
      </w:r>
      <w:r>
        <w:rPr>
          <w:b/>
        </w:rPr>
        <w:t xml:space="preserve"> </w:t>
      </w:r>
      <w:r>
        <w:rPr>
          <w:b/>
        </w:rPr>
        <w:t xml:space="preserve">describes the bottle opening, not the nipple’s actual shape.</w:t>
      </w:r>
      <w:r>
        <w:t xml:space="preserve"> </w:t>
      </w:r>
      <w:r>
        <w:t xml:space="preserve">A wide-neck bottle doesn’t automatically mean a better latch; what matters is the nipple’s own base and slope, which varies by brand either way. Angled bottles keep the nipple filled with milk at more angles, which can reduce swallowed air, a plausible mechanism with limited independent research behind it.</w:t>
      </w:r>
    </w:p>
    <w:p>
      <w:pPr>
        <w:pStyle w:val="BodyText"/>
      </w:pPr>
      <w:r>
        <w:rPr>
          <w:b/>
        </w:rPr>
        <w:t xml:space="preserve">Anti-colic venting reduces swallowed air. Whether that reduces colic symptoms is still unclear.</w:t>
      </w:r>
      <w:r>
        <w:t xml:space="preserve"> </w:t>
      </w:r>
      <w:r>
        <w:t xml:space="preserve">Some studies show less air ingested with a vented system; a Cochrane-level review found the evidence doesn’t yet prove it reduces crying or colic itself. If it helps your baby, keep it, just know the</w:t>
      </w:r>
      <w:r>
        <w:t xml:space="preserve"> </w:t>
      </w:r>
      <w:r>
        <w:t xml:space="preserve">“</w:t>
      </w:r>
      <w:r>
        <w:t xml:space="preserve">cures colic</w:t>
      </w:r>
      <w:r>
        <w:t xml:space="preserve">”</w:t>
      </w:r>
      <w:r>
        <w:t xml:space="preserve"> </w:t>
      </w:r>
      <w:r>
        <w:t xml:space="preserve">framing is ahead of the research.</w:t>
      </w:r>
    </w:p>
    <w:p>
      <w:pPr>
        <w:pStyle w:val="BodyText"/>
      </w:pPr>
      <w:r>
        <w:rPr>
          <w:b/>
        </w:rPr>
        <w:t xml:space="preserve">“</w:t>
      </w:r>
      <w:r>
        <w:rPr>
          <w:b/>
        </w:rPr>
        <w:t xml:space="preserve">Breast-mimicking</w:t>
      </w:r>
      <w:r>
        <w:rPr>
          <w:b/>
        </w:rPr>
        <w:t xml:space="preserve">”</w:t>
      </w:r>
      <w:r>
        <w:rPr>
          <w:b/>
        </w:rPr>
        <w:t xml:space="preserve"> </w:t>
      </w:r>
      <w:r>
        <w:rPr>
          <w:b/>
        </w:rPr>
        <w:t xml:space="preserve">nipples and the triangle test are both plausible ideas without independent evidence behind the specific claims.</w:t>
      </w:r>
      <w:r>
        <w:t xml:space="preserve"> </w:t>
      </w:r>
      <w:r>
        <w:t xml:space="preserve">Wide, mounded silicone nipples are marketed to ease breast-to-bottle transitions, but no published research confirms they outperform a standard shape. The triangle test (matching a nipple’s taper to a triangle made with your fingers) came from one IBCLC as a visual teaching tool, not a validated clinical measure.</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Bottle size reference</w:t>
      </w:r>
      <w:r>
        <w:rPr>
          <w:b/>
        </w:rPr>
        <w:t xml:space="preserve">”</w:t>
      </w:r>
      <w:r>
        <w:rPr>
          <w:b/>
        </w:rPr>
        <w:t xml:space="preserve">]</w:t>
      </w:r>
    </w:p>
    <w:p>
      <w:pPr>
        <w:pStyle w:val="BodyText"/>
      </w:pPr>
      <w:r>
        <w:rPr>
          <w:b/>
        </w:rPr>
        <w:t xml:space="preserve">Breastmilk feeds:</w:t>
      </w:r>
      <w:r>
        <w:t xml:space="preserve"> </w:t>
      </w:r>
      <w:r>
        <w:t xml:space="preserve">2 to 5 oz covers the whole first 6 months.</w:t>
      </w:r>
    </w:p>
    <w:p>
      <w:pPr>
        <w:pStyle w:val="BodyText"/>
      </w:pPr>
      <w:r>
        <w:rPr>
          <w:b/>
        </w:rPr>
        <w:t xml:space="preserve">Formula feeds:</w:t>
      </w:r>
      <w:r>
        <w:t xml:space="preserve"> </w:t>
      </w:r>
      <w:r>
        <w:t xml:space="preserve">| Age | Approximate volume per feeding |</w:t>
      </w:r>
      <w:r>
        <w:t xml:space="preserve"> </w:t>
      </w:r>
      <w:r>
        <w:t xml:space="preserve">|—|—|</w:t>
      </w:r>
      <w:r>
        <w:t xml:space="preserve"> </w:t>
      </w:r>
      <w:r>
        <w:t xml:space="preserve">| Newborn to 1 month | 2–4 oz |</w:t>
      </w:r>
      <w:r>
        <w:t xml:space="preserve"> </w:t>
      </w:r>
      <w:r>
        <w:t xml:space="preserve">| 1–3 months | 3–4 oz |</w:t>
      </w:r>
      <w:r>
        <w:t xml:space="preserve"> </w:t>
      </w:r>
      <w:r>
        <w:t xml:space="preserve">| 3–6 months | 6–8 oz |</w:t>
      </w:r>
    </w:p>
    <w:p>
      <w:pPr>
        <w:pStyle w:val="BodyText"/>
      </w:pPr>
      <w:r>
        <w:t xml:space="preserve">Daily formula totals generally top out around 32 oz/day; your pediatrician can confirm what’s right for your baby’s weight.</w:t>
      </w:r>
    </w:p>
    <w:p>
      <w:r>
        <w:pict>
          <v:rect style="width:0;height:1.5pt" o:hralign="center" o:hrstd="t" o:hr="t"/>
        </w:pict>
      </w:r>
    </w:p>
    <w:p>
      <w:pPr>
        <w:pStyle w:val="Heading2"/>
      </w:pPr>
      <w:bookmarkStart w:id="25" w:name="visual-components-locked-2026-07-08"/>
      <w:r>
        <w:t xml:space="preserve">Visual components (locked 2026-07-08)</w:t>
      </w:r>
      <w:bookmarkEnd w:id="25"/>
    </w:p>
    <w:p>
      <w:pPr>
        <w:pStyle w:val="FirstParagraph"/>
      </w:pPr>
      <w:r>
        <w:t xml:space="preserve">Three visuals, rendered instead of the equivalent prose. Approved via mockup review; triangle test stayed text-only (visual dropped — no illustration needed there).</w:t>
      </w:r>
    </w:p>
    <w:p>
      <w:pPr>
        <w:pStyle w:val="BodyText"/>
      </w:pPr>
      <w:r>
        <w:rPr>
          <w:b/>
        </w:rPr>
        <w:t xml:space="preserve">10.1 MATERIAL COMPARISON CARDS (glass / plastic / stainless steel)</w:t>
      </w:r>
      <w:r>
        <w:t xml:space="preserve"> </w:t>
      </w:r>
      <w:r>
        <w:t xml:space="preserve">— replaces the</w:t>
      </w:r>
      <w:r>
        <w:t xml:space="preserve"> </w:t>
      </w:r>
      <w:r>
        <w:t xml:space="preserve">“</w:t>
      </w:r>
      <w:r>
        <w:t xml:space="preserve">Glass vs. plastic</w:t>
      </w:r>
      <w:r>
        <w:t xml:space="preserve">”</w:t>
      </w:r>
      <w:r>
        <w:t xml:space="preserve"> </w:t>
      </w:r>
      <w:r>
        <w:t xml:space="preserve">paragraph in WHAT TO KNOW, both variants.</w:t>
      </w:r>
      <w:r>
        <w:t xml:space="preserve"> </w:t>
      </w:r>
      <w:r>
        <w:t xml:space="preserve">Three-card row,</w:t>
      </w:r>
      <w:r>
        <w:t xml:space="preserve"> </w:t>
      </w:r>
      <w:r>
        <w:rPr>
          <w:rStyle w:val="VerbatimChar"/>
        </w:rPr>
        <w:t xml:space="preserve">repeat(auto-fit, minmax(190px, 1fr))</w:t>
      </w:r>
      <w:r>
        <w:t xml:space="preserve">. Each card: white surface, 0.5px border, 12px radius, 1rem/1.25rem padding. Title (15px/500) + one-line description (13px, secondary) + a status badge:</w:t>
      </w:r>
      <w:r>
        <w:t xml:space="preserve"> </w:t>
      </w:r>
      <w:r>
        <w:rPr>
          <w:rStyle w:val="VerbatimChar"/>
        </w:rPr>
        <w:t xml:space="preserve">bg-warning</w:t>
      </w:r>
      <w:r>
        <w:t xml:space="preserve">/</w:t>
      </w:r>
      <w:r>
        <w:rPr>
          <w:rStyle w:val="VerbatimChar"/>
        </w:rPr>
        <w:t xml:space="preserve">text-warning</w:t>
      </w:r>
      <w:r>
        <w:t xml:space="preserve"> </w:t>
      </w:r>
      <w:r>
        <w:t xml:space="preserve">pill reading</w:t>
      </w:r>
      <w:r>
        <w:t xml:space="preserve"> </w:t>
      </w:r>
      <w:r>
        <w:t xml:space="preserve">“</w:t>
      </w:r>
      <w:r>
        <w:t xml:space="preserve">Watch: heat exposure</w:t>
      </w:r>
      <w:r>
        <w:t xml:space="preserve">”</w:t>
      </w:r>
      <w:r>
        <w:t xml:space="preserve"> </w:t>
      </w:r>
      <w:r>
        <w:t xml:space="preserve">(plastic) or</w:t>
      </w:r>
      <w:r>
        <w:t xml:space="preserve"> </w:t>
      </w:r>
      <w:r>
        <w:t xml:space="preserve">“</w:t>
      </w:r>
      <w:r>
        <w:t xml:space="preserve">Watch: painted exteriors</w:t>
      </w:r>
      <w:r>
        <w:t xml:space="preserve">”</w:t>
      </w:r>
      <w:r>
        <w:t xml:space="preserve"> </w:t>
      </w:r>
      <w:r>
        <w:t xml:space="preserve">(glass),</w:t>
      </w:r>
      <w:r>
        <w:t xml:space="preserve"> </w:t>
      </w:r>
      <w:r>
        <w:rPr>
          <w:rStyle w:val="VerbatimChar"/>
        </w:rPr>
        <w:t xml:space="preserve">bg-success</w:t>
      </w:r>
      <w:r>
        <w:t xml:space="preserve">/</w:t>
      </w:r>
      <w:r>
        <w:rPr>
          <w:rStyle w:val="VerbatimChar"/>
        </w:rPr>
        <w:t xml:space="preserve">text-success</w:t>
      </w:r>
      <w:r>
        <w:t xml:space="preserve"> </w:t>
      </w:r>
      <w:r>
        <w:t xml:space="preserve">pill reading</w:t>
      </w:r>
      <w:r>
        <w:t xml:space="preserve"> </w:t>
      </w:r>
      <w:r>
        <w:t xml:space="preserve">“</w:t>
      </w:r>
      <w:r>
        <w:t xml:space="preserve">No known watch-outs</w:t>
      </w:r>
      <w:r>
        <w:t xml:space="preserve">”</w:t>
      </w:r>
      <w:r>
        <w:t xml:space="preserve"> </w:t>
      </w:r>
      <w:r>
        <w:t xml:space="preserve">(stainless steel). No icons — none of the available Tabler glyphs read as a baby bottle or nipple; a beaker, wine glass, and shield icon were tried and rejected as misleading, so this card intentionally ships icon-free.</w:t>
      </w:r>
    </w:p>
    <w:p>
      <w:pPr>
        <w:pStyle w:val="BodyText"/>
      </w:pPr>
      <w:r>
        <w:rPr>
          <w:b/>
        </w:rPr>
        <w:t xml:space="preserve">10.2 SILICONE VS. LATEX CARDS</w:t>
      </w:r>
      <w:r>
        <w:t xml:space="preserve"> </w:t>
      </w:r>
      <w:r>
        <w:t xml:space="preserve">— replaces the</w:t>
      </w:r>
      <w:r>
        <w:t xml:space="preserve"> </w:t>
      </w:r>
      <w:r>
        <w:t xml:space="preserve">“</w:t>
      </w:r>
      <w:r>
        <w:t xml:space="preserve">Nipple material</w:t>
      </w:r>
      <w:r>
        <w:t xml:space="preserve">”</w:t>
      </w:r>
      <w:r>
        <w:t xml:space="preserve"> </w:t>
      </w:r>
      <w:r>
        <w:t xml:space="preserve">paragraph in WHAT TO KNOW, both variants.</w:t>
      </w:r>
      <w:r>
        <w:t xml:space="preserve"> </w:t>
      </w:r>
      <w:r>
        <w:t xml:space="preserve">Two-card row,</w:t>
      </w:r>
      <w:r>
        <w:t xml:space="preserve"> </w:t>
      </w:r>
      <w:r>
        <w:rPr>
          <w:rStyle w:val="VerbatimChar"/>
        </w:rPr>
        <w:t xml:space="preserve">repeat(auto-fit, minmax(220px, 1fr))</w:t>
      </w:r>
      <w:r>
        <w:t xml:space="preserve">. Silicone card gets the featured treatment:</w:t>
      </w:r>
      <w:r>
        <w:t xml:space="preserve"> </w:t>
      </w:r>
      <w:r>
        <w:rPr>
          <w:rStyle w:val="VerbatimChar"/>
        </w:rPr>
        <w:t xml:space="preserve">border: 2px solid var(--border-accent)</w:t>
      </w:r>
      <w:r>
        <w:t xml:space="preserve"> </w:t>
      </w:r>
      <w:r>
        <w:t xml:space="preserve">and a</w:t>
      </w:r>
      <w:r>
        <w:t xml:space="preserve"> </w:t>
      </w:r>
      <w:r>
        <w:rPr>
          <w:rStyle w:val="VerbatimChar"/>
        </w:rPr>
        <w:t xml:space="preserve">bg-accent</w:t>
      </w:r>
      <w:r>
        <w:t xml:space="preserve">/</w:t>
      </w:r>
      <w:r>
        <w:rPr>
          <w:rStyle w:val="VerbatimChar"/>
        </w:rPr>
        <w:t xml:space="preserve">text-accent</w:t>
      </w:r>
      <w:r>
        <w:t xml:space="preserve"> </w:t>
      </w:r>
      <w:r>
        <w:t xml:space="preserve">“</w:t>
      </w:r>
      <w:r>
        <w:t xml:space="preserve">Sensible default</w:t>
      </w:r>
      <w:r>
        <w:t xml:space="preserve">”</w:t>
      </w:r>
      <w:r>
        <w:t xml:space="preserve"> </w:t>
      </w:r>
      <w:r>
        <w:t xml:space="preserve">badge above the title. Latex card is a plain 0.5px-border card, no badge. Both cards: title (15px/500) + a 3-item bullet list (13px, secondary, 1.7 line-height) covering durability, replacement cadence, and the allergy note.</w:t>
      </w:r>
    </w:p>
    <w:p>
      <w:pPr>
        <w:pStyle w:val="BodyText"/>
      </w:pPr>
      <w:r>
        <w:rPr>
          <w:b/>
        </w:rPr>
        <w:t xml:space="preserve">10.3 BOTTLE SIZE CHART</w:t>
      </w:r>
      <w:r>
        <w:t xml:space="preserve"> </w:t>
      </w:r>
      <w:r>
        <w:t xml:space="preserve">— replaces the bulleted bottle-size explanation in WHAT TO KNOW and the crash-course table, both variants (each variant shows only its own relevant panel(s); the EP variant shows only the pumping panel, the Combination variant shows both panels side by side since combo users need both).</w:t>
      </w:r>
      <w:r>
        <w:t xml:space="preserve"> </w:t>
      </w:r>
      <w:r>
        <w:t xml:space="preserve">Two-panel row,</w:t>
      </w:r>
      <w:r>
        <w:t xml:space="preserve"> </w:t>
      </w:r>
      <w:r>
        <w:rPr>
          <w:rStyle w:val="VerbatimChar"/>
        </w:rPr>
        <w:t xml:space="preserve">repeat(auto-fit, minmax(260px, 1fr))</w:t>
      </w:r>
      <w:r>
        <w:t xml:space="preserve">. Each panel: title (15px/500), then a stack of horizontal mini bar rows (age-range label at 88px fixed width, a track bar in</w:t>
      </w:r>
      <w:r>
        <w:t xml:space="preserve"> </w:t>
      </w:r>
      <w:r>
        <w:rPr>
          <w:rStyle w:val="VerbatimChar"/>
        </w:rPr>
        <w:t xml:space="preserve">var(--surface-1)</w:t>
      </w:r>
      <w:r>
        <w:t xml:space="preserve"> </w:t>
      </w:r>
      <w:r>
        <w:t xml:space="preserve">with a filled portion in</w:t>
      </w:r>
      <w:r>
        <w:t xml:space="preserve"> </w:t>
      </w:r>
      <w:r>
        <w:rPr>
          <w:rStyle w:val="VerbatimChar"/>
        </w:rPr>
        <w:t xml:space="preserve">var(--text-accent)</w:t>
      </w:r>
      <w:r>
        <w:t xml:space="preserve"> </w:t>
      </w:r>
      <w:r>
        <w:t xml:space="preserve">at 50% opacity sized to relative volume, and the oz value right-aligned). EP panel: 4 rows (Week 1: 1–3 oz at ~40% fill, Weeks 2–4: 2–4 oz at ~65%, Weeks 4–6: 2–5 oz at ~85%, 6 weeks–6 months: 2–5 oz at ~85% — same fill as the prior row, visually showing the plateau) with a caption</w:t>
      </w:r>
      <w:r>
        <w:t xml:space="preserve"> </w:t>
      </w:r>
      <w:r>
        <w:t xml:space="preserve">“</w:t>
      </w:r>
      <w:r>
        <w:t xml:space="preserve">Ramps up early, then plateaus — one bottle size covers you from week 6 on.</w:t>
      </w:r>
      <w:r>
        <w:t xml:space="preserve">”</w:t>
      </w:r>
      <w:r>
        <w:t xml:space="preserve"> </w:t>
      </w:r>
      <w:r>
        <w:t xml:space="preserve">Combo panel (formula side): 3 rows (Newborn–1mo: 2–4 oz at ~40%, 1–3 months: 3–4 oz at ~55%, 3–6 months: 6–8 oz at ~100%) with a caption</w:t>
      </w:r>
      <w:r>
        <w:t xml:space="preserve"> </w:t>
      </w:r>
      <w:r>
        <w:t xml:space="preserve">“</w:t>
      </w:r>
      <w:r>
        <w:t xml:space="preserve">Keeps growing — plan to size up as your baby does.</w:t>
      </w:r>
      <w:r>
        <w:t xml:space="preserve">”</w:t>
      </w:r>
      <w:r>
        <w:t xml:space="preserve"> </w:t>
      </w:r>
      <w:r>
        <w:t xml:space="preserve">The visual contrast between a flattening chart and a climbing chart is the point — it should read at a glance without needing the caption.</w:t>
      </w:r>
    </w:p>
    <w:p>
      <w:r>
        <w:pict>
          <v:rect style="width:0;height:1.5pt" o:hralign="center" o:hrstd="t" o:hr="t"/>
        </w:pict>
      </w:r>
    </w:p>
    <w:p>
      <w:pPr>
        <w:pStyle w:val="Heading2"/>
      </w:pPr>
      <w:bookmarkStart w:id="26" w:name="for-ashley-ibclc-review-not-user-facing"/>
      <w:r>
        <w:t xml:space="preserve">[FOR ASHLEY + IBCLC REVIEW — NOT USER-FACING]</w:t>
      </w:r>
      <w:bookmarkEnd w:id="26"/>
    </w:p>
    <w:p>
      <w:pPr>
        <w:pStyle w:val="FirstParagraph"/>
      </w:pPr>
      <w:r>
        <w:t xml:space="preserve">These are the specific spots where the literature is thin, contested, or moving fast enough that this content could be stale within a year. Applies to both variants unless noted. Flagging each one explicitly rather than quietly picking a side:</w:t>
      </w:r>
    </w:p>
    <w:p>
      <w:pPr>
        <w:numPr>
          <w:ilvl w:val="0"/>
          <w:numId w:val="1003"/>
        </w:numPr>
      </w:pPr>
      <w:r>
        <w:rPr>
          <w:b/>
        </w:rPr>
        <w:t xml:space="preserve">Painted glass bottle lead issue (both variants).</w:t>
      </w:r>
      <w:r>
        <w:t xml:space="preserve"> </w:t>
      </w:r>
      <w:r>
        <w:t xml:space="preserve">This is a live, evolving situation (two major brands paused sales in April 2024, claimed fixes by fall 2024). Anything published needs a currency check right before ship, not just at draft time — this is exactly the kind of claim that can go stale fast. Worth deciding whether to name specific brands at all, or keep it generic (</w:t>
      </w:r>
      <w:r>
        <w:t xml:space="preserve">“</w:t>
      </w:r>
      <w:r>
        <w:t xml:space="preserve">check the manufacturer’s current lead testing</w:t>
      </w:r>
      <w:r>
        <w:t xml:space="preserve">”</w:t>
      </w:r>
      <w:r>
        <w:t xml:space="preserve">) to avoid the content becoming outdated the moment a brand changes its formulation again.</w:t>
      </w:r>
    </w:p>
    <w:p>
      <w:pPr>
        <w:numPr>
          <w:ilvl w:val="0"/>
          <w:numId w:val="1003"/>
        </w:numPr>
      </w:pPr>
      <w:r>
        <w:rPr>
          <w:b/>
        </w:rPr>
        <w:t xml:space="preserve">The</w:t>
      </w:r>
      <w:r>
        <w:rPr>
          <w:b/>
        </w:rPr>
        <w:t xml:space="preserve"> </w:t>
      </w:r>
      <w:r>
        <w:rPr>
          <w:b/>
        </w:rPr>
        <w:t xml:space="preserve">“</w:t>
      </w:r>
      <w:r>
        <w:rPr>
          <w:b/>
        </w:rPr>
        <w:t xml:space="preserve">80 extra calories/day from larger bottles</w:t>
      </w:r>
      <w:r>
        <w:rPr>
          <w:b/>
        </w:rPr>
        <w:t xml:space="preserve">”</w:t>
      </w:r>
      <w:r>
        <w:rPr>
          <w:b/>
        </w:rPr>
        <w:t xml:space="preserve"> </w:t>
      </w:r>
      <w:r>
        <w:rPr>
          <w:b/>
        </w:rPr>
        <w:t xml:space="preserve">statistic (Combination Feeding variant only).</w:t>
      </w:r>
      <w:r>
        <w:t xml:space="preserve"> </w:t>
      </w:r>
      <w:r>
        <w:t xml:space="preserve">Sourced to a single 2016 study (Wood et al., cross-sectional data from one clinical trial’s baseline cohort, formula-fed infants specifically). It’s a real, published finding, but it’s one study, not a body of consistent replication. Worth deciding whether to keep the specific number or soften to</w:t>
      </w:r>
      <w:r>
        <w:t xml:space="preserve"> </w:t>
      </w:r>
      <w:r>
        <w:t xml:space="preserve">“</w:t>
      </w:r>
      <w:r>
        <w:t xml:space="preserve">some research suggests.</w:t>
      </w:r>
      <w:r>
        <w:t xml:space="preserve">”</w:t>
      </w:r>
      <w:r>
        <w:t xml:space="preserve"> </w:t>
      </w:r>
      <w:r>
        <w:t xml:space="preserve">This doesn’t appear in the EP variant since it’s a formula-specific finding.</w:t>
      </w:r>
    </w:p>
    <w:p>
      <w:pPr>
        <w:numPr>
          <w:ilvl w:val="0"/>
          <w:numId w:val="1003"/>
        </w:numPr>
      </w:pPr>
      <w:r>
        <w:rPr>
          <w:b/>
        </w:rPr>
        <w:t xml:space="preserve">Anti-colic bottle evidence (both variants).</w:t>
      </w:r>
      <w:r>
        <w:t xml:space="preserve"> </w:t>
      </w:r>
      <w:r>
        <w:t xml:space="preserve">I characterized this as</w:t>
      </w:r>
      <w:r>
        <w:t xml:space="preserve"> </w:t>
      </w:r>
      <w:r>
        <w:t xml:space="preserve">“</w:t>
      </w:r>
      <w:r>
        <w:t xml:space="preserve">mechanism supported, symptom benefit unproven</w:t>
      </w:r>
      <w:r>
        <w:t xml:space="preserve">”</w:t>
      </w:r>
      <w:r>
        <w:t xml:space="preserve"> </w:t>
      </w:r>
      <w:r>
        <w:t xml:space="preserve">based on a Cochrane-level review and a handful of small studies on air ingestion. This is a heavily marketed product category, and IBCLC input on how strongly to push back against manufacturer claims (some parents find real relief and that shouldn’t be dismissed) would help calibrate the tone here.</w:t>
      </w:r>
    </w:p>
    <w:p>
      <w:pPr>
        <w:numPr>
          <w:ilvl w:val="0"/>
          <w:numId w:val="1003"/>
        </w:numPr>
      </w:pPr>
      <w:r>
        <w:rPr>
          <w:b/>
        </w:rPr>
        <w:t xml:space="preserve">“</w:t>
      </w:r>
      <w:r>
        <w:rPr>
          <w:b/>
        </w:rPr>
        <w:t xml:space="preserve">Breast-mimicking</w:t>
      </w:r>
      <w:r>
        <w:rPr>
          <w:b/>
        </w:rPr>
        <w:t xml:space="preserve">”</w:t>
      </w:r>
      <w:r>
        <w:rPr>
          <w:b/>
        </w:rPr>
        <w:t xml:space="preserve"> </w:t>
      </w:r>
      <w:r>
        <w:rPr>
          <w:b/>
        </w:rPr>
        <w:t xml:space="preserve">nipple design claims (both variants).</w:t>
      </w:r>
      <w:r>
        <w:t xml:space="preserve"> </w:t>
      </w:r>
      <w:r>
        <w:t xml:space="preserve">I stated plainly that no independent peer-reviewed research was found validating these design claims. That’s accurate to what turned up in this pass of research, but it’s worth an IBCLC gut-check on whether that’s consistent with their clinical experience, or whether there’s research this pass missed. Worth a specific gut-check for the EP variant too: EP babies who never nurse at all have no</w:t>
      </w:r>
      <w:r>
        <w:t xml:space="preserve"> </w:t>
      </w:r>
      <w:r>
        <w:t xml:space="preserve">“</w:t>
      </w:r>
      <w:r>
        <w:t xml:space="preserve">breast-to-bottle transition</w:t>
      </w:r>
      <w:r>
        <w:t xml:space="preserve">”</w:t>
      </w:r>
      <w:r>
        <w:t xml:space="preserve"> </w:t>
      </w:r>
      <w:r>
        <w:t xml:space="preserve">to ease, so even the marketing rationale (not just the evidence) may not apply to them the same way it does for combo or nursing-to-bottle transitions — worth deciding whether to soften or cut this section for EP-only babies who were never at the breast.</w:t>
      </w:r>
    </w:p>
    <w:p>
      <w:pPr>
        <w:numPr>
          <w:ilvl w:val="0"/>
          <w:numId w:val="1003"/>
        </w:numPr>
      </w:pPr>
      <w:r>
        <w:rPr>
          <w:b/>
        </w:rPr>
        <w:t xml:space="preserve">The triangle test (both variants).</w:t>
      </w:r>
      <w:r>
        <w:t xml:space="preserve"> </w:t>
      </w:r>
      <w:r>
        <w:t xml:space="preserve">This is the most likely to generate pushback if we’re wrong about it, precisely because it’s popular and IBCLC-originated (not just a marketing gimmick), which gives it more credibility than the average viral trend. I presented it as</w:t>
      </w:r>
      <w:r>
        <w:t xml:space="preserve"> </w:t>
      </w:r>
      <w:r>
        <w:t xml:space="preserve">“</w:t>
      </w:r>
      <w:r>
        <w:t xml:space="preserve">plausible but unvalidated.</w:t>
      </w:r>
      <w:r>
        <w:t xml:space="preserve">”</w:t>
      </w:r>
      <w:r>
        <w:t xml:space="preserve"> </w:t>
      </w:r>
      <w:r>
        <w:t xml:space="preserve">An alternative framing some IBCLCs might prefer: presenting it more neutrally as</w:t>
      </w:r>
      <w:r>
        <w:t xml:space="preserve"> </w:t>
      </w:r>
      <w:r>
        <w:t xml:space="preserve">“</w:t>
      </w:r>
      <w:r>
        <w:t xml:space="preserve">a tool some IBCLCs use</w:t>
      </w:r>
      <w:r>
        <w:t xml:space="preserve">”</w:t>
      </w:r>
      <w:r>
        <w:t xml:space="preserve"> </w:t>
      </w:r>
      <w:r>
        <w:t xml:space="preserve">without editorializing on its evidence base at all. Worth explicitly deciding which framing Latched wants to take, since this is the single most likely point of disagreement among lactation professionals reviewing this guide.</w:t>
      </w:r>
    </w:p>
    <w:p>
      <w:pPr>
        <w:numPr>
          <w:ilvl w:val="0"/>
          <w:numId w:val="1003"/>
        </w:numPr>
      </w:pPr>
      <w:r>
        <w:rPr>
          <w:b/>
        </w:rPr>
        <w:t xml:space="preserve">Latex nipple safety claims (both variants).</w:t>
      </w:r>
      <w:r>
        <w:t xml:space="preserve"> </w:t>
      </w:r>
      <w:r>
        <w:t xml:space="preserve">Some consumer-facing sources claim latex teats</w:t>
      </w:r>
      <w:r>
        <w:t xml:space="preserve"> </w:t>
      </w:r>
      <w:r>
        <w:t xml:space="preserve">“</w:t>
      </w:r>
      <w:r>
        <w:t xml:space="preserve">can contain impurities linked to cancer.</w:t>
      </w:r>
      <w:r>
        <w:t xml:space="preserve">”</w:t>
      </w:r>
      <w:r>
        <w:t xml:space="preserve"> </w:t>
      </w:r>
      <w:r>
        <w:t xml:space="preserve">This traces to older regulatory concern about nitrosamine release from rubber teats/soothers (an EU regulatory issue from the 1990s), not a settled claim about all latex bottle nipples sold today. I deliberately did</w:t>
      </w:r>
      <w:r>
        <w:t xml:space="preserve"> </w:t>
      </w:r>
      <w:r>
        <w:rPr>
          <w:b/>
        </w:rPr>
        <w:t xml:space="preserve">not</w:t>
      </w:r>
      <w:r>
        <w:t xml:space="preserve"> </w:t>
      </w:r>
      <w:r>
        <w:t xml:space="preserve">include this claim in the user-facing copy above because I couldn’t verify it holds for current products, but flagging it here in case the IBCLC wants it addressed explicitly (either to reassure parents it’s outdated, or to confirm it’s still a live concern worth naming).</w:t>
      </w:r>
    </w:p>
    <w:p>
      <w:r>
        <w:pict>
          <v:rect style="width:0;height:1.5pt" o:hralign="center" o:hrstd="t" o:hr="t"/>
        </w:pict>
      </w:r>
    </w:p>
    <w:p>
      <w:pPr>
        <w:pStyle w:val="FirstParagraph"/>
      </w:pPr>
      <w:r>
        <w:rPr>
          <w:i/>
        </w:rPr>
        <w:t xml:space="preserve">This guide is new content, not yet reviewed by the in-house IBCLC. Recommend it goes through the same clinical review pass as any protocol content before it’s added to a Lovable brief.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2026-07-08T21:22:44Z</dcterms:created>
  <dcterms:modified xsi:type="dcterms:W3CDTF">2026-07-08T21:22:44Z</dcterms:modified>
</cp:coreProperties>
</file>

<file path=docProps/custom.xml><?xml version="1.0" encoding="utf-8"?>
<Properties xmlns="http://schemas.openxmlformats.org/officeDocument/2006/custom-properties" xmlns:vt="http://schemas.openxmlformats.org/officeDocument/2006/docPropsVTypes"/>
</file>