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AI-Powered Sales Intelligence Platform Brand Identity &amp; Design System</w:t>
      </w:r>
    </w:p>
    <w:p>
      <w:pPr>
        <w:pStyle w:val="Heading2"/>
        <w:pStyle w:val="MdHeading2"/>
      </w:pPr>
      <w:r>
        <w:t xml:space="preserve">Brand Identity (Contribution led by the Brand Strategist)</w:t>
      </w:r>
    </w:p>
    <w:p>
      <w:pPr>
        <w:pStyle w:val="Heading3"/>
        <w:pStyle w:val="MdHeading3"/>
      </w:pPr>
      <w:r>
        <w:t xml:space="preserve">Brand Essence</w:t>
      </w:r>
    </w:p>
    <w:p>
      <w:pPr>
        <w:pStyle w:val="MdParagraph"/>
      </w:pPr>
      <w:r>
        <w:t xml:space="preserve">Based on the Executive Overview and the purpose of converting business decision-makers and sales teams, the core brand attributes for the AI-Powered Sales Intelligence Platform are:</w:t>
      </w:r>
    </w:p>
    <w:p>
      <w:pPr>
        <w:pStyle w:val="MdSpace"/>
        <w:spacing w:before="0" w:after="60"/>
      </w:pPr>
    </w:p>
    <w:p>
      <w:pPr>
        <w:pStyle w:val="MdListItem"/>
        <w:numPr>
          <w:ilvl w:val="0"/>
          <w:numId w:val="2"/>
        </w:numPr>
      </w:pPr>
      <w:r>
        <w:rPr>
          <w:rStyle w:val="MdStrong"/>
          <w:b/>
          <w:bCs/>
        </w:rPr>
        <w:t xml:space="preserve">Intelligence:</w:t>
      </w:r>
      <w:r>
        <w:t xml:space="preserve"> Leveraging AI for predictive insights and smart decision-making.</w:t>
      </w:r>
    </w:p>
    <w:p>
      <w:pPr>
        <w:pStyle w:val="MdListItem"/>
        <w:numPr>
          <w:ilvl w:val="0"/>
          <w:numId w:val="2"/>
        </w:numPr>
      </w:pPr>
      <w:r>
        <w:rPr>
          <w:rStyle w:val="MdStrong"/>
          <w:b/>
          <w:bCs/>
        </w:rPr>
        <w:t xml:space="preserve">Efficiency:</w:t>
      </w:r>
      <w:r>
        <w:t xml:space="preserve"> Streamlining sales operations, saving time, and optimizing workflows.</w:t>
      </w:r>
    </w:p>
    <w:p>
      <w:pPr>
        <w:pStyle w:val="MdListItem"/>
        <w:numPr>
          <w:ilvl w:val="0"/>
          <w:numId w:val="2"/>
        </w:numPr>
      </w:pPr>
      <w:r>
        <w:rPr>
          <w:rStyle w:val="MdStrong"/>
          <w:b/>
          <w:bCs/>
        </w:rPr>
        <w:t xml:space="preserve">Trust:</w:t>
      </w:r>
      <w:r>
        <w:t xml:space="preserve"> Building credibility through proven ROI, data accuracy, and reliability.</w:t>
      </w:r>
    </w:p>
    <w:p>
      <w:pPr>
        <w:pStyle w:val="MdListItem"/>
        <w:numPr>
          <w:ilvl w:val="0"/>
          <w:numId w:val="2"/>
        </w:numPr>
      </w:pPr>
      <w:r>
        <w:rPr>
          <w:rStyle w:val="MdStrong"/>
          <w:b/>
          <w:bCs/>
        </w:rPr>
        <w:t xml:space="preserve">Transformation:</w:t>
      </w:r>
      <w:r>
        <w:t xml:space="preserve"> Empowering sales teams to achieve significant growth and overcome challenges.</w:t>
      </w:r>
    </w:p>
    <w:p>
      <w:pPr>
        <w:pStyle w:val="MdListItem"/>
        <w:numPr>
          <w:ilvl w:val="0"/>
          <w:numId w:val="2"/>
        </w:numPr>
      </w:pPr>
      <w:r>
        <w:rPr>
          <w:rStyle w:val="MdStrong"/>
          <w:b/>
          <w:bCs/>
        </w:rPr>
        <w:t xml:space="preserve">Clarity:</w:t>
      </w:r>
      <w:r>
        <w:t xml:space="preserve"> Providing unparalleled visibility into sales pipelines and lead potential.</w:t>
      </w:r>
    </w:p>
    <w:p>
      <w:pPr>
        <w:pStyle w:val="MdListItem"/>
        <w:numPr>
          <w:ilvl w:val="0"/>
          <w:numId w:val="2"/>
        </w:numPr>
      </w:pPr>
      <w:r>
        <w:rPr>
          <w:rStyle w:val="MdStrong"/>
          <w:b/>
          <w:bCs/>
        </w:rPr>
        <w:t xml:space="preserve">Precision:</w:t>
      </w:r>
      <w:r>
        <w:t xml:space="preserve"> Delivering accurate, actionable data to focus efforts on high-value opportunities.</w:t>
      </w:r>
    </w:p>
    <w:p>
      <w:pPr>
        <w:pStyle w:val="MdSpace"/>
        <w:spacing w:before="0" w:after="60"/>
      </w:pPr>
    </w:p>
    <w:p>
      <w:pPr>
        <w:pStyle w:val="Heading3"/>
        <w:pStyle w:val="MdHeading3"/>
      </w:pPr>
      <w:r>
        <w:t xml:space="preserve">Brand Voice</w:t>
      </w:r>
    </w:p>
    <w:p>
      <w:pPr>
        <w:pStyle w:val="MdListItem"/>
        <w:numPr>
          <w:ilvl w:val="0"/>
          <w:numId w:val="2"/>
        </w:numPr>
      </w:pPr>
      <w:r>
        <w:rPr>
          <w:rStyle w:val="MdStrong"/>
          <w:b/>
          <w:bCs/>
        </w:rPr>
        <w:t xml:space="preserve">Tone:</w:t>
      </w:r>
      <w:r>
        <w:t xml:space="preserve"> The brand voice will be </w:t>
      </w:r>
      <w:r>
        <w:rPr>
          <w:rStyle w:val="MdStrong"/>
          <w:b/>
          <w:bCs/>
        </w:rPr>
        <w:t xml:space="preserve">professional, confident, and authoritative</w:t>
      </w:r>
      <w:r>
        <w:t xml:space="preserve">, reflecting expertise in sales intelligence. It will also be </w:t>
      </w:r>
      <w:r>
        <w:rPr>
          <w:rStyle w:val="MdStrong"/>
          <w:b/>
          <w:bCs/>
        </w:rPr>
        <w:t xml:space="preserve">reassuring and results-oriented</w:t>
      </w:r>
      <w:r>
        <w:t xml:space="preserve">, emphasizing tangible benefits and ROI to build trust with business decision-makers.</w:t>
      </w:r>
    </w:p>
    <w:p>
      <w:pPr>
        <w:pStyle w:val="MdListItem"/>
        <w:numPr>
          <w:ilvl w:val="0"/>
          <w:numId w:val="2"/>
        </w:numPr>
      </w:pPr>
      <w:r>
        <w:rPr>
          <w:rStyle w:val="MdStrong"/>
          <w:b/>
          <w:bCs/>
        </w:rPr>
        <w:t xml:space="preserve">Language:</w:t>
      </w:r>
      <w:r>
        <w:t xml:space="preserve"> The language will be </w:t>
      </w:r>
      <w:r>
        <w:rPr>
          <w:rStyle w:val="MdStrong"/>
          <w:b/>
          <w:bCs/>
        </w:rPr>
        <w:t xml:space="preserve">clear, concise, and data-driven</w:t>
      </w:r>
      <w:r>
        <w:t xml:space="preserve">, utilizing industry-standard B2B terminology where appropriate. It will be </w:t>
      </w:r>
      <w:r>
        <w:rPr>
          <w:rStyle w:val="MdStrong"/>
          <w:b/>
          <w:bCs/>
        </w:rPr>
        <w:t xml:space="preserve">benefit-focused</w:t>
      </w:r>
      <w:r>
        <w:t xml:space="preserve">, always translating features into specific business outcomes (e.g., </w:t>
      </w:r>
      <w:r>
        <w:br/>
        <w:t xml:space="preserve">“close deals 40% faster” instead of “AI-powered lead scoring”).</w:t>
      </w:r>
    </w:p>
    <w:p>
      <w:pPr>
        <w:pStyle w:val="MdListItem"/>
        <w:numPr>
          <w:ilvl w:val="0"/>
          <w:numId w:val="2"/>
        </w:numPr>
      </w:pPr>
      <w:r>
        <w:rPr>
          <w:rStyle w:val="MdStrong"/>
          <w:b/>
          <w:bCs/>
        </w:rPr>
        <w:t xml:space="preserve">Communication Style:</w:t>
      </w:r>
      <w:r>
        <w:t xml:space="preserve"> The overall communication style will be </w:t>
      </w:r>
      <w:r>
        <w:rPr>
          <w:rStyle w:val="MdStrong"/>
          <w:b/>
          <w:bCs/>
        </w:rPr>
        <w:t xml:space="preserve">solution-oriented and persuasive</w:t>
      </w:r>
      <w:r>
        <w:t xml:space="preserve">, directly addressing pain points and presenting the platform as the definitive answer. It will emphasize trust-building through transparent ROI demonstration and a clear value proposition.</w:t>
      </w:r>
    </w:p>
    <w:p>
      <w:pPr>
        <w:pStyle w:val="MdSpace"/>
        <w:spacing w:before="0" w:after="60"/>
      </w:pPr>
    </w:p>
    <w:p>
      <w:pPr>
        <w:pStyle w:val="Heading3"/>
        <w:pStyle w:val="MdHeading3"/>
      </w:pPr>
      <w:r>
        <w:t xml:space="preserve">Brand Narrative</w:t>
      </w:r>
    </w:p>
    <w:p>
      <w:pPr>
        <w:pStyle w:val="MdParagraph"/>
      </w:pPr>
      <w:r>
        <w:t xml:space="preserve">In today's hyper-competitive B2B landscape, sales teams are drowning in data chaos, struggling with missed opportunities, and lacking clear visibility into their pipeline. Traditional CRMs fall short, leaving decision-makers to manage with guesswork and inefficient manual processes. Our AI-Powered Sales Intelligence Platform cuts through the noise, transforming sales operations by delivering predictive insights and automating the mundane. We empower sales leaders and their teams to move beyond reactive selling, providing the precision and clarity needed to identify high-value leads, accelerate deal cycles, and consistently exceed revenue targets. We are not just a tool; we are the strategic partner that turns your sales force into a revenue-generating machine, ensuring every decision is data-driven and every effort is maximized for unparalleled growth.</w:t>
      </w:r>
    </w:p>
    <w:p>
      <w:pPr>
        <w:pStyle w:val="MdSpace"/>
        <w:spacing w:before="0" w:after="60"/>
      </w:pPr>
    </w:p>
    <w:p>
      <w:pPr>
        <w:pStyle w:val="Heading2"/>
        <w:pStyle w:val="MdHeading2"/>
      </w:pPr>
      <w:r>
        <w:t xml:space="preserve">Design System (Contribution led by the Lead UI/UX Designer and Lead Front-End Developer)</w:t>
      </w:r>
    </w:p>
    <w:p>
      <w:pPr>
        <w:pStyle w:val="Heading3"/>
        <w:pStyle w:val="MdHeading3"/>
      </w:pPr>
      <w:r>
        <w:t xml:space="preserve">Color Palette</w:t>
      </w:r>
    </w:p>
    <w:p>
      <w:pPr>
        <w:pStyle w:val="Heading4"/>
        <w:pStyle w:val="MdHeading4"/>
      </w:pPr>
      <w:r>
        <w:t xml:space="preserve">Primary Colors</w:t>
      </w:r>
    </w:p>
    <w:p>
      <w:pPr>
        <w:pStyle w:val="MdListItem"/>
        <w:numPr>
          <w:ilvl w:val="0"/>
          <w:numId w:val="2"/>
        </w:numPr>
      </w:pPr>
      <w:r>
        <w:rPr>
          <w:rStyle w:val="MdStrong"/>
          <w:b/>
          <w:bCs/>
        </w:rPr>
        <w:t xml:space="preserve">Gradient Base:</w:t>
      </w:r>
      <w:r>
        <w:t xml:space="preserve"> The brand's core visual identity is represented by a sophisticated linear gradient, symbolizing intelligence, growth, and forward momentum:</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linear-gradient(to right,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#0056B3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#007B80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2"/>
        </w:numPr>
      </w:pPr>
      <w:r>
        <w:rPr>
          <w:rStyle w:val="MdStrong"/>
          <w:b/>
          <w:bCs/>
        </w:rPr>
        <w:t xml:space="preserve">Primary Colors (Extracted from gradient):</w:t>
      </w:r>
    </w:p>
    <w:p>
      <w:pPr>
        <w:pStyle w:val="MdListItem"/>
        <w:numPr>
          <w:ilvl w:val="1"/>
          <w:numId w:val="2"/>
        </w:numPr>
      </w:pPr>
      <w:r>
        <w:rPr>
          <w:rStyle w:val="MdCode"/>
          <w:u w:val="single"/>
        </w:rPr>
        <w:t xml:space="preserve">#0056B3</w:t>
      </w:r>
      <w:r>
        <w:t xml:space="preserve"> - </w:t>
      </w:r>
      <w:r>
        <w:rPr>
          <w:rStyle w:val="MdStrong"/>
          <w:b/>
          <w:bCs/>
        </w:rPr>
        <w:t xml:space="preserve">Deep Ocean Blue</w:t>
      </w:r>
      <w:r>
        <w:t xml:space="preserve"> (Trust)</w:t>
      </w:r>
    </w:p>
    <w:p>
      <w:pPr>
        <w:pStyle w:val="MdListItem"/>
        <w:numPr>
          <w:ilvl w:val="1"/>
          <w:numId w:val="2"/>
        </w:numPr>
      </w:pPr>
      <w:r>
        <w:rPr>
          <w:rStyle w:val="MdCode"/>
          <w:u w:val="single"/>
        </w:rPr>
        <w:t xml:space="preserve">#0062B8</w:t>
      </w:r>
      <w:r>
        <w:t xml:space="preserve"> - </w:t>
      </w:r>
      <w:r>
        <w:rPr>
          <w:rStyle w:val="MdStrong"/>
          <w:b/>
          <w:bCs/>
        </w:rPr>
        <w:t xml:space="preserve">Corporate Blue</w:t>
      </w:r>
      <w:r>
        <w:t xml:space="preserve"> (Professionalism)</w:t>
      </w:r>
    </w:p>
    <w:p>
      <w:pPr>
        <w:pStyle w:val="MdListItem"/>
        <w:numPr>
          <w:ilvl w:val="1"/>
          <w:numId w:val="2"/>
        </w:numPr>
      </w:pPr>
      <w:r>
        <w:rPr>
          <w:rStyle w:val="MdCode"/>
          <w:u w:val="single"/>
        </w:rPr>
        <w:t xml:space="preserve">#006EBD</w:t>
      </w:r>
      <w:r>
        <w:t xml:space="preserve"> - </w:t>
      </w:r>
      <w:r>
        <w:rPr>
          <w:rStyle w:val="MdStrong"/>
          <w:b/>
          <w:bCs/>
        </w:rPr>
        <w:t xml:space="preserve">Sky Blue</w:t>
      </w:r>
      <w:r>
        <w:t xml:space="preserve"> (Clarity)</w:t>
      </w:r>
    </w:p>
    <w:p>
      <w:pPr>
        <w:pStyle w:val="MdListItem"/>
        <w:numPr>
          <w:ilvl w:val="1"/>
          <w:numId w:val="2"/>
        </w:numPr>
      </w:pPr>
      <w:r>
        <w:rPr>
          <w:rStyle w:val="MdCode"/>
          <w:u w:val="single"/>
        </w:rPr>
        <w:t xml:space="preserve">#0074BF</w:t>
      </w:r>
      <w:r>
        <w:t xml:space="preserve"> - </w:t>
      </w:r>
      <w:r>
        <w:rPr>
          <w:rStyle w:val="MdStrong"/>
          <w:b/>
          <w:bCs/>
        </w:rPr>
        <w:t xml:space="preserve">Azure</w:t>
      </w:r>
      <w:r>
        <w:t xml:space="preserve"> (Innovation)</w:t>
      </w:r>
    </w:p>
    <w:p>
      <w:pPr>
        <w:pStyle w:val="MdListItem"/>
        <w:numPr>
          <w:ilvl w:val="1"/>
          <w:numId w:val="2"/>
        </w:numPr>
      </w:pPr>
      <w:r>
        <w:rPr>
          <w:rStyle w:val="MdCode"/>
          <w:u w:val="single"/>
        </w:rPr>
        <w:t xml:space="preserve">#007B80</w:t>
      </w:r>
      <w:r>
        <w:t xml:space="preserve"> - </w:t>
      </w:r>
      <w:r>
        <w:rPr>
          <w:rStyle w:val="MdStrong"/>
          <w:b/>
          <w:bCs/>
        </w:rPr>
        <w:t xml:space="preserve">Deep Teal</w:t>
      </w:r>
      <w:r>
        <w:t xml:space="preserve"> (Precision)</w:t>
      </w:r>
    </w:p>
    <w:p>
      <w:pPr>
        <w:pStyle w:val="MdListItem"/>
        <w:numPr>
          <w:ilvl w:val="0"/>
          <w:numId w:val="2"/>
        </w:numPr>
      </w:pPr>
      <w:r>
        <w:rPr>
          <w:rStyle w:val="MdStrong"/>
          <w:b/>
          <w:bCs/>
        </w:rPr>
        <w:t xml:space="preserve">Accent Color:</w:t>
      </w:r>
      <w:r>
        <w:t xml:space="preserve"> </w:t>
      </w:r>
      <w:r>
        <w:rPr>
          <w:rStyle w:val="MdCode"/>
          <w:u w:val="single"/>
        </w:rPr>
        <w:t xml:space="preserve">#28A745</w:t>
      </w:r>
      <w:r>
        <w:t xml:space="preserve"> - </w:t>
      </w:r>
      <w:r>
        <w:rPr>
          <w:rStyle w:val="MdStrong"/>
          <w:b/>
          <w:bCs/>
        </w:rPr>
        <w:t xml:space="preserve">Success Green</w:t>
      </w:r>
      <w:r>
        <w:t xml:space="preserve"> (Growth, Action, ROI)</w:t>
      </w:r>
    </w:p>
    <w:p>
      <w:pPr>
        <w:pStyle w:val="MdSpace"/>
        <w:spacing w:before="0" w:after="60"/>
      </w:pPr>
    </w:p>
    <w:p>
      <w:pPr>
        <w:pStyle w:val="Heading4"/>
        <w:pStyle w:val="MdHeading4"/>
      </w:pPr>
      <w:r>
        <w:t xml:space="preserve">Secondary Colors</w:t>
      </w:r>
    </w:p>
    <w:p>
      <w:pPr>
        <w:pStyle w:val="MdParagraph"/>
      </w:pPr>
      <w:r>
        <w:t xml:space="preserve">These neutral colors provide a clean, modern, and accessible foundation for the user interface, ensuring content readability and visual hierarchy in both light and dark modes.</w:t>
      </w:r>
    </w:p>
    <w:p>
      <w:pPr>
        <w:pStyle w:val="MdSpace"/>
        <w:spacing w:before="0" w:after="60"/>
      </w:pPr>
    </w:p>
    <w:p>
      <w:pPr>
        <w:pStyle w:val="MdListItem"/>
        <w:numPr>
          <w:ilvl w:val="0"/>
          <w:numId w:val="2"/>
        </w:numPr>
      </w:pPr>
      <w:r>
        <w:rPr>
          <w:rStyle w:val="MdStrong"/>
          <w:b/>
          <w:bCs/>
        </w:rPr>
        <w:t xml:space="preserve">Background (Light Mode):</w:t>
      </w:r>
      <w:r>
        <w:t xml:space="preserve"> </w:t>
      </w:r>
      <w:r>
        <w:rPr>
          <w:rStyle w:val="MdCode"/>
          <w:u w:val="single"/>
        </w:rPr>
        <w:t xml:space="preserve">#FFFFFF</w:t>
      </w:r>
    </w:p>
    <w:p>
      <w:pPr>
        <w:pStyle w:val="MdListItem"/>
        <w:numPr>
          <w:ilvl w:val="0"/>
          <w:numId w:val="2"/>
        </w:numPr>
      </w:pPr>
      <w:r>
        <w:rPr>
          <w:rStyle w:val="MdStrong"/>
          <w:b/>
          <w:bCs/>
        </w:rPr>
        <w:t xml:space="preserve">Background (Dark Mode):</w:t>
      </w:r>
      <w:r>
        <w:t xml:space="preserve"> </w:t>
      </w:r>
      <w:r>
        <w:rPr>
          <w:rStyle w:val="MdCode"/>
          <w:u w:val="single"/>
        </w:rPr>
        <w:t xml:space="preserve">#0F1117</w:t>
      </w:r>
    </w:p>
    <w:p>
      <w:pPr>
        <w:pStyle w:val="MdListItem"/>
        <w:numPr>
          <w:ilvl w:val="0"/>
          <w:numId w:val="2"/>
        </w:numPr>
      </w:pPr>
      <w:r>
        <w:rPr>
          <w:rStyle w:val="MdStrong"/>
          <w:b/>
          <w:bCs/>
        </w:rPr>
        <w:t xml:space="preserve">Text Primary (Light Mode):</w:t>
      </w:r>
      <w:r>
        <w:t xml:space="preserve"> </w:t>
      </w:r>
      <w:r>
        <w:rPr>
          <w:rStyle w:val="MdCode"/>
          <w:u w:val="single"/>
        </w:rPr>
        <w:t xml:space="preserve">#1A1A1A</w:t>
      </w:r>
    </w:p>
    <w:p>
      <w:pPr>
        <w:pStyle w:val="MdListItem"/>
        <w:numPr>
          <w:ilvl w:val="0"/>
          <w:numId w:val="2"/>
        </w:numPr>
      </w:pPr>
      <w:r>
        <w:rPr>
          <w:rStyle w:val="MdStrong"/>
          <w:b/>
          <w:bCs/>
        </w:rPr>
        <w:t xml:space="preserve">Text Primary (Dark Mode):</w:t>
      </w:r>
      <w:r>
        <w:t xml:space="preserve"> </w:t>
      </w:r>
      <w:r>
        <w:rPr>
          <w:rStyle w:val="MdCode"/>
          <w:u w:val="single"/>
        </w:rPr>
        <w:t xml:space="preserve">#F5F5F5</w:t>
      </w:r>
    </w:p>
    <w:p>
      <w:pPr>
        <w:pStyle w:val="MdListItem"/>
        <w:numPr>
          <w:ilvl w:val="0"/>
          <w:numId w:val="2"/>
        </w:numPr>
      </w:pPr>
      <w:r>
        <w:rPr>
          <w:rStyle w:val="MdStrong"/>
          <w:b/>
          <w:bCs/>
        </w:rPr>
        <w:t xml:space="preserve">Text Secondary (Light Mode):</w:t>
      </w:r>
      <w:r>
        <w:t xml:space="preserve"> </w:t>
      </w:r>
      <w:r>
        <w:rPr>
          <w:rStyle w:val="MdCode"/>
          <w:u w:val="single"/>
        </w:rPr>
        <w:t xml:space="preserve">#666666</w:t>
      </w:r>
    </w:p>
    <w:p>
      <w:pPr>
        <w:pStyle w:val="MdListItem"/>
        <w:numPr>
          <w:ilvl w:val="0"/>
          <w:numId w:val="2"/>
        </w:numPr>
      </w:pPr>
      <w:r>
        <w:rPr>
          <w:rStyle w:val="MdStrong"/>
          <w:b/>
          <w:bCs/>
        </w:rPr>
        <w:t xml:space="preserve">Text Secondary (Dark Mode):</w:t>
      </w:r>
      <w:r>
        <w:t xml:space="preserve"> </w:t>
      </w:r>
      <w:r>
        <w:rPr>
          <w:rStyle w:val="MdCode"/>
          <w:u w:val="single"/>
        </w:rPr>
        <w:t xml:space="preserve">#A0A0A0</w:t>
      </w:r>
    </w:p>
    <w:p>
      <w:pPr>
        <w:pStyle w:val="MdListItem"/>
        <w:numPr>
          <w:ilvl w:val="0"/>
          <w:numId w:val="2"/>
        </w:numPr>
      </w:pPr>
      <w:r>
        <w:rPr>
          <w:rStyle w:val="MdStrong"/>
          <w:b/>
          <w:bCs/>
        </w:rPr>
        <w:t xml:space="preserve">Borders (Light Mode):</w:t>
      </w:r>
      <w:r>
        <w:t xml:space="preserve"> </w:t>
      </w:r>
      <w:r>
        <w:rPr>
          <w:rStyle w:val="MdCode"/>
          <w:u w:val="single"/>
        </w:rPr>
        <w:t xml:space="preserve">#E5E5E5</w:t>
      </w:r>
    </w:p>
    <w:p>
      <w:pPr>
        <w:pStyle w:val="MdListItem"/>
        <w:numPr>
          <w:ilvl w:val="0"/>
          <w:numId w:val="2"/>
        </w:numPr>
      </w:pPr>
      <w:r>
        <w:rPr>
          <w:rStyle w:val="MdStrong"/>
          <w:b/>
          <w:bCs/>
        </w:rPr>
        <w:t xml:space="preserve">Borders (Dark Mode):</w:t>
      </w:r>
      <w:r>
        <w:t xml:space="preserve"> </w:t>
      </w:r>
      <w:r>
        <w:rPr>
          <w:rStyle w:val="MdCode"/>
          <w:u w:val="single"/>
        </w:rPr>
        <w:t xml:space="preserve">#2A2A2A</w:t>
      </w:r>
    </w:p>
    <w:p>
      <w:pPr>
        <w:pStyle w:val="MdSpace"/>
        <w:spacing w:before="0" w:after="60"/>
      </w:pPr>
    </w:p>
    <w:p>
      <w:pPr>
        <w:pStyle w:val="Heading4"/>
        <w:pStyle w:val="MdHeading4"/>
      </w:pPr>
      <w:r>
        <w:t xml:space="preserve">Functional Colors</w:t>
      </w:r>
    </w:p>
    <w:p>
      <w:pPr>
        <w:pStyle w:val="MdParagraph"/>
      </w:pPr>
      <w:r>
        <w:t xml:space="preserve">These colors are consistently used to convey specific states and feedback, enhancing user comprehension and interaction.</w:t>
      </w:r>
    </w:p>
    <w:p>
      <w:pPr>
        <w:pStyle w:val="MdSpace"/>
        <w:spacing w:before="0" w:after="60"/>
      </w:pPr>
    </w:p>
    <w:p>
      <w:pPr>
        <w:pStyle w:val="MdListItem"/>
        <w:numPr>
          <w:ilvl w:val="0"/>
          <w:numId w:val="2"/>
        </w:numPr>
      </w:pPr>
      <w:r>
        <w:rPr>
          <w:rStyle w:val="MdStrong"/>
          <w:b/>
          <w:bCs/>
        </w:rPr>
        <w:t xml:space="preserve">Success:</w:t>
      </w:r>
      <w:r>
        <w:t xml:space="preserve"> </w:t>
      </w:r>
      <w:r>
        <w:rPr>
          <w:rStyle w:val="MdCode"/>
          <w:u w:val="single"/>
        </w:rPr>
        <w:t xml:space="preserve">#22C55E</w:t>
      </w:r>
    </w:p>
    <w:p>
      <w:pPr>
        <w:pStyle w:val="MdListItem"/>
        <w:numPr>
          <w:ilvl w:val="0"/>
          <w:numId w:val="2"/>
        </w:numPr>
      </w:pPr>
      <w:r>
        <w:rPr>
          <w:rStyle w:val="MdStrong"/>
          <w:b/>
          <w:bCs/>
        </w:rPr>
        <w:t xml:space="preserve">Warning:</w:t>
      </w:r>
      <w:r>
        <w:t xml:space="preserve"> </w:t>
      </w:r>
      <w:r>
        <w:rPr>
          <w:rStyle w:val="MdCode"/>
          <w:u w:val="single"/>
        </w:rPr>
        <w:t xml:space="preserve">#F59E0B</w:t>
      </w:r>
    </w:p>
    <w:p>
      <w:pPr>
        <w:pStyle w:val="MdListItem"/>
        <w:numPr>
          <w:ilvl w:val="0"/>
          <w:numId w:val="2"/>
        </w:numPr>
      </w:pPr>
      <w:r>
        <w:rPr>
          <w:rStyle w:val="MdStrong"/>
          <w:b/>
          <w:bCs/>
        </w:rPr>
        <w:t xml:space="preserve">Error:</w:t>
      </w:r>
      <w:r>
        <w:t xml:space="preserve"> </w:t>
      </w:r>
      <w:r>
        <w:rPr>
          <w:rStyle w:val="MdCode"/>
          <w:u w:val="single"/>
        </w:rPr>
        <w:t xml:space="preserve">#EF4444</w:t>
      </w:r>
    </w:p>
    <w:p>
      <w:pPr>
        <w:pStyle w:val="MdListItem"/>
        <w:numPr>
          <w:ilvl w:val="0"/>
          <w:numId w:val="2"/>
        </w:numPr>
      </w:pPr>
      <w:r>
        <w:rPr>
          <w:rStyle w:val="MdStrong"/>
          <w:b/>
          <w:bCs/>
        </w:rPr>
        <w:t xml:space="preserve">Info:</w:t>
      </w:r>
      <w:r>
        <w:t xml:space="preserve"> </w:t>
      </w:r>
      <w:r>
        <w:rPr>
          <w:rStyle w:val="MdCode"/>
          <w:u w:val="single"/>
        </w:rPr>
        <w:t xml:space="preserve">#3B82F6</w:t>
      </w:r>
    </w:p>
    <w:p>
      <w:pPr>
        <w:pStyle w:val="MdSpace"/>
        <w:spacing w:before="0" w:after="60"/>
      </w:pPr>
    </w:p>
    <w:p>
      <w:pPr>
        <w:pStyle w:val="Heading3"/>
        <w:pStyle w:val="MdHeading3"/>
      </w:pPr>
      <w:r>
        <w:t xml:space="preserve">Typography</w:t>
      </w:r>
    </w:p>
    <w:p>
      <w:pPr>
        <w:pStyle w:val="Heading4"/>
        <w:pStyle w:val="MdHeading4"/>
      </w:pPr>
      <w:r>
        <w:t xml:space="preserve">Font Family</w:t>
      </w:r>
    </w:p>
    <w:p>
      <w:pPr>
        <w:pStyle w:val="MdListItem"/>
        <w:numPr>
          <w:ilvl w:val="0"/>
          <w:numId w:val="2"/>
        </w:numPr>
      </w:pPr>
      <w:r>
        <w:rPr>
          <w:rStyle w:val="MdStrong"/>
          <w:b/>
          <w:bCs/>
        </w:rPr>
        <w:t xml:space="preserve">Headings:</w:t>
      </w:r>
      <w:r>
        <w:t xml:space="preserve"> </w:t>
      </w:r>
      <w:r>
        <w:rPr>
          <w:rStyle w:val="MdStrong"/>
          <w:b/>
          <w:bCs/>
        </w:rPr>
        <w:t xml:space="preserve">Inter, sans-serif</w:t>
      </w:r>
      <w:r>
        <w:t xml:space="preserve">. Chosen for its modern, clean aesthetic, excellent legibility across various sizes, and professional appeal. It aligns with the brand's emphasis on clarity and efficiency, making complex information digestible for business decision-makers.</w:t>
      </w:r>
    </w:p>
    <w:p>
      <w:pPr>
        <w:pStyle w:val="MdListItem"/>
        <w:numPr>
          <w:ilvl w:val="0"/>
          <w:numId w:val="2"/>
        </w:numPr>
      </w:pPr>
      <w:r>
        <w:rPr>
          <w:rStyle w:val="MdStrong"/>
          <w:b/>
          <w:bCs/>
        </w:rPr>
        <w:t xml:space="preserve">Body:</w:t>
      </w:r>
      <w:r>
        <w:t xml:space="preserve"> </w:t>
      </w:r>
      <w:r>
        <w:rPr>
          <w:rStyle w:val="MdStrong"/>
          <w:b/>
          <w:bCs/>
        </w:rPr>
        <w:t xml:space="preserve">Inter, sans-serif</w:t>
      </w:r>
      <w:r>
        <w:t xml:space="preserve">. Utilizing Inter for body text ensures consistency and maintains high readability, crucial for data-heavy interfaces and detailed explanations of product features and benefits.</w:t>
      </w:r>
    </w:p>
    <w:p>
      <w:pPr>
        <w:pStyle w:val="MdListItem"/>
        <w:numPr>
          <w:ilvl w:val="0"/>
          <w:numId w:val="2"/>
        </w:numPr>
      </w:pPr>
      <w:r>
        <w:rPr>
          <w:rStyle w:val="MdStrong"/>
          <w:b/>
          <w:bCs/>
        </w:rPr>
        <w:t xml:space="preserve">Mono (for code/technical):</w:t>
      </w:r>
      <w:r>
        <w:t xml:space="preserve"> </w:t>
      </w:r>
      <w:r>
        <w:rPr>
          <w:rStyle w:val="MdStrong"/>
          <w:b/>
          <w:bCs/>
        </w:rPr>
        <w:t xml:space="preserve">"SF Mono", "Monaco", monospace</w:t>
      </w:r>
      <w:r>
        <w:t xml:space="preserve">. This selection provides a clear, fixed-width font suitable for displaying code snippets, technical specifications, or any content requiring precise character alignment, catering to the technical audience.</w:t>
      </w:r>
    </w:p>
    <w:p>
      <w:pPr>
        <w:pStyle w:val="MdSpace"/>
        <w:spacing w:before="0" w:after="60"/>
      </w:pPr>
    </w:p>
    <w:p>
      <w:pPr>
        <w:pStyle w:val="Heading4"/>
        <w:pStyle w:val="MdHeading4"/>
      </w:pPr>
      <w:r>
        <w:t xml:space="preserve">Type Scale</w:t>
      </w:r>
    </w:p>
    <w:p>
      <w:pPr>
        <w:pStyle w:val="MdParagraph"/>
      </w:pPr>
      <w:r>
        <w:t xml:space="preserve">This comprehensive type scale ensures visual hierarchy, responsiveness, and optimal readability across all devices and content types.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Type Style</w:t>
            </w:r>
          </w:p>
        </w:tc>
        <w:tc>
          <w:tcPr>
            <w:tcMar>
              <w:top w:type="dxa" w:w="100"/>
              <w:left w:type="dxa" w:w="120"/>
              <w:bottom w:type="dxa" w:w="100"/>
              <w:right w:type="dxa" w:w="120"/>
            </w:tcMar>
            <w:vAlign w:val="center"/>
          </w:tcPr>
          <w:p>
            <w:pPr>
              <w:pStyle w:val="MdTableHeader"/>
              <w:jc w:val="left"/>
            </w:pPr>
            <w:r>
              <w:t xml:space="preserve">Desktop (px)</w:t>
            </w:r>
          </w:p>
        </w:tc>
        <w:tc>
          <w:tcPr>
            <w:tcMar>
              <w:top w:type="dxa" w:w="100"/>
              <w:left w:type="dxa" w:w="120"/>
              <w:bottom w:type="dxa" w:w="100"/>
              <w:right w:type="dxa" w:w="120"/>
            </w:tcMar>
            <w:vAlign w:val="center"/>
          </w:tcPr>
          <w:p>
            <w:pPr>
              <w:pStyle w:val="MdTableHeader"/>
              <w:jc w:val="left"/>
            </w:pPr>
            <w:r>
              <w:t xml:space="preserve">Mobile (px)</w:t>
            </w:r>
          </w:p>
        </w:tc>
        <w:tc>
          <w:tcPr>
            <w:tcMar>
              <w:top w:type="dxa" w:w="100"/>
              <w:left w:type="dxa" w:w="120"/>
              <w:bottom w:type="dxa" w:w="100"/>
              <w:right w:type="dxa" w:w="120"/>
            </w:tcMar>
            <w:vAlign w:val="center"/>
          </w:tcPr>
          <w:p>
            <w:pPr>
              <w:pStyle w:val="MdTableHeader"/>
              <w:jc w:val="left"/>
            </w:pPr>
            <w:r>
              <w:t xml:space="preserve">Font Weight</w:t>
            </w:r>
          </w:p>
        </w:tc>
        <w:tc>
          <w:tcPr>
            <w:tcBorders>
              <w:right w:val="none"/>
            </w:tcBorders>
            <w:tcMar>
              <w:top w:type="dxa" w:w="100"/>
              <w:left w:type="dxa" w:w="120"/>
              <w:bottom w:type="dxa" w:w="100"/>
              <w:right w:type="dxa" w:w="120"/>
            </w:tcMar>
            <w:vAlign w:val="center"/>
          </w:tcPr>
          <w:p>
            <w:pPr>
              <w:pStyle w:val="MdTableHeader"/>
              <w:jc w:val="left"/>
            </w:pPr>
            <w:r>
              <w:t xml:space="preserve">Line Height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H1</w:t>
            </w:r>
          </w:p>
        </w:tc>
        <w:tc>
          <w:tcPr>
            <w:tcMar>
              <w:top w:type="dxa" w:w="80"/>
              <w:left w:type="dxa" w:w="120"/>
              <w:bottom w:type="dxa" w:w="80"/>
              <w:right w:type="dxa" w:w="120"/>
            </w:tcMar>
            <w:vAlign w:val="center"/>
          </w:tcPr>
          <w:p>
            <w:pPr>
              <w:pStyle w:val="MdTableCell"/>
              <w:jc w:val="left"/>
            </w:pPr>
            <w:r>
              <w:t xml:space="preserve">48px</w:t>
            </w:r>
          </w:p>
        </w:tc>
        <w:tc>
          <w:tcPr>
            <w:tcMar>
              <w:top w:type="dxa" w:w="80"/>
              <w:left w:type="dxa" w:w="120"/>
              <w:bottom w:type="dxa" w:w="80"/>
              <w:right w:type="dxa" w:w="120"/>
            </w:tcMar>
            <w:vAlign w:val="center"/>
          </w:tcPr>
          <w:p>
            <w:pPr>
              <w:pStyle w:val="MdTableCell"/>
              <w:jc w:val="left"/>
            </w:pPr>
            <w:r>
              <w:t xml:space="preserve">36px</w:t>
            </w:r>
          </w:p>
        </w:tc>
        <w:tc>
          <w:tcPr>
            <w:tcMar>
              <w:top w:type="dxa" w:w="80"/>
              <w:left w:type="dxa" w:w="120"/>
              <w:bottom w:type="dxa" w:w="80"/>
              <w:right w:type="dxa" w:w="120"/>
            </w:tcMar>
            <w:vAlign w:val="center"/>
          </w:tcPr>
          <w:p>
            <w:pPr>
              <w:pStyle w:val="MdTableCell"/>
              <w:jc w:val="left"/>
            </w:pPr>
            <w:r>
              <w:t xml:space="preserve">700</w:t>
            </w:r>
          </w:p>
        </w:tc>
        <w:tc>
          <w:tcPr>
            <w:tcBorders>
              <w:right w:val="none"/>
            </w:tcBorders>
            <w:tcMar>
              <w:top w:type="dxa" w:w="80"/>
              <w:left w:type="dxa" w:w="120"/>
              <w:bottom w:type="dxa" w:w="80"/>
              <w:right w:type="dxa" w:w="120"/>
            </w:tcMar>
            <w:vAlign w:val="center"/>
          </w:tcPr>
          <w:p>
            <w:pPr>
              <w:pStyle w:val="MdTableCell"/>
              <w:jc w:val="left"/>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H2</w:t>
            </w:r>
          </w:p>
        </w:tc>
        <w:tc>
          <w:tcPr>
            <w:tcMar>
              <w:top w:type="dxa" w:w="80"/>
              <w:left w:type="dxa" w:w="120"/>
              <w:bottom w:type="dxa" w:w="80"/>
              <w:right w:type="dxa" w:w="120"/>
            </w:tcMar>
            <w:vAlign w:val="center"/>
          </w:tcPr>
          <w:p>
            <w:pPr>
              <w:pStyle w:val="MdTableCell"/>
              <w:jc w:val="left"/>
            </w:pPr>
            <w:r>
              <w:t xml:space="preserve">36px</w:t>
            </w:r>
          </w:p>
        </w:tc>
        <w:tc>
          <w:tcPr>
            <w:tcMar>
              <w:top w:type="dxa" w:w="80"/>
              <w:left w:type="dxa" w:w="120"/>
              <w:bottom w:type="dxa" w:w="80"/>
              <w:right w:type="dxa" w:w="120"/>
            </w:tcMar>
            <w:vAlign w:val="center"/>
          </w:tcPr>
          <w:p>
            <w:pPr>
              <w:pStyle w:val="MdTableCell"/>
              <w:jc w:val="left"/>
            </w:pPr>
            <w:r>
              <w:t xml:space="preserve">28px</w:t>
            </w:r>
          </w:p>
        </w:tc>
        <w:tc>
          <w:tcPr>
            <w:tcMar>
              <w:top w:type="dxa" w:w="80"/>
              <w:left w:type="dxa" w:w="120"/>
              <w:bottom w:type="dxa" w:w="80"/>
              <w:right w:type="dxa" w:w="120"/>
            </w:tcMar>
            <w:vAlign w:val="center"/>
          </w:tcPr>
          <w:p>
            <w:pPr>
              <w:pStyle w:val="MdTableCell"/>
              <w:jc w:val="left"/>
            </w:pPr>
            <w:r>
              <w:t xml:space="preserve">700</w:t>
            </w:r>
          </w:p>
        </w:tc>
        <w:tc>
          <w:tcPr>
            <w:tcBorders>
              <w:right w:val="none"/>
            </w:tcBorders>
            <w:tcMar>
              <w:top w:type="dxa" w:w="80"/>
              <w:left w:type="dxa" w:w="120"/>
              <w:bottom w:type="dxa" w:w="80"/>
              <w:right w:type="dxa" w:w="120"/>
            </w:tcMar>
            <w:vAlign w:val="center"/>
          </w:tcPr>
          <w:p>
            <w:pPr>
              <w:pStyle w:val="MdTableCell"/>
              <w:jc w:val="left"/>
            </w:pPr>
            <w:r>
              <w:t xml:space="preserve">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H3</w:t>
            </w:r>
          </w:p>
        </w:tc>
        <w:tc>
          <w:tcPr>
            <w:tcMar>
              <w:top w:type="dxa" w:w="80"/>
              <w:left w:type="dxa" w:w="120"/>
              <w:bottom w:type="dxa" w:w="80"/>
              <w:right w:type="dxa" w:w="120"/>
            </w:tcMar>
            <w:vAlign w:val="center"/>
          </w:tcPr>
          <w:p>
            <w:pPr>
              <w:pStyle w:val="MdTableCell"/>
              <w:jc w:val="left"/>
            </w:pPr>
            <w:r>
              <w:t xml:space="preserve">28px</w:t>
            </w:r>
          </w:p>
        </w:tc>
        <w:tc>
          <w:tcPr>
            <w:tcMar>
              <w:top w:type="dxa" w:w="80"/>
              <w:left w:type="dxa" w:w="120"/>
              <w:bottom w:type="dxa" w:w="80"/>
              <w:right w:type="dxa" w:w="120"/>
            </w:tcMar>
            <w:vAlign w:val="center"/>
          </w:tcPr>
          <w:p>
            <w:pPr>
              <w:pStyle w:val="MdTableCell"/>
              <w:jc w:val="left"/>
            </w:pPr>
            <w:r>
              <w:t xml:space="preserve">24px</w:t>
            </w:r>
          </w:p>
        </w:tc>
        <w:tc>
          <w:tcPr>
            <w:tcMar>
              <w:top w:type="dxa" w:w="80"/>
              <w:left w:type="dxa" w:w="120"/>
              <w:bottom w:type="dxa" w:w="80"/>
              <w:right w:type="dxa" w:w="120"/>
            </w:tcMar>
            <w:vAlign w:val="center"/>
          </w:tcPr>
          <w:p>
            <w:pPr>
              <w:pStyle w:val="MdTableCell"/>
              <w:jc w:val="left"/>
            </w:pPr>
            <w:r>
              <w:t xml:space="preserve">600</w:t>
            </w:r>
          </w:p>
        </w:tc>
        <w:tc>
          <w:tcPr>
            <w:tcBorders>
              <w:right w:val="none"/>
            </w:tcBorders>
            <w:tcMar>
              <w:top w:type="dxa" w:w="80"/>
              <w:left w:type="dxa" w:w="120"/>
              <w:bottom w:type="dxa" w:w="80"/>
              <w:right w:type="dxa" w:w="120"/>
            </w:tcMar>
            <w:vAlign w:val="center"/>
          </w:tcPr>
          <w:p>
            <w:pPr>
              <w:pStyle w:val="MdTableCell"/>
              <w:jc w:val="left"/>
            </w:pPr>
            <w:r>
              <w:t xml:space="preserve">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H4</w:t>
            </w:r>
          </w:p>
        </w:tc>
        <w:tc>
          <w:tcPr>
            <w:tcMar>
              <w:top w:type="dxa" w:w="80"/>
              <w:left w:type="dxa" w:w="120"/>
              <w:bottom w:type="dxa" w:w="80"/>
              <w:right w:type="dxa" w:w="120"/>
            </w:tcMar>
            <w:vAlign w:val="center"/>
          </w:tcPr>
          <w:p>
            <w:pPr>
              <w:pStyle w:val="MdTableCell"/>
              <w:jc w:val="left"/>
            </w:pPr>
            <w:r>
              <w:t xml:space="preserve">22px</w:t>
            </w:r>
          </w:p>
        </w:tc>
        <w:tc>
          <w:tcPr>
            <w:tcMar>
              <w:top w:type="dxa" w:w="80"/>
              <w:left w:type="dxa" w:w="120"/>
              <w:bottom w:type="dxa" w:w="80"/>
              <w:right w:type="dxa" w:w="120"/>
            </w:tcMar>
            <w:vAlign w:val="center"/>
          </w:tcPr>
          <w:p>
            <w:pPr>
              <w:pStyle w:val="MdTableCell"/>
              <w:jc w:val="left"/>
            </w:pPr>
            <w:r>
              <w:t xml:space="preserve">22px</w:t>
            </w:r>
          </w:p>
        </w:tc>
        <w:tc>
          <w:tcPr>
            <w:tcMar>
              <w:top w:type="dxa" w:w="80"/>
              <w:left w:type="dxa" w:w="120"/>
              <w:bottom w:type="dxa" w:w="80"/>
              <w:right w:type="dxa" w:w="120"/>
            </w:tcMar>
            <w:vAlign w:val="center"/>
          </w:tcPr>
          <w:p>
            <w:pPr>
              <w:pStyle w:val="MdTableCell"/>
              <w:jc w:val="left"/>
            </w:pPr>
            <w:r>
              <w:t xml:space="preserve">600</w:t>
            </w:r>
          </w:p>
        </w:tc>
        <w:tc>
          <w:tcPr>
            <w:tcBorders>
              <w:right w:val="none"/>
            </w:tcBorders>
            <w:tcMar>
              <w:top w:type="dxa" w:w="80"/>
              <w:left w:type="dxa" w:w="120"/>
              <w:bottom w:type="dxa" w:w="80"/>
              <w:right w:type="dxa" w:w="120"/>
            </w:tcMar>
            <w:vAlign w:val="center"/>
          </w:tcPr>
          <w:p>
            <w:pPr>
              <w:pStyle w:val="MdTableCell"/>
              <w:jc w:val="left"/>
            </w:pPr>
            <w:r>
              <w:t xml:space="preserve">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Body Large</w:t>
            </w:r>
          </w:p>
        </w:tc>
        <w:tc>
          <w:tcPr>
            <w:tcMar>
              <w:top w:type="dxa" w:w="80"/>
              <w:left w:type="dxa" w:w="120"/>
              <w:bottom w:type="dxa" w:w="80"/>
              <w:right w:type="dxa" w:w="120"/>
            </w:tcMar>
            <w:vAlign w:val="center"/>
          </w:tcPr>
          <w:p>
            <w:pPr>
              <w:pStyle w:val="MdTableCell"/>
              <w:jc w:val="left"/>
            </w:pPr>
            <w:r>
              <w:t xml:space="preserve">18px</w:t>
            </w:r>
          </w:p>
        </w:tc>
        <w:tc>
          <w:tcPr>
            <w:tcMar>
              <w:top w:type="dxa" w:w="80"/>
              <w:left w:type="dxa" w:w="120"/>
              <w:bottom w:type="dxa" w:w="80"/>
              <w:right w:type="dxa" w:w="120"/>
            </w:tcMar>
            <w:vAlign w:val="center"/>
          </w:tcPr>
          <w:p>
            <w:pPr>
              <w:pStyle w:val="MdTableCell"/>
              <w:jc w:val="left"/>
            </w:pPr>
            <w:r>
              <w:t xml:space="preserve">18px</w:t>
            </w:r>
          </w:p>
        </w:tc>
        <w:tc>
          <w:tcPr>
            <w:tcMar>
              <w:top w:type="dxa" w:w="80"/>
              <w:left w:type="dxa" w:w="120"/>
              <w:bottom w:type="dxa" w:w="80"/>
              <w:right w:type="dxa" w:w="120"/>
            </w:tcMar>
            <w:vAlign w:val="center"/>
          </w:tcPr>
          <w:p>
            <w:pPr>
              <w:pStyle w:val="MdTableCell"/>
              <w:jc w:val="left"/>
            </w:pPr>
            <w:r>
              <w:t xml:space="preserve">400</w:t>
            </w:r>
          </w:p>
        </w:tc>
        <w:tc>
          <w:tcPr>
            <w:tcBorders>
              <w:right w:val="none"/>
            </w:tcBorders>
            <w:tcMar>
              <w:top w:type="dxa" w:w="80"/>
              <w:left w:type="dxa" w:w="120"/>
              <w:bottom w:type="dxa" w:w="80"/>
              <w:right w:type="dxa" w:w="120"/>
            </w:tcMar>
            <w:vAlign w:val="center"/>
          </w:tcPr>
          <w:p>
            <w:pPr>
              <w:pStyle w:val="MdTableCell"/>
              <w:jc w:val="left"/>
            </w:pPr>
            <w: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Body</w:t>
            </w:r>
          </w:p>
        </w:tc>
        <w:tc>
          <w:tcPr>
            <w:tcMar>
              <w:top w:type="dxa" w:w="80"/>
              <w:left w:type="dxa" w:w="120"/>
              <w:bottom w:type="dxa" w:w="80"/>
              <w:right w:type="dxa" w:w="120"/>
            </w:tcMar>
            <w:vAlign w:val="center"/>
          </w:tcPr>
          <w:p>
            <w:pPr>
              <w:pStyle w:val="MdTableCell"/>
              <w:jc w:val="left"/>
            </w:pPr>
            <w:r>
              <w:t xml:space="preserve">16px</w:t>
            </w:r>
          </w:p>
        </w:tc>
        <w:tc>
          <w:tcPr>
            <w:tcMar>
              <w:top w:type="dxa" w:w="80"/>
              <w:left w:type="dxa" w:w="120"/>
              <w:bottom w:type="dxa" w:w="80"/>
              <w:right w:type="dxa" w:w="120"/>
            </w:tcMar>
            <w:vAlign w:val="center"/>
          </w:tcPr>
          <w:p>
            <w:pPr>
              <w:pStyle w:val="MdTableCell"/>
              <w:jc w:val="left"/>
            </w:pPr>
            <w:r>
              <w:t xml:space="preserve">16px</w:t>
            </w:r>
          </w:p>
        </w:tc>
        <w:tc>
          <w:tcPr>
            <w:tcMar>
              <w:top w:type="dxa" w:w="80"/>
              <w:left w:type="dxa" w:w="120"/>
              <w:bottom w:type="dxa" w:w="80"/>
              <w:right w:type="dxa" w:w="120"/>
            </w:tcMar>
            <w:vAlign w:val="center"/>
          </w:tcPr>
          <w:p>
            <w:pPr>
              <w:pStyle w:val="MdTableCell"/>
              <w:jc w:val="left"/>
            </w:pPr>
            <w:r>
              <w:t xml:space="preserve">400</w:t>
            </w:r>
          </w:p>
        </w:tc>
        <w:tc>
          <w:tcPr>
            <w:tcBorders>
              <w:right w:val="none"/>
            </w:tcBorders>
            <w:tcMar>
              <w:top w:type="dxa" w:w="80"/>
              <w:left w:type="dxa" w:w="120"/>
              <w:bottom w:type="dxa" w:w="80"/>
              <w:right w:type="dxa" w:w="120"/>
            </w:tcMar>
            <w:vAlign w:val="center"/>
          </w:tcPr>
          <w:p>
            <w:pPr>
              <w:pStyle w:val="MdTableCell"/>
              <w:jc w:val="left"/>
            </w:pPr>
            <w: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Small</w:t>
            </w:r>
          </w:p>
        </w:tc>
        <w:tc>
          <w:tcPr>
            <w:tcMar>
              <w:top w:type="dxa" w:w="80"/>
              <w:left w:type="dxa" w:w="120"/>
              <w:bottom w:type="dxa" w:w="80"/>
              <w:right w:type="dxa" w:w="120"/>
            </w:tcMar>
            <w:vAlign w:val="center"/>
          </w:tcPr>
          <w:p>
            <w:pPr>
              <w:pStyle w:val="MdTableCell"/>
              <w:jc w:val="left"/>
            </w:pPr>
            <w:r>
              <w:t xml:space="preserve">14px</w:t>
            </w:r>
          </w:p>
        </w:tc>
        <w:tc>
          <w:tcPr>
            <w:tcMar>
              <w:top w:type="dxa" w:w="80"/>
              <w:left w:type="dxa" w:w="120"/>
              <w:bottom w:type="dxa" w:w="80"/>
              <w:right w:type="dxa" w:w="120"/>
            </w:tcMar>
            <w:vAlign w:val="center"/>
          </w:tcPr>
          <w:p>
            <w:pPr>
              <w:pStyle w:val="MdTableCell"/>
              <w:jc w:val="left"/>
            </w:pPr>
            <w:r>
              <w:t xml:space="preserve">14px</w:t>
            </w:r>
          </w:p>
        </w:tc>
        <w:tc>
          <w:tcPr>
            <w:tcMar>
              <w:top w:type="dxa" w:w="80"/>
              <w:left w:type="dxa" w:w="120"/>
              <w:bottom w:type="dxa" w:w="80"/>
              <w:right w:type="dxa" w:w="120"/>
            </w:tcMar>
            <w:vAlign w:val="center"/>
          </w:tcPr>
          <w:p>
            <w:pPr>
              <w:pStyle w:val="MdTableCell"/>
              <w:jc w:val="left"/>
            </w:pPr>
            <w:r>
              <w:t xml:space="preserve">400</w:t>
            </w:r>
          </w:p>
        </w:tc>
        <w:tc>
          <w:tcPr>
            <w:tcBorders>
              <w:right w:val="none"/>
            </w:tcBorders>
            <w:tcMar>
              <w:top w:type="dxa" w:w="80"/>
              <w:left w:type="dxa" w:w="120"/>
              <w:bottom w:type="dxa" w:w="80"/>
              <w:right w:type="dxa" w:w="120"/>
            </w:tcMar>
            <w:vAlign w:val="center"/>
          </w:tcPr>
          <w:p>
            <w:pPr>
              <w:pStyle w:val="MdTableCell"/>
              <w:jc w:val="left"/>
            </w:pPr>
            <w:r>
              <w:t xml:space="preserve">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Caption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12px</w:t>
            </w:r>
          </w:p>
        </w:tc>
        <w:tc>
          <w:tcPr>
            <w:tcBorders>
              <w:bottom w:val="single" w:color="E1E4E8" w:sz="4"/>
            </w:tcBorders>
            <w:tcMar>
              <w:top w:type="dxa" w:w="80"/>
              <w:left w:type="dxa" w:w="120"/>
              <w:bottom w:type="dxa" w:w="80"/>
              <w:right w:type="dxa" w:w="120"/>
            </w:tcMar>
            <w:vAlign w:val="center"/>
          </w:tcPr>
          <w:p>
            <w:pPr>
              <w:pStyle w:val="MdTableCell"/>
              <w:jc w:val="left"/>
            </w:pPr>
            <w:r>
              <w:t xml:space="preserve">12px</w:t>
            </w:r>
          </w:p>
        </w:tc>
        <w:tc>
          <w:tcPr>
            <w:tcBorders>
              <w:bottom w:val="single" w:color="E1E4E8" w:sz="4"/>
            </w:tcBorders>
            <w:tcMar>
              <w:top w:type="dxa" w:w="80"/>
              <w:left w:type="dxa" w:w="120"/>
              <w:bottom w:type="dxa" w:w="80"/>
              <w:right w:type="dxa" w:w="120"/>
            </w:tcMar>
            <w:vAlign w:val="center"/>
          </w:tcPr>
          <w:p>
            <w:pPr>
              <w:pStyle w:val="MdTableCell"/>
              <w:jc w:val="left"/>
            </w:pPr>
            <w:r>
              <w:t xml:space="preserve">400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1.4</w:t>
            </w:r>
          </w:p>
        </w:tc>
      </w:tr>
    </w:tbl>
    <w:p>
      <w:pPr>
        <w:pStyle w:val="Heading4"/>
        <w:pStyle w:val="MdHeading4"/>
      </w:pPr>
      <w:r>
        <w:t xml:space="preserve">Font Weights</w:t>
      </w:r>
    </w:p>
    <w:p>
      <w:pPr>
        <w:pStyle w:val="MdParagraph"/>
      </w:pPr>
      <w:r>
        <w:t xml:space="preserve">Standardized font weights to establish clear visual hierarchy and emphasis.</w:t>
      </w:r>
    </w:p>
    <w:p>
      <w:pPr>
        <w:pStyle w:val="MdSpace"/>
        <w:spacing w:before="0" w:after="60"/>
      </w:pPr>
    </w:p>
    <w:p>
      <w:pPr>
        <w:pStyle w:val="MdListItem"/>
        <w:numPr>
          <w:ilvl w:val="0"/>
          <w:numId w:val="2"/>
        </w:numPr>
      </w:pPr>
      <w:r>
        <w:t xml:space="preserve">Light (300)</w:t>
      </w:r>
    </w:p>
    <w:p>
      <w:pPr>
        <w:pStyle w:val="MdListItem"/>
        <w:numPr>
          <w:ilvl w:val="0"/>
          <w:numId w:val="2"/>
        </w:numPr>
      </w:pPr>
      <w:r>
        <w:t xml:space="preserve">Regular (400)</w:t>
      </w:r>
    </w:p>
    <w:p>
      <w:pPr>
        <w:pStyle w:val="MdListItem"/>
        <w:numPr>
          <w:ilvl w:val="0"/>
          <w:numId w:val="2"/>
        </w:numPr>
      </w:pPr>
      <w:r>
        <w:t xml:space="preserve">Medium (500)</w:t>
      </w:r>
    </w:p>
    <w:p>
      <w:pPr>
        <w:pStyle w:val="MdListItem"/>
        <w:numPr>
          <w:ilvl w:val="0"/>
          <w:numId w:val="2"/>
        </w:numPr>
      </w:pPr>
      <w:r>
        <w:t xml:space="preserve">Semibold (600)</w:t>
      </w:r>
    </w:p>
    <w:p>
      <w:pPr>
        <w:pStyle w:val="MdListItem"/>
        <w:numPr>
          <w:ilvl w:val="0"/>
          <w:numId w:val="2"/>
        </w:numPr>
      </w:pPr>
      <w:r>
        <w:t xml:space="preserve">Bold (700)</w:t>
      </w:r>
    </w:p>
    <w:p>
      <w:pPr>
        <w:pStyle w:val="MdSpace"/>
        <w:spacing w:before="0" w:after="60"/>
      </w:pPr>
    </w:p>
    <w:p>
      <w:pPr>
        <w:pStyle w:val="Heading3"/>
        <w:pStyle w:val="MdHeading3"/>
      </w:pPr>
      <w:r>
        <w:t xml:space="preserve">UI Components</w:t>
      </w:r>
    </w:p>
    <w:p>
      <w:pPr>
        <w:pStyle w:val="Heading4"/>
        <w:pStyle w:val="MdHeading4"/>
      </w:pPr>
      <w:r>
        <w:t xml:space="preserve">21st.dev Components</w:t>
      </w:r>
    </w:p>
    <w:p>
      <w:pPr>
        <w:pStyle w:val="MdParagraph"/>
      </w:pPr>
      <w:r>
        <w:t xml:space="preserve">Leveraging a modern UI library like 21st.dev will provide a robust foundation for common interface elements, ensuring consistency and accelerating development. Categories include:</w:t>
      </w:r>
    </w:p>
    <w:p>
      <w:pPr>
        <w:pStyle w:val="MdSpace"/>
        <w:spacing w:before="0" w:after="60"/>
      </w:pPr>
    </w:p>
    <w:p>
      <w:pPr>
        <w:pStyle w:val="MdListItem"/>
        <w:numPr>
          <w:ilvl w:val="0"/>
          <w:numId w:val="2"/>
        </w:numPr>
      </w:pPr>
      <w:r>
        <w:t xml:space="preserve">Navigation (e.g., Navbar, Sidebar, Breadcrumbs)</w:t>
      </w:r>
    </w:p>
    <w:p>
      <w:pPr>
        <w:pStyle w:val="MdListItem"/>
        <w:numPr>
          <w:ilvl w:val="0"/>
          <w:numId w:val="2"/>
        </w:numPr>
      </w:pPr>
      <w:r>
        <w:t xml:space="preserve">Layout (e.g., Grid, Stack, Container)</w:t>
      </w:r>
    </w:p>
    <w:p>
      <w:pPr>
        <w:pStyle w:val="MdListItem"/>
        <w:numPr>
          <w:ilvl w:val="0"/>
          <w:numId w:val="2"/>
        </w:numPr>
      </w:pPr>
      <w:r>
        <w:t xml:space="preserve">Forms (e.g., Input, Select, Checkbox, Radio, Button)</w:t>
      </w:r>
    </w:p>
    <w:p>
      <w:pPr>
        <w:pStyle w:val="MdListItem"/>
        <w:numPr>
          <w:ilvl w:val="0"/>
          <w:numId w:val="2"/>
        </w:numPr>
      </w:pPr>
      <w:r>
        <w:t xml:space="preserve">Feedback (e.g., Alert, Toast, Spinner, Progress Bar)</w:t>
      </w:r>
    </w:p>
    <w:p>
      <w:pPr>
        <w:pStyle w:val="MdListItem"/>
        <w:numPr>
          <w:ilvl w:val="0"/>
          <w:numId w:val="2"/>
        </w:numPr>
      </w:pPr>
      <w:r>
        <w:t xml:space="preserve">Data Display (e.g., Table, Card, Badge, Avatar)</w:t>
      </w:r>
    </w:p>
    <w:p>
      <w:pPr>
        <w:pStyle w:val="MdListItem"/>
        <w:numPr>
          <w:ilvl w:val="0"/>
          <w:numId w:val="2"/>
        </w:numPr>
      </w:pPr>
      <w:r>
        <w:t xml:space="preserve">Disclosure (e.g., Accordion, Tabs, Tooltip)</w:t>
      </w:r>
    </w:p>
    <w:p>
      <w:pPr>
        <w:pStyle w:val="MdSpace"/>
        <w:spacing w:before="0" w:after="60"/>
      </w:pPr>
    </w:p>
    <w:p>
      <w:pPr>
        <w:pStyle w:val="Heading4"/>
        <w:pStyle w:val="MdHeading4"/>
      </w:pPr>
      <w:r>
        <w:t xml:space="preserve">MagicUI Components</w:t>
      </w:r>
    </w:p>
    <w:p>
      <w:pPr>
        <w:pStyle w:val="MdParagraph"/>
      </w:pPr>
      <w:r>
        <w:t xml:space="preserve">To enhance user engagement and provide a polished, modern feel, specific animated components from a library like MagicUI will be integrated, particularly for showcasing dynamic data and user interactions.</w:t>
      </w:r>
    </w:p>
    <w:p>
      <w:pPr>
        <w:pStyle w:val="MdSpace"/>
        <w:spacing w:before="0" w:after="60"/>
      </w:pPr>
    </w:p>
    <w:p>
      <w:pPr>
        <w:pStyle w:val="MdListItem"/>
        <w:numPr>
          <w:ilvl w:val="0"/>
          <w:numId w:val="2"/>
        </w:numPr>
      </w:pPr>
      <w:r>
        <w:t xml:space="preserve">Animated Cards (for displaying key metrics or feature highlights)</w:t>
      </w:r>
    </w:p>
    <w:p>
      <w:pPr>
        <w:pStyle w:val="MdListItem"/>
        <w:numPr>
          <w:ilvl w:val="0"/>
          <w:numId w:val="2"/>
        </w:numPr>
      </w:pPr>
      <w:r>
        <w:t xml:space="preserve">Hover Effects (for interactive elements like CTAs and navigation items)</w:t>
      </w:r>
    </w:p>
    <w:p>
      <w:pPr>
        <w:pStyle w:val="MdListItem"/>
        <w:numPr>
          <w:ilvl w:val="0"/>
          <w:numId w:val="2"/>
        </w:numPr>
      </w:pPr>
      <w:r>
        <w:t xml:space="preserve">Scroll Animations (for a dynamic and engaging content flow, especially in the Hero and Features sections)</w:t>
      </w:r>
    </w:p>
    <w:p>
      <w:pPr>
        <w:pStyle w:val="MdListItem"/>
        <w:numPr>
          <w:ilvl w:val="0"/>
          <w:numId w:val="2"/>
        </w:numPr>
      </w:pPr>
      <w:r>
        <w:t xml:space="preserve">Testimonial Carousels (for showcasing customer success stories and social proof)</w:t>
      </w:r>
    </w:p>
    <w:p>
      <w:pPr>
        <w:pStyle w:val="MdListItem"/>
        <w:numPr>
          <w:ilvl w:val="0"/>
          <w:numId w:val="2"/>
        </w:numPr>
      </w:pPr>
      <w:r>
        <w:t xml:space="preserve">Animated Icons (for subtle feedback and visual interest, particularly in functional areas)</w:t>
      </w:r>
    </w:p>
    <w:p>
      <w:pPr>
        <w:pStyle w:val="MdSpace"/>
        <w:spacing w:before="0" w:after="60"/>
      </w:pPr>
    </w:p>
    <w:p>
      <w:pPr>
        <w:pStyle w:val="Heading4"/>
        <w:pStyle w:val="MdHeading4"/>
      </w:pPr>
      <w:r>
        <w:t xml:space="preserve">reactbits.dev Components</w:t>
      </w:r>
    </w:p>
    <w:p>
      <w:pPr>
        <w:pStyle w:val="MdParagraph"/>
      </w:pPr>
      <w:r>
        <w:t xml:space="preserve">Similar to 21st.dev, reactbits.dev offers a comprehensive set of components that will be utilized for building a flexible and scalable UI, especially for complex data visualizations and interactive elements.</w:t>
      </w:r>
    </w:p>
    <w:p>
      <w:pPr>
        <w:pStyle w:val="MdSpace"/>
        <w:spacing w:before="0" w:after="60"/>
      </w:pPr>
    </w:p>
    <w:p>
      <w:pPr>
        <w:pStyle w:val="MdListItem"/>
        <w:numPr>
          <w:ilvl w:val="0"/>
          <w:numId w:val="2"/>
        </w:numPr>
      </w:pPr>
      <w:r>
        <w:t xml:space="preserve">Navigation (e.g., Dropdown Menus, Pagination)</w:t>
      </w:r>
    </w:p>
    <w:p>
      <w:pPr>
        <w:pStyle w:val="MdListItem"/>
        <w:numPr>
          <w:ilvl w:val="0"/>
          <w:numId w:val="2"/>
        </w:numPr>
      </w:pPr>
      <w:r>
        <w:t xml:space="preserve">Layout (e.g., Flexbox utilities, Spacing)</w:t>
      </w:r>
    </w:p>
    <w:p>
      <w:pPr>
        <w:pStyle w:val="MdListItem"/>
        <w:numPr>
          <w:ilvl w:val="0"/>
          <w:numId w:val="2"/>
        </w:numPr>
      </w:pPr>
      <w:r>
        <w:t xml:space="preserve">Forms (e.g., Date Picker, File Upload)</w:t>
      </w:r>
    </w:p>
    <w:p>
      <w:pPr>
        <w:pStyle w:val="MdListItem"/>
        <w:numPr>
          <w:ilvl w:val="0"/>
          <w:numId w:val="2"/>
        </w:numPr>
      </w:pPr>
      <w:r>
        <w:t xml:space="preserve">Feedback (e.g., Modal, Drawer)</w:t>
      </w:r>
    </w:p>
    <w:p>
      <w:pPr>
        <w:pStyle w:val="MdListItem"/>
        <w:numPr>
          <w:ilvl w:val="0"/>
          <w:numId w:val="2"/>
        </w:numPr>
      </w:pPr>
      <w:r>
        <w:t xml:space="preserve">Data Display (e.g., List, Calendar, Charts)</w:t>
      </w:r>
    </w:p>
    <w:p>
      <w:pPr>
        <w:pStyle w:val="MdListItem"/>
        <w:numPr>
          <w:ilvl w:val="0"/>
          <w:numId w:val="2"/>
        </w:numPr>
      </w:pPr>
      <w:r>
        <w:t xml:space="preserve">Disclosure (e.g., Popover, Dialog)</w:t>
      </w:r>
    </w:p>
    <w:p>
      <w:pPr>
        <w:pStyle w:val="MdSpace"/>
        <w:spacing w:before="0" w:after="60"/>
      </w:pPr>
    </w:p>
    <w:p>
      <w:pPr>
        <w:pStyle w:val="Heading4"/>
        <w:pStyle w:val="MdHeading4"/>
      </w:pPr>
      <w:r>
        <w:t xml:space="preserve">Custom Components</w:t>
      </w:r>
    </w:p>
    <w:p>
      <w:pPr>
        <w:pStyle w:val="MdParagraph"/>
      </w:pPr>
      <w:r>
        <w:t xml:space="preserve">To address the unique functionalities of the AI-Powered Sales Intelligence Platform, several custom components will be developed, focusing on data visualization, interaction, and lead conversion.</w:t>
      </w:r>
    </w:p>
    <w:p>
      <w:pPr>
        <w:pStyle w:val="MdSpace"/>
        <w:spacing w:before="0" w:after="60"/>
      </w:pPr>
    </w:p>
    <w:p>
      <w:pPr>
        <w:pStyle w:val="MdListItem"/>
        <w:numPr>
          <w:ilvl w:val="0"/>
          <w:numId w:val="2"/>
        </w:numPr>
      </w:pPr>
      <w:r>
        <w:rPr>
          <w:rStyle w:val="MdStrong"/>
          <w:b/>
          <w:bCs/>
        </w:rPr>
        <w:t xml:space="preserve">ROI Calculator:</w:t>
      </w:r>
      <w:r>
        <w:t xml:space="preserve"> An interactive tool to demonstrate personalized value, as detailed in the PRD.</w:t>
      </w:r>
    </w:p>
    <w:p>
      <w:pPr>
        <w:pStyle w:val="MdListItem"/>
        <w:numPr>
          <w:ilvl w:val="0"/>
          <w:numId w:val="2"/>
        </w:numPr>
      </w:pPr>
      <w:r>
        <w:rPr>
          <w:rStyle w:val="MdStrong"/>
          <w:b/>
          <w:bCs/>
        </w:rPr>
        <w:t xml:space="preserve">Predictive Dashboard Widgets:</w:t>
      </w:r>
      <w:r>
        <w:t xml:space="preserve"> Customizable widgets displaying AI-driven lead scores, pipeline health, and forecasted revenue.</w:t>
      </w:r>
    </w:p>
    <w:p>
      <w:pPr>
        <w:pStyle w:val="MdListItem"/>
        <w:numPr>
          <w:ilvl w:val="0"/>
          <w:numId w:val="2"/>
        </w:numPr>
      </w:pPr>
      <w:r>
        <w:rPr>
          <w:rStyle w:val="MdStrong"/>
          <w:b/>
          <w:bCs/>
        </w:rPr>
        <w:t xml:space="preserve">Dynamic Case Study Viewer:</w:t>
      </w:r>
      <w:r>
        <w:t xml:space="preserve"> An interactive component to present featured case studies with key results and customer quotes.</w:t>
      </w:r>
    </w:p>
    <w:p>
      <w:pPr>
        <w:pStyle w:val="MdListItem"/>
        <w:numPr>
          <w:ilvl w:val="0"/>
          <w:numId w:val="2"/>
        </w:numPr>
      </w:pPr>
      <w:r>
        <w:rPr>
          <w:rStyle w:val="MdStrong"/>
          <w:b/>
          <w:bCs/>
        </w:rPr>
        <w:t xml:space="preserve">Integrated Demo Request Form:</w:t>
      </w:r>
      <w:r>
        <w:t xml:space="preserve"> A streamlined form with real-time validation and CRM integration for lead capture.</w:t>
      </w:r>
    </w:p>
    <w:p>
      <w:pPr>
        <w:pStyle w:val="MdSpace"/>
        <w:spacing w:before="0" w:after="60"/>
      </w:pPr>
    </w:p>
    <w:p>
      <w:pPr>
        <w:pStyle w:val="Heading3"/>
        <w:pStyle w:val="MdHeading3"/>
      </w:pPr>
      <w:r>
        <w:t xml:space="preserve">Micro-Interactions</w:t>
      </w:r>
    </w:p>
    <w:p>
      <w:pPr>
        <w:pStyle w:val="MdParagraph"/>
      </w:pPr>
      <w:r>
        <w:t xml:space="preserve">Subtle animations will be implemented to provide immediate feedback, enhance usability, and create a delightful, professional user experience.</w:t>
      </w:r>
    </w:p>
    <w:p>
      <w:pPr>
        <w:pStyle w:val="MdSpace"/>
        <w:spacing w:before="0" w:after="60"/>
      </w:pPr>
    </w:p>
    <w:p>
      <w:pPr>
        <w:pStyle w:val="MdListItem"/>
        <w:numPr>
          <w:ilvl w:val="0"/>
          <w:numId w:val="2"/>
        </w:numPr>
      </w:pPr>
      <w:r>
        <w:rPr>
          <w:rStyle w:val="MdStrong"/>
          <w:b/>
          <w:bCs/>
        </w:rPr>
        <w:t xml:space="preserve">Button Hover:</w:t>
      </w:r>
      <w:r>
        <w:t xml:space="preserve"> Slight background color change or subtle lift to indicate interactivity.</w:t>
      </w:r>
    </w:p>
    <w:p>
      <w:pPr>
        <w:pStyle w:val="MdListItem"/>
        <w:numPr>
          <w:ilvl w:val="0"/>
          <w:numId w:val="2"/>
        </w:numPr>
      </w:pPr>
      <w:r>
        <w:rPr>
          <w:rStyle w:val="MdStrong"/>
          <w:b/>
          <w:bCs/>
        </w:rPr>
        <w:t xml:space="preserve">Form Focus:</w:t>
      </w:r>
      <w:r>
        <w:t xml:space="preserve"> Border color changes to primary accent, with a subtle outline ring for clarity.</w:t>
      </w:r>
    </w:p>
    <w:p>
      <w:pPr>
        <w:pStyle w:val="MdListItem"/>
        <w:numPr>
          <w:ilvl w:val="0"/>
          <w:numId w:val="2"/>
        </w:numPr>
      </w:pPr>
      <w:r>
        <w:rPr>
          <w:rStyle w:val="MdStrong"/>
          <w:b/>
          <w:bCs/>
        </w:rPr>
        <w:t xml:space="preserve">Loading States:</w:t>
      </w:r>
      <w:r>
        <w:t xml:space="preserve"> Elegant spinners or skeleton loaders to indicate data fetching or processing.</w:t>
      </w:r>
    </w:p>
    <w:p>
      <w:pPr>
        <w:pStyle w:val="MdListItem"/>
        <w:numPr>
          <w:ilvl w:val="0"/>
          <w:numId w:val="2"/>
        </w:numPr>
      </w:pPr>
      <w:r>
        <w:rPr>
          <w:rStyle w:val="MdStrong"/>
          <w:b/>
          <w:bCs/>
        </w:rPr>
        <w:t xml:space="preserve">Success Actions:</w:t>
      </w:r>
      <w:r>
        <w:t xml:space="preserve"> Quick checkmark animation or brief, non-intrusive toast notification upon successful completion of an action.</w:t>
      </w:r>
    </w:p>
    <w:p>
      <w:pPr>
        <w:pStyle w:val="MdListItem"/>
        <w:numPr>
          <w:ilvl w:val="0"/>
          <w:numId w:val="2"/>
        </w:numPr>
      </w:pPr>
      <w:r>
        <w:rPr>
          <w:rStyle w:val="MdStrong"/>
          <w:b/>
          <w:bCs/>
        </w:rPr>
        <w:t xml:space="preserve">Navigation:</w:t>
      </w:r>
      <w:r>
        <w:t xml:space="preserve"> Smooth transitions between pages or sections to maintain context and visual flow.</w:t>
      </w:r>
    </w:p>
    <w:p>
      <w:pPr>
        <w:pStyle w:val="MdListItem"/>
        <w:numPr>
          <w:ilvl w:val="0"/>
          <w:numId w:val="2"/>
        </w:numPr>
      </w:pPr>
      <w:r>
        <w:rPr>
          <w:rStyle w:val="MdStrong"/>
          <w:b/>
          <w:bCs/>
        </w:rPr>
        <w:t xml:space="preserve">Scroll Animations:</w:t>
      </w:r>
      <w:r>
        <w:t xml:space="preserve"> Elements fading in and sliding up as they enter the viewport, with a slight stagger effect for visual appeal.</w:t>
      </w:r>
    </w:p>
    <w:p>
      <w:pPr>
        <w:pStyle w:val="MdSpace"/>
        <w:spacing w:before="0" w:after="60"/>
      </w:pPr>
    </w:p>
    <w:p>
      <w:pPr>
        <w:pStyle w:val="Heading3"/>
        <w:pStyle w:val="MdHeading3"/>
      </w:pPr>
      <w:r>
        <w:t xml:space="preserve">Responsive Design (Contribution led by the Lead Front-End Developer)</w:t>
      </w:r>
    </w:p>
    <w:p>
      <w:pPr>
        <w:pStyle w:val="MdListItem"/>
        <w:numPr>
          <w:ilvl w:val="0"/>
          <w:numId w:val="2"/>
        </w:numPr>
      </w:pPr>
      <w:r>
        <w:rPr>
          <w:rStyle w:val="MdStrong"/>
          <w:b/>
          <w:bCs/>
        </w:rPr>
        <w:t xml:space="preserve">Mobile-First Approach:</w:t>
      </w:r>
      <w:r>
        <w:t xml:space="preserve"> The design and development process will prioritize mobile experiences, ensuring optimal performance, usability, and accessibility on smaller screens before scaling up to larger viewports. This ensures a seamless experience for sales professionals on the go.</w:t>
      </w:r>
    </w:p>
    <w:p>
      <w:pPr>
        <w:pStyle w:val="MdListItem"/>
        <w:numPr>
          <w:ilvl w:val="0"/>
          <w:numId w:val="2"/>
        </w:numPr>
      </w:pPr>
      <w:r>
        <w:rPr>
          <w:rStyle w:val="MdStrong"/>
          <w:b/>
          <w:bCs/>
        </w:rPr>
        <w:t xml:space="preserve">Breakpoints:</w:t>
      </w:r>
      <w:r>
        <w:t xml:space="preserve"> Standard Tailwind CSS breakpoints will be utilized for responsive design, aligning with common device widths:</w:t>
      </w:r>
    </w:p>
    <w:p>
      <w:pPr>
        <w:pStyle w:val="MdListItem"/>
        <w:numPr>
          <w:ilvl w:val="1"/>
          <w:numId w:val="2"/>
        </w:numPr>
      </w:pPr>
      <w:r>
        <w:rPr>
          <w:rStyle w:val="MdCode"/>
          <w:u w:val="single"/>
        </w:rPr>
        <w:t xml:space="preserve">sm</w:t>
      </w:r>
      <w:r>
        <w:t xml:space="preserve">: 640px</w:t>
      </w:r>
    </w:p>
    <w:p>
      <w:pPr>
        <w:pStyle w:val="MdListItem"/>
        <w:numPr>
          <w:ilvl w:val="1"/>
          <w:numId w:val="2"/>
        </w:numPr>
      </w:pPr>
      <w:r>
        <w:rPr>
          <w:rStyle w:val="MdCode"/>
          <w:u w:val="single"/>
        </w:rPr>
        <w:t xml:space="preserve">md</w:t>
      </w:r>
      <w:r>
        <w:t xml:space="preserve">: 768px</w:t>
      </w:r>
    </w:p>
    <w:p>
      <w:pPr>
        <w:pStyle w:val="MdListItem"/>
        <w:numPr>
          <w:ilvl w:val="1"/>
          <w:numId w:val="2"/>
        </w:numPr>
      </w:pPr>
      <w:r>
        <w:rPr>
          <w:rStyle w:val="MdCode"/>
          <w:u w:val="single"/>
        </w:rPr>
        <w:t xml:space="preserve">lg</w:t>
      </w:r>
      <w:r>
        <w:t xml:space="preserve">: 1024px</w:t>
      </w:r>
    </w:p>
    <w:p>
      <w:pPr>
        <w:pStyle w:val="MdListItem"/>
        <w:numPr>
          <w:ilvl w:val="1"/>
          <w:numId w:val="2"/>
        </w:numPr>
      </w:pPr>
      <w:r>
        <w:rPr>
          <w:rStyle w:val="MdCode"/>
          <w:u w:val="single"/>
        </w:rPr>
        <w:t xml:space="preserve">xl</w:t>
      </w:r>
      <w:r>
        <w:t xml:space="preserve">: 1280px</w:t>
      </w:r>
    </w:p>
    <w:p>
      <w:pPr>
        <w:pStyle w:val="MdListItem"/>
        <w:numPr>
          <w:ilvl w:val="1"/>
          <w:numId w:val="2"/>
        </w:numPr>
      </w:pPr>
      <w:r>
        <w:rPr>
          <w:rStyle w:val="MdCode"/>
          <w:u w:val="single"/>
        </w:rPr>
        <w:t xml:space="preserve">2xl</w:t>
      </w:r>
      <w:r>
        <w:t xml:space="preserve">: 1536px</w:t>
      </w:r>
    </w:p>
    <w:p>
      <w:pPr>
        <w:pStyle w:val="MdListItem"/>
        <w:numPr>
          <w:ilvl w:val="0"/>
          <w:numId w:val="2"/>
        </w:numPr>
      </w:pPr>
      <w:r>
        <w:rPr>
          <w:rStyle w:val="MdStrong"/>
          <w:b/>
          <w:bCs/>
        </w:rPr>
        <w:t xml:space="preserve">Mobile Adaptations:</w:t>
      </w:r>
    </w:p>
    <w:p>
      <w:pPr>
        <w:pStyle w:val="MdListItem"/>
        <w:numPr>
          <w:ilvl w:val="1"/>
          <w:numId w:val="2"/>
        </w:numPr>
      </w:pPr>
      <w:r>
        <w:rPr>
          <w:rStyle w:val="MdStrong"/>
          <w:b/>
          <w:bCs/>
        </w:rPr>
        <w:t xml:space="preserve">Simplified Navigation:</w:t>
      </w:r>
      <w:r>
        <w:t xml:space="preserve"> Implementation of a hamburger menu with a slide-out drawer for easy access to core features.</w:t>
      </w:r>
    </w:p>
    <w:p>
      <w:pPr>
        <w:pStyle w:val="MdListItem"/>
        <w:numPr>
          <w:ilvl w:val="1"/>
          <w:numId w:val="2"/>
        </w:numPr>
      </w:pPr>
      <w:r>
        <w:rPr>
          <w:rStyle w:val="MdStrong"/>
          <w:b/>
          <w:bCs/>
        </w:rPr>
        <w:t xml:space="preserve">Stacked Layouts:</w:t>
      </w:r>
      <w:r>
        <w:t xml:space="preserve"> Content blocks will stack vertically on mobile to optimize for single-column readability and touch interaction.</w:t>
      </w:r>
    </w:p>
    <w:p>
      <w:pPr>
        <w:pStyle w:val="MdListItem"/>
        <w:numPr>
          <w:ilvl w:val="1"/>
          <w:numId w:val="2"/>
        </w:numPr>
      </w:pPr>
      <w:r>
        <w:rPr>
          <w:rStyle w:val="MdStrong"/>
          <w:b/>
          <w:bCs/>
        </w:rPr>
        <w:t xml:space="preserve">Larger Touch Targets:</w:t>
      </w:r>
      <w:r>
        <w:t xml:space="preserve"> Buttons and interactive elements will be sized appropriately (minimum 48px) for comfortable touch interaction.</w:t>
      </w:r>
    </w:p>
    <w:p>
      <w:pPr>
        <w:pStyle w:val="MdListItem"/>
        <w:numPr>
          <w:ilvl w:val="1"/>
          <w:numId w:val="2"/>
        </w:numPr>
      </w:pPr>
      <w:r>
        <w:rPr>
          <w:rStyle w:val="MdStrong"/>
          <w:b/>
          <w:bCs/>
        </w:rPr>
        <w:t xml:space="preserve">Optimized Imagery:</w:t>
      </w:r>
      <w:r>
        <w:t xml:space="preserve"> Images and videos will be scaled and compressed for faster loading times on mobile networks, with </w:t>
      </w:r>
      <w:r>
        <w:rPr>
          <w:rStyle w:val="MdCode"/>
          <w:u w:val="single"/>
        </w:rPr>
        <w:t xml:space="preserve">srcset</w:t>
      </w:r>
      <w:r>
        <w:t xml:space="preserve"> for responsive delivery.</w:t>
      </w:r>
    </w:p>
    <w:p>
      <w:pPr>
        <w:pStyle w:val="MdSpace"/>
        <w:spacing w:before="0" w:after="60"/>
      </w:pPr>
    </w:p>
    <w:p>
      <w:pPr>
        <w:pStyle w:val="Heading3"/>
        <w:pStyle w:val="MdHeading3"/>
      </w:pPr>
      <w:r>
        <w:t xml:space="preserve">Accessibility</w:t>
      </w:r>
    </w:p>
    <w:p>
      <w:pPr>
        <w:pStyle w:val="MdParagraph"/>
      </w:pPr>
      <w:r>
        <w:t xml:space="preserve">Commitment to accessibility ensures the platform is usable by all individuals, regardless of ability, adhering to WCAG 2.1 AA standards.</w:t>
      </w:r>
    </w:p>
    <w:p>
      <w:pPr>
        <w:pStyle w:val="MdSpace"/>
        <w:spacing w:before="0" w:after="60"/>
      </w:pPr>
    </w:p>
    <w:p>
      <w:pPr>
        <w:pStyle w:val="MdListItem"/>
        <w:numPr>
          <w:ilvl w:val="0"/>
          <w:numId w:val="2"/>
        </w:numPr>
      </w:pPr>
      <w:r>
        <w:rPr>
          <w:rStyle w:val="MdStrong"/>
          <w:b/>
          <w:bCs/>
        </w:rPr>
        <w:t xml:space="preserve">Color Contrast (WCAG AA):</w:t>
      </w:r>
      <w:r>
        <w:t xml:space="preserve"> All text and interactive elements will meet WCAG 2.1 AA contrast ratio standards (4.5:1 for body text, 3:1 for large text) to ensure readability.</w:t>
      </w:r>
    </w:p>
    <w:p>
      <w:pPr>
        <w:pStyle w:val="MdListItem"/>
        <w:numPr>
          <w:ilvl w:val="0"/>
          <w:numId w:val="2"/>
        </w:numPr>
      </w:pPr>
      <w:r>
        <w:rPr>
          <w:rStyle w:val="MdStrong"/>
          <w:b/>
          <w:bCs/>
        </w:rPr>
        <w:t xml:space="preserve">Keyboard Navigation:</w:t>
      </w:r>
      <w:r>
        <w:t xml:space="preserve"> All interactive elements will be fully navigable and operable via keyboard, with a logical tab order.</w:t>
      </w:r>
    </w:p>
    <w:p>
      <w:pPr>
        <w:pStyle w:val="MdListItem"/>
        <w:numPr>
          <w:ilvl w:val="0"/>
          <w:numId w:val="2"/>
        </w:numPr>
      </w:pPr>
      <w:r>
        <w:rPr>
          <w:rStyle w:val="MdStrong"/>
          <w:b/>
          <w:bCs/>
        </w:rPr>
        <w:t xml:space="preserve">Screen Reader Support (ARIA):</w:t>
      </w:r>
      <w:r>
        <w:t xml:space="preserve"> Proper ARIA attributes and semantic HTML5 elements will be used to ensure compatibility with screen readers, providing meaningful context.</w:t>
      </w:r>
    </w:p>
    <w:p>
      <w:pPr>
        <w:pStyle w:val="MdListItem"/>
        <w:numPr>
          <w:ilvl w:val="0"/>
          <w:numId w:val="2"/>
        </w:numPr>
      </w:pPr>
      <w:r>
        <w:rPr>
          <w:rStyle w:val="MdStrong"/>
          <w:b/>
          <w:bCs/>
        </w:rPr>
        <w:t xml:space="preserve">Visible Focus Indicators:</w:t>
      </w:r>
      <w:r>
        <w:t xml:space="preserve"> Clear visual indicators will be provided for keyboard focus states, enhancing navigability for keyboard users.</w:t>
      </w:r>
    </w:p>
    <w:p>
      <w:pPr>
        <w:pStyle w:val="MdListItem"/>
        <w:numPr>
          <w:ilvl w:val="0"/>
          <w:numId w:val="2"/>
        </w:numPr>
      </w:pPr>
      <w:r>
        <w:rPr>
          <w:rStyle w:val="MdStrong"/>
          <w:b/>
          <w:bCs/>
        </w:rPr>
        <w:t xml:space="preserve">Respect for Reduced Motion:</w:t>
      </w:r>
      <w:r>
        <w:t xml:space="preserve"> Users with </w:t>
      </w:r>
      <w:r>
        <w:rPr>
          <w:rStyle w:val="MdCode"/>
          <w:u w:val="single"/>
        </w:rPr>
        <w:t xml:space="preserve">prefers-reduced-motion</w:t>
      </w:r>
      <w:r>
        <w:t xml:space="preserve"> settings will experience simplified or disabled animations to prevent discomfort.</w:t>
      </w:r>
    </w:p>
    <w:p>
      <w:pPr>
        <w:pStyle w:val="MdSpace"/>
        <w:spacing w:before="0" w:after="60"/>
      </w:pPr>
    </w:p>
    <w:p>
      <w:pPr>
        <w:pStyle w:val="Heading3"/>
        <w:pStyle w:val="MdHeading3"/>
      </w:pPr>
      <w:r>
        <w:t xml:space="preserve">Dark/Light Mode</w:t>
      </w:r>
    </w:p>
    <w:p>
      <w:pPr>
        <w:pStyle w:val="MdParagraph"/>
      </w:pPr>
      <w:r>
        <w:t xml:space="preserve">Both dark and light modes will be supported to cater to user preferences, reduce eye strain, and provide a modern user experience. DaisyUI themes will be used for implementation, with automatic detection of the user's system preference and a user-selectable toggle within the application for manual override.</w:t>
      </w:r>
    </w:p>
    <w:p>
      <w:pPr>
        <w:pStyle w:val="MdSpace"/>
        <w:spacing w:before="0" w:after="60"/>
      </w:pPr>
    </w:p>
    <w:p>
      <w:pPr>
        <w:pStyle w:val="Heading2"/>
        <w:pStyle w:val="MdHeading2"/>
      </w:pPr>
      <w:r>
        <w:t xml:space="preserve">Implementation Guidelines (Contribution led by the Lead Front-End Developer)</w:t>
      </w:r>
    </w:p>
    <w:p>
      <w:pPr>
        <w:pStyle w:val="Heading3"/>
        <w:pStyle w:val="MdHeading3"/>
      </w:pPr>
      <w:r>
        <w:t xml:space="preserve">CSS Framework</w:t>
      </w:r>
    </w:p>
    <w:p>
      <w:pPr>
        <w:pStyle w:val="MdListItem"/>
        <w:numPr>
          <w:ilvl w:val="0"/>
          <w:numId w:val="2"/>
        </w:numPr>
      </w:pPr>
      <w:r>
        <w:rPr>
          <w:rStyle w:val="MdStrong"/>
          <w:b/>
          <w:bCs/>
        </w:rPr>
        <w:t xml:space="preserve">Tailwind CSS:</w:t>
      </w:r>
      <w:r>
        <w:t xml:space="preserve"> Utilized for its utility-first approach, enabling rapid, consistent, and highly customizable UI development. This minimizes the need for custom CSS and promotes design system adherence.</w:t>
      </w:r>
    </w:p>
    <w:p>
      <w:pPr>
        <w:pStyle w:val="MdListItem"/>
        <w:numPr>
          <w:ilvl w:val="0"/>
          <w:numId w:val="2"/>
        </w:numPr>
      </w:pPr>
      <w:r>
        <w:rPr>
          <w:rStyle w:val="MdStrong"/>
          <w:b/>
          <w:bCs/>
        </w:rPr>
        <w:t xml:space="preserve">DaisyUI:</w:t>
      </w:r>
      <w:r>
        <w:t xml:space="preserve"> Integrated as a Tailwind CSS component library, providing pre-built, customizable UI components (e.g., buttons, modals, navigation) and robust theme management for dark/light mode.</w:t>
      </w:r>
    </w:p>
    <w:p>
      <w:pPr>
        <w:pStyle w:val="MdListItem"/>
        <w:numPr>
          <w:ilvl w:val="0"/>
          <w:numId w:val="2"/>
        </w:numPr>
      </w:pPr>
      <w:r>
        <w:rPr>
          <w:rStyle w:val="MdStrong"/>
          <w:b/>
          <w:bCs/>
        </w:rPr>
        <w:t xml:space="preserve">Custom Utilities:</w:t>
      </w:r>
      <w:r>
        <w:t xml:space="preserve"> Developed for specific, reusable styles or complex patterns not efficiently covered by Tailwind or DaisyUI, ensuring maintainability and scalability.</w:t>
      </w:r>
    </w:p>
    <w:p>
      <w:pPr>
        <w:pStyle w:val="MdSpace"/>
        <w:spacing w:before="0" w:after="60"/>
      </w:pPr>
    </w:p>
    <w:p>
      <w:pPr>
        <w:pStyle w:val="Heading3"/>
        <w:pStyle w:val="MdHeading3"/>
      </w:pPr>
      <w:r>
        <w:t xml:space="preserve">Animation Library</w:t>
      </w:r>
    </w:p>
    <w:p>
      <w:pPr>
        <w:pStyle w:val="MdListItem"/>
        <w:numPr>
          <w:ilvl w:val="0"/>
          <w:numId w:val="2"/>
        </w:numPr>
      </w:pPr>
      <w:r>
        <w:rPr>
          <w:rStyle w:val="MdStrong"/>
          <w:b/>
          <w:bCs/>
        </w:rPr>
        <w:t xml:space="preserve">Framer Motion:</w:t>
      </w:r>
      <w:r>
        <w:t xml:space="preserve"> The primary library for complex, declarative animations and interactive components, enabling sophisticated micro-interactions and scroll-triggered effects with ease.</w:t>
      </w:r>
    </w:p>
    <w:p>
      <w:pPr>
        <w:pStyle w:val="MdListItem"/>
        <w:numPr>
          <w:ilvl w:val="0"/>
          <w:numId w:val="2"/>
        </w:numPr>
      </w:pPr>
      <w:r>
        <w:rPr>
          <w:rStyle w:val="MdStrong"/>
          <w:b/>
          <w:bCs/>
        </w:rPr>
        <w:t xml:space="preserve">Tailwind Animations:</w:t>
      </w:r>
      <w:r>
        <w:t xml:space="preserve"> Used for simpler, utility-based animations and transitions, such as hover states, focus effects, and basic element reveals.</w:t>
      </w:r>
    </w:p>
    <w:p>
      <w:pPr>
        <w:pStyle w:val="MdSpace"/>
        <w:spacing w:before="0" w:after="60"/>
      </w:pPr>
    </w:p>
    <w:p>
      <w:pPr>
        <w:pStyle w:val="Heading3"/>
        <w:pStyle w:val="MdHeading3"/>
      </w:pPr>
      <w:r>
        <w:t xml:space="preserve">Icon System</w:t>
      </w:r>
    </w:p>
    <w:p>
      <w:pPr>
        <w:pStyle w:val="MdListItem"/>
        <w:numPr>
          <w:ilvl w:val="0"/>
          <w:numId w:val="2"/>
        </w:numPr>
      </w:pPr>
      <w:r>
        <w:rPr>
          <w:rStyle w:val="MdStrong"/>
          <w:b/>
          <w:bCs/>
        </w:rPr>
        <w:t xml:space="preserve">Heroicons:</w:t>
      </w:r>
      <w:r>
        <w:t xml:space="preserve"> A comprehensive, open-source icon set providing consistent, high-quality iconography for general UI elements and feature representation.</w:t>
      </w:r>
    </w:p>
    <w:p>
      <w:pPr>
        <w:pStyle w:val="MdListItem"/>
        <w:numPr>
          <w:ilvl w:val="0"/>
          <w:numId w:val="2"/>
        </w:numPr>
      </w:pPr>
      <w:r>
        <w:rPr>
          <w:rStyle w:val="MdStrong"/>
          <w:b/>
          <w:bCs/>
        </w:rPr>
        <w:t xml:space="preserve">Custom SVGs:</w:t>
      </w:r>
      <w:r>
        <w:t xml:space="preserve"> Employed for unique brand elements, specific product illustrations, or complex data visualization icons not available in Heroicons, ensuring scalability and crisp rendering.</w:t>
      </w:r>
    </w:p>
    <w:p>
      <w:pPr>
        <w:pStyle w:val="MdSpace"/>
        <w:spacing w:before="0" w:after="60"/>
      </w:pPr>
    </w:p>
    <w:p>
      <w:pPr>
        <w:pStyle w:val="Heading3"/>
        <w:pStyle w:val="MdHeading3"/>
      </w:pPr>
      <w:r>
        <w:t xml:space="preserve">Asset Management</w:t>
      </w:r>
    </w:p>
    <w:p>
      <w:pPr>
        <w:pStyle w:val="MdListItem"/>
        <w:numPr>
          <w:ilvl w:val="0"/>
          <w:numId w:val="2"/>
        </w:numPr>
      </w:pPr>
      <w:r>
        <w:rPr>
          <w:rStyle w:val="MdStrong"/>
          <w:b/>
          <w:bCs/>
        </w:rPr>
        <w:t xml:space="preserve">SVG:</w:t>
      </w:r>
      <w:r>
        <w:t xml:space="preserve"> Preferred format for icons, logos, and vector graphics due to their scalability, small file size, and crisp rendering at any resolution.</w:t>
      </w:r>
    </w:p>
    <w:p>
      <w:pPr>
        <w:pStyle w:val="MdListItem"/>
        <w:numPr>
          <w:ilvl w:val="0"/>
          <w:numId w:val="2"/>
        </w:numPr>
      </w:pPr>
      <w:r>
        <w:rPr>
          <w:rStyle w:val="MdStrong"/>
          <w:b/>
          <w:bCs/>
        </w:rPr>
        <w:t xml:space="preserve">WebP:</w:t>
      </w:r>
      <w:r>
        <w:t xml:space="preserve"> Preferred format for raster images (photos, illustrations, product screenshots) for superior compression, faster loading times, and excellent quality, with JPEG/PNG fallbacks for older browsers.</w:t>
      </w:r>
    </w:p>
    <w:p>
      <w:pPr>
        <w:pStyle w:val="MdListItem"/>
        <w:numPr>
          <w:ilvl w:val="0"/>
          <w:numId w:val="2"/>
        </w:numPr>
      </w:pPr>
      <w:r>
        <w:rPr>
          <w:rStyle w:val="MdStrong"/>
          <w:b/>
          <w:bCs/>
        </w:rPr>
        <w:t xml:space="preserve">MP4/WebM:</w:t>
      </w:r>
      <w:r>
        <w:t xml:space="preserve"> Preferred formats for video content (e.g., demo videos, animated backgrounds), balancing quality and file size for efficient web delivery.</w:t>
      </w:r>
    </w:p>
    <w:p>
      <w:pPr>
        <w:pStyle w:val="MdSpace"/>
        <w:spacing w:before="0" w:after="60"/>
      </w:pPr>
    </w:p>
    <w:p>
      <w:pPr>
        <w:pStyle w:val="Heading3"/>
        <w:pStyle w:val="MdHeading3"/>
      </w:pPr>
      <w:r>
        <w:t xml:space="preserve">Code Structure</w:t>
      </w:r>
    </w:p>
    <w:p>
      <w:pPr>
        <w:pStyle w:val="MdListItem"/>
        <w:numPr>
          <w:ilvl w:val="0"/>
          <w:numId w:val="2"/>
        </w:numPr>
      </w:pPr>
      <w:r>
        <w:rPr>
          <w:rStyle w:val="MdStrong"/>
          <w:b/>
          <w:bCs/>
        </w:rPr>
        <w:t xml:space="preserve">Component-Based Architecture:</w:t>
      </w:r>
      <w:r>
        <w:t xml:space="preserve"> The UI will be built using reusable, modular React components, promoting maintainability, scalability, and collaboration across development teams. Components will be organized logically (e.g., </w:t>
      </w:r>
      <w:r>
        <w:rPr>
          <w:rStyle w:val="MdCode"/>
          <w:u w:val="single"/>
        </w:rPr>
        <w:t xml:space="preserve">/components/Hero</w:t>
      </w:r>
      <w:r>
        <w:t xml:space="preserve">, </w:t>
      </w:r>
      <w:r>
        <w:rPr>
          <w:rStyle w:val="MdCode"/>
          <w:u w:val="single"/>
        </w:rPr>
        <w:t xml:space="preserve">/components/Features</w:t>
      </w:r>
      <w:r>
        <w:t xml:space="preserve">).</w:t>
      </w:r>
    </w:p>
    <w:p>
      <w:pPr>
        <w:pStyle w:val="MdListItem"/>
        <w:numPr>
          <w:ilvl w:val="0"/>
          <w:numId w:val="2"/>
        </w:numPr>
      </w:pPr>
      <w:r>
        <w:rPr>
          <w:rStyle w:val="MdStrong"/>
          <w:b/>
          <w:bCs/>
        </w:rPr>
        <w:t xml:space="preserve">Utility-First CSS:</w:t>
      </w:r>
      <w:r>
        <w:t xml:space="preserve"> Styling will primarily leverage Tailwind CSS utilities, promoting consistency, reducing custom CSS, and accelerating development cycles.</w:t>
      </w:r>
    </w:p>
    <w:p>
      <w:pPr>
        <w:pStyle w:val="MdListItem"/>
        <w:numPr>
          <w:ilvl w:val="0"/>
          <w:numId w:val="2"/>
        </w:numPr>
      </w:pPr>
      <w:r>
        <w:rPr>
          <w:rStyle w:val="MdStrong"/>
          <w:b/>
          <w:bCs/>
        </w:rPr>
        <w:t xml:space="preserve">Responsive Variants:</w:t>
      </w:r>
      <w:r>
        <w:t xml:space="preserve"> Tailwind's responsive prefixes will be extensively used to apply styles conditionally based on screen size, ensuring a truly adaptive design.</w:t>
      </w:r>
    </w:p>
    <w:p>
      <w:pPr>
        <w:pStyle w:val="MdListItem"/>
        <w:numPr>
          <w:ilvl w:val="0"/>
          <w:numId w:val="2"/>
        </w:numPr>
      </w:pPr>
      <w:r>
        <w:rPr>
          <w:rStyle w:val="MdStrong"/>
          <w:b/>
          <w:bCs/>
        </w:rPr>
        <w:t xml:space="preserve">State Management:</w:t>
      </w:r>
      <w:r>
        <w:t xml:space="preserve"> React Context or a dedicated state management library will be used for global state, such as theme (light/dark mode) and user authentication.</w:t>
      </w:r>
    </w:p>
    <w:p>
      <w:pPr>
        <w:pStyle w:val="MdListItem"/>
        <w:numPr>
          <w:ilvl w:val="0"/>
          <w:numId w:val="2"/>
        </w:numPr>
      </w:pPr>
      <w:r>
        <w:rPr>
          <w:rStyle w:val="MdStrong"/>
          <w:b/>
          <w:bCs/>
        </w:rPr>
        <w:t xml:space="preserve">Code Splitting:</w:t>
      </w:r>
      <w:r>
        <w:t xml:space="preserve"> Implemented for heavy components and routes to optimize initial page load performance.</w:t>
      </w:r>
    </w:p>
    <w:p>
      <w:pPr>
        <w:pStyle w:val="MdSpace"/>
        <w:spacing w:before="0" w:after="60"/>
      </w:pPr>
    </w:p>
    <w:p>
      <w:pPr>
        <w:pStyle w:val="Heading2"/>
        <w:pStyle w:val="MdHeading2"/>
      </w:pPr>
      <w:r>
        <w:t xml:space="preserve">Design Tokens (As the Lead Front-End Developer, create a JSON object that codifies the design system's core values. Populate the JSON structure below using the values defined in the Color Palette, Typography, and common spacing/radius conventions. The structure must be exactly as follows.)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"deepOceanBlue"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"#0056B3"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"corporateBlue"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"#0062B8"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"skyBlue"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"#006EBD"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"azure"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"#0074BF"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"deepTeal"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"#007B80"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"accent"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"successGreen"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"#28A745"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"neutral"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"#FFFFFF"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"#0F1117"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"textPrimaryLight"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"#1A1A1A"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"textPrimaryDark"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"#F5F5F5"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"textSecondaryLight"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"#666666"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"textSecondaryDark"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"#A0A0A0"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"#E5E5E5"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"#2A2A2A"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"#22C55E"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"warning"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"#F59E0B"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"#EF4444"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"#3B82F6"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"typography"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"fontFamily"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"headings"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 sans-serif"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 sans-serif"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"mono"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"SF Mono, Monaco, monospace"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"22px"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"22px"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"bodyLarge"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"regular"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"semibold"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"spacing"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"32px"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"120px"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"sectionPadding"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"desktop"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"tablet"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"60px"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"componentPadding"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"0.125rem"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"9999px"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FINAL CHECK:</w:t>
      </w:r>
    </w:p>
    <w:p>
      <w:pPr>
        <w:pStyle w:val="MdParagraph"/>
      </w:pPr>
      <w:r>
        <w:t xml:space="preserve">Ensure the entire output is a single, clean markdown file. Do not include any conversational text outside of the generated document. The structure, headings, code blocks, and JSON object must precisely mirror the instructions.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2026-01-14T16:32:49.085Z</dcterms:created>
  <dcterms:modified xsi:type="dcterms:W3CDTF">2026-01-14T16:32:49.085Z</dcterms:modified>
</cp:coreProperties>
</file>

<file path=docProps/custom.xml><?xml version="1.0" encoding="utf-8"?>
<Properties xmlns="http://schemas.openxmlformats.org/officeDocument/2006/custom-properties" xmlns:vt="http://schemas.openxmlformats.org/officeDocument/2006/docPropsVTypes"/>
</file>