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AthleteTrack Pro Brand Identity &amp; Design System</w:t>
      </w:r>
    </w:p>
    <w:p>
      <w:pPr>
        <w:pStyle w:val="Heading2"/>
        <w:pStyle w:val="MdHeading2"/>
      </w:pPr>
      <w:r>
        <w:t xml:space="preserve">Brand Identity (Contribution led by the Brand Strategist)</w:t>
      </w:r>
    </w:p>
    <w:p>
      <w:pPr>
        <w:pStyle w:val="Heading3"/>
        <w:pStyle w:val="MdHeading3"/>
      </w:pPr>
      <w:r>
        <w:t xml:space="preserve">Brand Essence</w:t>
      </w:r>
    </w:p>
    <w:p>
      <w:pPr>
        <w:pStyle w:val="MdParagraph"/>
      </w:pPr>
      <w:r>
        <w:t xml:space="preserve">Based on the "Overwhelmed Optimizer" avatar, the core brand attributes for this youth athlete tracking app are:</w:t>
      </w:r>
    </w:p>
    <w:p>
      <w:pPr>
        <w:pStyle w:val="MdSpace"/>
        <w:spacing w:before="0" w:after="60"/>
      </w:pPr>
    </w:p>
    <w:p>
      <w:pPr>
        <w:pStyle w:val="MdListItem"/>
        <w:numPr>
          <w:ilvl w:val="0"/>
          <w:numId w:val="2"/>
        </w:numPr>
      </w:pPr>
      <w:r>
        <w:rPr>
          <w:rStyle w:val="MdStrong"/>
          <w:b/>
          <w:bCs/>
        </w:rPr>
        <w:t xml:space="preserve">Empowerment:</w:t>
      </w:r>
      <w:r>
        <w:t xml:space="preserve"> Providing parents, athletes, and coaches with the tools to take control of athletic data and opportunities.</w:t>
      </w:r>
    </w:p>
    <w:p>
      <w:pPr>
        <w:pStyle w:val="MdListItem"/>
        <w:numPr>
          <w:ilvl w:val="0"/>
          <w:numId w:val="2"/>
        </w:numPr>
      </w:pPr>
      <w:r>
        <w:rPr>
          <w:rStyle w:val="MdStrong"/>
          <w:b/>
          <w:bCs/>
        </w:rPr>
        <w:t xml:space="preserve">Efficiency:</w:t>
      </w:r>
      <w:r>
        <w:t xml:space="preserve"> Streamlining fragmented processes for tracking stats, managing schedules, and creating highlights.</w:t>
      </w:r>
    </w:p>
    <w:p>
      <w:pPr>
        <w:pStyle w:val="MdListItem"/>
        <w:numPr>
          <w:ilvl w:val="0"/>
          <w:numId w:val="2"/>
        </w:numPr>
      </w:pPr>
      <w:r>
        <w:rPr>
          <w:rStyle w:val="MdStrong"/>
          <w:b/>
          <w:bCs/>
        </w:rPr>
        <w:t xml:space="preserve">Legacy:</w:t>
      </w:r>
      <w:r>
        <w:t xml:space="preserve"> Preserving and celebrating the athlete's journey and achievements over time.</w:t>
      </w:r>
    </w:p>
    <w:p>
      <w:pPr>
        <w:pStyle w:val="MdListItem"/>
        <w:numPr>
          <w:ilvl w:val="0"/>
          <w:numId w:val="2"/>
        </w:numPr>
      </w:pPr>
      <w:r>
        <w:rPr>
          <w:rStyle w:val="MdStrong"/>
          <w:b/>
          <w:bCs/>
        </w:rPr>
        <w:t xml:space="preserve">Clarity:</w:t>
      </w:r>
      <w:r>
        <w:t xml:space="preserve"> Bringing order to chaos, making complex information easily understandable and actionable.</w:t>
      </w:r>
    </w:p>
    <w:p>
      <w:pPr>
        <w:pStyle w:val="MdListItem"/>
        <w:numPr>
          <w:ilvl w:val="0"/>
          <w:numId w:val="2"/>
        </w:numPr>
      </w:pPr>
      <w:r>
        <w:rPr>
          <w:rStyle w:val="MdStrong"/>
          <w:b/>
          <w:bCs/>
        </w:rPr>
        <w:t xml:space="preserve">Support:</w:t>
      </w:r>
      <w:r>
        <w:t xml:space="preserve"> Acting as a reliable partner in the demanding world of youth sports, reducing parental anxiety and overwhelm.</w:t>
      </w:r>
    </w:p>
    <w:p>
      <w:pPr>
        <w:pStyle w:val="MdListItem"/>
        <w:numPr>
          <w:ilvl w:val="0"/>
          <w:numId w:val="2"/>
        </w:numPr>
      </w:pPr>
      <w:r>
        <w:rPr>
          <w:rStyle w:val="MdStrong"/>
          <w:b/>
          <w:bCs/>
        </w:rPr>
        <w:t xml:space="preserve">Opportunity:</w:t>
      </w:r>
      <w:r>
        <w:t xml:space="preserve"> Unlocking potential pathways for athletes by professionalizing their athletic profiles.</w:t>
      </w:r>
    </w:p>
    <w:p>
      <w:pPr>
        <w:pStyle w:val="MdSpace"/>
        <w:spacing w:before="0" w:after="60"/>
      </w:pPr>
    </w:p>
    <w:p>
      <w:pPr>
        <w:pStyle w:val="Heading3"/>
        <w:pStyle w:val="MdHeading3"/>
      </w:pPr>
      <w:r>
        <w:t xml:space="preserve">Brand Voice</w:t>
      </w:r>
    </w:p>
    <w:p>
      <w:pPr>
        <w:pStyle w:val="MdListItem"/>
        <w:numPr>
          <w:ilvl w:val="0"/>
          <w:numId w:val="2"/>
        </w:numPr>
      </w:pPr>
      <w:r>
        <w:rPr>
          <w:rStyle w:val="MdStrong"/>
          <w:b/>
          <w:bCs/>
        </w:rPr>
        <w:t xml:space="preserve">Tone:</w:t>
      </w:r>
      <w:r>
        <w:t xml:space="preserve"> The brand voice will be </w:t>
      </w:r>
      <w:r>
        <w:rPr>
          <w:rStyle w:val="MdStrong"/>
          <w:b/>
          <w:bCs/>
        </w:rPr>
        <w:t xml:space="preserve">reassuring, confident, and empathetic</w:t>
      </w:r>
      <w:r>
        <w:t xml:space="preserve">, acknowledging the challenges faced by parents and coaches while projecting a sense of capability and innovation. It should be encouraging and supportive, never condescending or overly technical.</w:t>
      </w:r>
    </w:p>
    <w:p>
      <w:pPr>
        <w:pStyle w:val="MdListItem"/>
        <w:numPr>
          <w:ilvl w:val="0"/>
          <w:numId w:val="2"/>
        </w:numPr>
      </w:pPr>
      <w:r>
        <w:rPr>
          <w:rStyle w:val="MdStrong"/>
          <w:b/>
          <w:bCs/>
        </w:rPr>
        <w:t xml:space="preserve">Language:</w:t>
      </w:r>
      <w:r>
        <w:t xml:space="preserve"> The language will be </w:t>
      </w:r>
      <w:r>
        <w:rPr>
          <w:rStyle w:val="MdStrong"/>
          <w:b/>
          <w:bCs/>
        </w:rPr>
        <w:t xml:space="preserve">clear, concise, and jargon-free</w:t>
      </w:r>
      <w:r>
        <w:t xml:space="preserve">, focusing on benefits and solutions rather than complex features. It will use common youth sports terminology where appropriate, reflecting the target audience's understanding without being overly casual.</w:t>
      </w:r>
    </w:p>
    <w:p>
      <w:pPr>
        <w:pStyle w:val="MdListItem"/>
        <w:numPr>
          <w:ilvl w:val="0"/>
          <w:numId w:val="2"/>
        </w:numPr>
      </w:pPr>
      <w:r>
        <w:rPr>
          <w:rStyle w:val="MdStrong"/>
          <w:b/>
          <w:bCs/>
        </w:rPr>
        <w:t xml:space="preserve">Communication Style:</w:t>
      </w:r>
      <w:r>
        <w:t xml:space="preserve"> The overall communication style will be </w:t>
      </w:r>
      <w:r>
        <w:rPr>
          <w:rStyle w:val="MdStrong"/>
          <w:b/>
          <w:bCs/>
        </w:rPr>
        <w:t xml:space="preserve">solution-oriented</w:t>
      </w:r>
      <w:r>
        <w:t xml:space="preserve">, emphasizing how the app directly addresses the pain points of fragmentation, lost data, and recruitment pressure. It will highlight the ease of use and the time-saving aspects, building trust through practical value.</w:t>
      </w:r>
    </w:p>
    <w:p>
      <w:pPr>
        <w:pStyle w:val="MdSpace"/>
        <w:spacing w:before="0" w:after="60"/>
      </w:pPr>
    </w:p>
    <w:p>
      <w:pPr>
        <w:pStyle w:val="Heading3"/>
        <w:pStyle w:val="MdHeading3"/>
      </w:pPr>
      <w:r>
        <w:t xml:space="preserve">Brand Narrative</w:t>
      </w:r>
    </w:p>
    <w:p>
      <w:pPr>
        <w:pStyle w:val="MdParagraph"/>
      </w:pPr>
      <w:r>
        <w:t xml:space="preserve">In the demanding and often chaotic world of youth sports, parents, athletes, and coaches are constantly battling fragmentation—scattered stats, lost videos, and overwhelming administrative tasks that overshadow the joy of the game. This app emerges as the essential partner, transforming that chaos into clarity. We empower the </w:t>
      </w:r>
      <w:r>
        <w:br/>
        <w:t xml:space="preserve">overwhelmed optimizer—the dedicated parent, the driven athlete, the passionate coach—by providing a single, intuitive platform to track every stat, capture every highlight, and build a comprehensive athletic legacy. We believe that technology should simplify, not complicate, allowing families to focus on what truly matters: the growth, development, and joy of their young athletes, ensuring no opportunity is ever missed due to disorganization.</w:t>
      </w:r>
    </w:p>
    <w:p>
      <w:pPr>
        <w:pStyle w:val="MdSpace"/>
        <w:spacing w:before="0" w:after="60"/>
      </w:pPr>
    </w:p>
    <w:p>
      <w:pPr>
        <w:pStyle w:val="Heading2"/>
        <w:pStyle w:val="MdHeading2"/>
      </w:pPr>
      <w:r>
        <w:t xml:space="preserve">Design System (Contribution led by the Lead UI/UX Designer and Lead Front-End Developer)</w:t>
      </w:r>
    </w:p>
    <w:p>
      <w:pPr>
        <w:pStyle w:val="Heading3"/>
        <w:pStyle w:val="MdHeading3"/>
      </w:pPr>
      <w:r>
        <w:t xml:space="preserve">Color Palette</w:t>
      </w:r>
    </w:p>
    <w:p>
      <w:pPr>
        <w:pStyle w:val="Heading4"/>
        <w:pStyle w:val="MdHeading4"/>
      </w:pPr>
      <w:r>
        <w:t xml:space="preserve">Primary Colors</w:t>
      </w:r>
    </w:p>
    <w:p>
      <w:pPr>
        <w:pStyle w:val="MdListItem"/>
        <w:numPr>
          <w:ilvl w:val="0"/>
          <w:numId w:val="2"/>
        </w:numPr>
      </w:pPr>
      <w:r>
        <w:rPr>
          <w:rStyle w:val="MdStrong"/>
          <w:b/>
          <w:bCs/>
        </w:rPr>
        <w:t xml:space="preserve">Gradient Base:</w:t>
      </w:r>
      <w:r>
        <w:t xml:space="preserve"> The brand's identity is encapsulated in the following dynamic linear gradient, reflecting energy, trust, and growth:</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linear-gradient(to right,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#003366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#005F73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#0A9396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bCs/>
          <w:i w:val="false"/>
          <w:iCs w:val="false"/>
          <w:color w:val="B31D28"/>
          <w:sz w:val="20"/>
          <w:szCs w:val="20"/>
        </w:rPr>
        <w:t xml:space="preserve">#94D2BD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#E9D8A6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2"/>
        </w:numPr>
      </w:pPr>
      <w:r>
        <w:rPr>
          <w:rStyle w:val="MdStrong"/>
          <w:b/>
          <w:bCs/>
        </w:rPr>
        <w:t xml:space="preserve">Primary Colors (Extracted from gradient):</w:t>
      </w:r>
    </w:p>
    <w:p>
      <w:pPr>
        <w:pStyle w:val="MdListItem"/>
        <w:numPr>
          <w:ilvl w:val="1"/>
          <w:numId w:val="2"/>
        </w:numPr>
      </w:pPr>
      <w:r>
        <w:rPr>
          <w:rStyle w:val="MdCode"/>
          <w:u w:val="single"/>
        </w:rPr>
        <w:t xml:space="preserve">#003366</w:t>
      </w:r>
      <w:r>
        <w:t xml:space="preserve"> - </w:t>
      </w:r>
      <w:r>
        <w:rPr>
          <w:rStyle w:val="MdStrong"/>
          <w:b/>
          <w:bCs/>
        </w:rPr>
        <w:t xml:space="preserve">Deep Ocean</w:t>
      </w:r>
      <w:r>
        <w:t xml:space="preserve"> (Trust)</w:t>
      </w:r>
    </w:p>
    <w:p>
      <w:pPr>
        <w:pStyle w:val="MdListItem"/>
        <w:numPr>
          <w:ilvl w:val="1"/>
          <w:numId w:val="2"/>
        </w:numPr>
      </w:pPr>
      <w:r>
        <w:rPr>
          <w:rStyle w:val="MdCode"/>
          <w:u w:val="single"/>
        </w:rPr>
        <w:t xml:space="preserve">#005F73</w:t>
      </w:r>
      <w:r>
        <w:t xml:space="preserve"> - </w:t>
      </w:r>
      <w:r>
        <w:rPr>
          <w:rStyle w:val="MdStrong"/>
          <w:b/>
          <w:bCs/>
        </w:rPr>
        <w:t xml:space="preserve">Midnight Teal</w:t>
      </w:r>
      <w:r>
        <w:t xml:space="preserve"> (Depth)</w:t>
      </w:r>
    </w:p>
    <w:p>
      <w:pPr>
        <w:pStyle w:val="MdListItem"/>
        <w:numPr>
          <w:ilvl w:val="1"/>
          <w:numId w:val="2"/>
        </w:numPr>
      </w:pPr>
      <w:r>
        <w:rPr>
          <w:rStyle w:val="MdCode"/>
          <w:u w:val="single"/>
        </w:rPr>
        <w:t xml:space="preserve">#0A9396</w:t>
      </w:r>
      <w:r>
        <w:t xml:space="preserve"> - </w:t>
      </w:r>
      <w:r>
        <w:rPr>
          <w:rStyle w:val="MdStrong"/>
          <w:b/>
          <w:bCs/>
        </w:rPr>
        <w:t xml:space="preserve">Vibrant Aqua</w:t>
      </w:r>
      <w:r>
        <w:t xml:space="preserve"> (Energy)</w:t>
      </w:r>
    </w:p>
    <w:p>
      <w:pPr>
        <w:pStyle w:val="MdListItem"/>
        <w:numPr>
          <w:ilvl w:val="1"/>
          <w:numId w:val="2"/>
        </w:numPr>
      </w:pPr>
      <w:r>
        <w:rPr>
          <w:rStyle w:val="MdCode"/>
          <w:u w:val="single"/>
        </w:rPr>
        <w:t xml:space="preserve">#94D2BD</w:t>
      </w:r>
      <w:r>
        <w:t xml:space="preserve"> - </w:t>
      </w:r>
      <w:r>
        <w:rPr>
          <w:rStyle w:val="MdStrong"/>
          <w:b/>
          <w:bCs/>
        </w:rPr>
        <w:t xml:space="preserve">Fresh Mint</w:t>
      </w:r>
      <w:r>
        <w:t xml:space="preserve"> (Growth)</w:t>
      </w:r>
    </w:p>
    <w:p>
      <w:pPr>
        <w:pStyle w:val="MdListItem"/>
        <w:numPr>
          <w:ilvl w:val="1"/>
          <w:numId w:val="2"/>
        </w:numPr>
      </w:pPr>
      <w:r>
        <w:rPr>
          <w:rStyle w:val="MdCode"/>
          <w:u w:val="single"/>
        </w:rPr>
        <w:t xml:space="preserve">#E9D8A6</w:t>
      </w:r>
      <w:r>
        <w:t xml:space="preserve"> - </w:t>
      </w:r>
      <w:r>
        <w:rPr>
          <w:rStyle w:val="MdStrong"/>
          <w:b/>
          <w:bCs/>
        </w:rPr>
        <w:t xml:space="preserve">Golden Sand</w:t>
      </w:r>
      <w:r>
        <w:t xml:space="preserve"> (Warmth)</w:t>
      </w:r>
    </w:p>
    <w:p>
      <w:pPr>
        <w:pStyle w:val="MdSpace"/>
        <w:spacing w:before="0" w:after="60"/>
      </w:pPr>
    </w:p>
    <w:p>
      <w:pPr>
        <w:pStyle w:val="Heading4"/>
        <w:pStyle w:val="MdHeading4"/>
      </w:pPr>
      <w:r>
        <w:t xml:space="preserve">Secondary Colors</w:t>
      </w:r>
    </w:p>
    <w:p>
      <w:pPr>
        <w:pStyle w:val="MdParagraph"/>
      </w:pPr>
      <w:r>
        <w:t xml:space="preserve">These neutral colors provide a clean and professional foundation for UI elements, ensuring readability and focus on content.</w:t>
      </w:r>
    </w:p>
    <w:p>
      <w:pPr>
        <w:pStyle w:val="MdSpace"/>
        <w:spacing w:before="0" w:after="60"/>
      </w:pPr>
    </w:p>
    <w:p>
      <w:pPr>
        <w:pStyle w:val="MdListItem"/>
        <w:numPr>
          <w:ilvl w:val="0"/>
          <w:numId w:val="2"/>
        </w:numPr>
      </w:pPr>
      <w:r>
        <w:rPr>
          <w:rStyle w:val="MdStrong"/>
          <w:b/>
          <w:bCs/>
        </w:rPr>
        <w:t xml:space="preserve">Dark Blue (Primary Text):</w:t>
      </w:r>
      <w:r>
        <w:t xml:space="preserve"> </w:t>
      </w:r>
      <w:r>
        <w:rPr>
          <w:rStyle w:val="MdCode"/>
          <w:u w:val="single"/>
        </w:rPr>
        <w:t xml:space="preserve">#1A202C</w:t>
      </w:r>
    </w:p>
    <w:p>
      <w:pPr>
        <w:pStyle w:val="MdListItem"/>
        <w:numPr>
          <w:ilvl w:val="0"/>
          <w:numId w:val="2"/>
        </w:numPr>
      </w:pPr>
      <w:r>
        <w:rPr>
          <w:rStyle w:val="MdStrong"/>
          <w:b/>
          <w:bCs/>
        </w:rPr>
        <w:t xml:space="preserve">Medium Gray (Secondary Text):</w:t>
      </w:r>
      <w:r>
        <w:t xml:space="preserve"> </w:t>
      </w:r>
      <w:r>
        <w:rPr>
          <w:rStyle w:val="MdCode"/>
          <w:u w:val="single"/>
        </w:rPr>
        <w:t xml:space="preserve">#4A5568</w:t>
      </w:r>
    </w:p>
    <w:p>
      <w:pPr>
        <w:pStyle w:val="MdListItem"/>
        <w:numPr>
          <w:ilvl w:val="0"/>
          <w:numId w:val="2"/>
        </w:numPr>
      </w:pPr>
      <w:r>
        <w:rPr>
          <w:rStyle w:val="MdStrong"/>
          <w:b/>
          <w:bCs/>
        </w:rPr>
        <w:t xml:space="preserve">Light Gray (Backgrounds):</w:t>
      </w:r>
      <w:r>
        <w:t xml:space="preserve"> </w:t>
      </w:r>
      <w:r>
        <w:rPr>
          <w:rStyle w:val="MdCode"/>
          <w:u w:val="single"/>
        </w:rPr>
        <w:t xml:space="preserve">#F7FAFC</w:t>
      </w:r>
    </w:p>
    <w:p>
      <w:pPr>
        <w:pStyle w:val="MdListItem"/>
        <w:numPr>
          <w:ilvl w:val="0"/>
          <w:numId w:val="2"/>
        </w:numPr>
      </w:pPr>
      <w:r>
        <w:rPr>
          <w:rStyle w:val="MdStrong"/>
          <w:b/>
          <w:bCs/>
        </w:rPr>
        <w:t xml:space="preserve">White:</w:t>
      </w:r>
      <w:r>
        <w:t xml:space="preserve"> </w:t>
      </w:r>
      <w:r>
        <w:rPr>
          <w:rStyle w:val="MdCode"/>
          <w:u w:val="single"/>
        </w:rPr>
        <w:t xml:space="preserve">#FFFFFF</w:t>
      </w:r>
    </w:p>
    <w:p>
      <w:pPr>
        <w:pStyle w:val="MdListItem"/>
        <w:numPr>
          <w:ilvl w:val="0"/>
          <w:numId w:val="2"/>
        </w:numPr>
      </w:pPr>
      <w:r>
        <w:rPr>
          <w:rStyle w:val="MdStrong"/>
          <w:b/>
          <w:bCs/>
        </w:rPr>
        <w:t xml:space="preserve">Black:</w:t>
      </w:r>
      <w:r>
        <w:t xml:space="preserve"> </w:t>
      </w:r>
      <w:r>
        <w:rPr>
          <w:rStyle w:val="MdCode"/>
          <w:u w:val="single"/>
        </w:rPr>
        <w:t xml:space="preserve">#000000</w:t>
      </w:r>
    </w:p>
    <w:p>
      <w:pPr>
        <w:pStyle w:val="MdSpace"/>
        <w:spacing w:before="0" w:after="60"/>
      </w:pPr>
    </w:p>
    <w:p>
      <w:pPr>
        <w:pStyle w:val="Heading4"/>
        <w:pStyle w:val="MdHeading4"/>
      </w:pPr>
      <w:r>
        <w:t xml:space="preserve">Functional Colors</w:t>
      </w:r>
    </w:p>
    <w:p>
      <w:pPr>
        <w:pStyle w:val="MdParagraph"/>
      </w:pPr>
      <w:r>
        <w:t xml:space="preserve">These colors are reserved for communicating specific states and feedback to the user, maintaining consistency and clarity.</w:t>
      </w:r>
    </w:p>
    <w:p>
      <w:pPr>
        <w:pStyle w:val="MdSpace"/>
        <w:spacing w:before="0" w:after="60"/>
      </w:pPr>
    </w:p>
    <w:p>
      <w:pPr>
        <w:pStyle w:val="MdListItem"/>
        <w:numPr>
          <w:ilvl w:val="0"/>
          <w:numId w:val="2"/>
        </w:numPr>
      </w:pPr>
      <w:r>
        <w:rPr>
          <w:rStyle w:val="MdStrong"/>
          <w:b/>
          <w:bCs/>
        </w:rPr>
        <w:t xml:space="preserve">Success:</w:t>
      </w:r>
      <w:r>
        <w:t xml:space="preserve"> </w:t>
      </w:r>
      <w:r>
        <w:rPr>
          <w:rStyle w:val="MdCode"/>
          <w:u w:val="single"/>
        </w:rPr>
        <w:t xml:space="preserve">#48BB78</w:t>
      </w:r>
      <w:r>
        <w:t xml:space="preserve"> (Green)</w:t>
      </w:r>
    </w:p>
    <w:p>
      <w:pPr>
        <w:pStyle w:val="MdListItem"/>
        <w:numPr>
          <w:ilvl w:val="0"/>
          <w:numId w:val="2"/>
        </w:numPr>
      </w:pPr>
      <w:r>
        <w:rPr>
          <w:rStyle w:val="MdStrong"/>
          <w:b/>
          <w:bCs/>
        </w:rPr>
        <w:t xml:space="preserve">Warning:</w:t>
      </w:r>
      <w:r>
        <w:t xml:space="preserve"> </w:t>
      </w:r>
      <w:r>
        <w:rPr>
          <w:rStyle w:val="MdCode"/>
          <w:u w:val="single"/>
        </w:rPr>
        <w:t xml:space="preserve">#ECC94B</w:t>
      </w:r>
      <w:r>
        <w:t xml:space="preserve"> (Yellow)</w:t>
      </w:r>
    </w:p>
    <w:p>
      <w:pPr>
        <w:pStyle w:val="MdListItem"/>
        <w:numPr>
          <w:ilvl w:val="0"/>
          <w:numId w:val="2"/>
        </w:numPr>
      </w:pPr>
      <w:r>
        <w:rPr>
          <w:rStyle w:val="MdStrong"/>
          <w:b/>
          <w:bCs/>
        </w:rPr>
        <w:t xml:space="preserve">Error:</w:t>
      </w:r>
      <w:r>
        <w:t xml:space="preserve"> </w:t>
      </w:r>
      <w:r>
        <w:rPr>
          <w:rStyle w:val="MdCode"/>
          <w:u w:val="single"/>
        </w:rPr>
        <w:t xml:space="preserve">#F56565</w:t>
      </w:r>
      <w:r>
        <w:t xml:space="preserve"> (Red)</w:t>
      </w:r>
    </w:p>
    <w:p>
      <w:pPr>
        <w:pStyle w:val="MdListItem"/>
        <w:numPr>
          <w:ilvl w:val="0"/>
          <w:numId w:val="2"/>
        </w:numPr>
      </w:pPr>
      <w:r>
        <w:rPr>
          <w:rStyle w:val="MdStrong"/>
          <w:b/>
          <w:bCs/>
        </w:rPr>
        <w:t xml:space="preserve">Info:</w:t>
      </w:r>
      <w:r>
        <w:t xml:space="preserve"> </w:t>
      </w:r>
      <w:r>
        <w:rPr>
          <w:rStyle w:val="MdCode"/>
          <w:u w:val="single"/>
        </w:rPr>
        <w:t xml:space="preserve">#4299E1</w:t>
      </w:r>
      <w:r>
        <w:t xml:space="preserve"> (Blue)</w:t>
      </w:r>
    </w:p>
    <w:p>
      <w:pPr>
        <w:pStyle w:val="MdSpace"/>
        <w:spacing w:before="0" w:after="60"/>
      </w:pPr>
    </w:p>
    <w:p>
      <w:pPr>
        <w:pStyle w:val="Heading3"/>
        <w:pStyle w:val="MdHeading3"/>
      </w:pPr>
      <w:r>
        <w:t xml:space="preserve">Typography</w:t>
      </w:r>
    </w:p>
    <w:p>
      <w:pPr>
        <w:pStyle w:val="Heading4"/>
        <w:pStyle w:val="MdHeading4"/>
      </w:pPr>
      <w:r>
        <w:t xml:space="preserve">Font Family</w:t>
      </w:r>
    </w:p>
    <w:p>
      <w:pPr>
        <w:pStyle w:val="MdListItem"/>
        <w:numPr>
          <w:ilvl w:val="0"/>
          <w:numId w:val="2"/>
        </w:numPr>
      </w:pPr>
      <w:r>
        <w:rPr>
          <w:rStyle w:val="MdStrong"/>
          <w:b/>
          <w:bCs/>
        </w:rPr>
        <w:t xml:space="preserve">Primary Font:</w:t>
      </w:r>
      <w:r>
        <w:t xml:space="preserve"> </w:t>
      </w:r>
      <w:r>
        <w:rPr>
          <w:rStyle w:val="MdStrong"/>
          <w:b/>
          <w:bCs/>
        </w:rPr>
        <w:t xml:space="preserve">Inter, sans-serif</w:t>
      </w:r>
      <w:r>
        <w:t xml:space="preserve">. Chosen for its excellent readability across all screen sizes, modern aesthetic, and extensive range of weights. It provides a clean, professional, and efficient feel, aligning with the brand's emphasis on clarity and data presentation.</w:t>
      </w:r>
    </w:p>
    <w:p>
      <w:pPr>
        <w:pStyle w:val="MdListItem"/>
        <w:numPr>
          <w:ilvl w:val="0"/>
          <w:numId w:val="2"/>
        </w:numPr>
      </w:pPr>
      <w:r>
        <w:rPr>
          <w:rStyle w:val="MdStrong"/>
          <w:b/>
          <w:bCs/>
        </w:rPr>
        <w:t xml:space="preserve">Secondary Font:</w:t>
      </w:r>
      <w:r>
        <w:t xml:space="preserve"> </w:t>
      </w:r>
      <w:r>
        <w:rPr>
          <w:rStyle w:val="MdStrong"/>
          <w:b/>
          <w:bCs/>
        </w:rPr>
        <w:t xml:space="preserve">DM Serif Display, serif</w:t>
      </w:r>
      <w:r>
        <w:t xml:space="preserve">. Selected for major headlines to add a touch of elegance and sophistication. Its distinct character provides a strong visual hierarchy and a sense of legacy, complementing the primary font without clashing.</w:t>
      </w:r>
    </w:p>
    <w:p>
      <w:pPr>
        <w:pStyle w:val="MdSpace"/>
        <w:spacing w:before="0" w:after="60"/>
      </w:pPr>
    </w:p>
    <w:p>
      <w:pPr>
        <w:pStyle w:val="Heading4"/>
        <w:pStyle w:val="MdHeading4"/>
      </w:pPr>
      <w:r>
        <w:t xml:space="preserve">Font Sizes</w:t>
      </w:r>
    </w:p>
    <w:p>
      <w:pPr>
        <w:pStyle w:val="MdParagraph"/>
      </w:pPr>
      <w:r>
        <w:t xml:space="preserve">This typographic scale ensures consistency and responsiveness across all devices, optimizing for readability and visual impact.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Type Style</w:t>
            </w:r>
          </w:p>
        </w:tc>
        <w:tc>
          <w:tcPr>
            <w:tcMar>
              <w:top w:type="dxa" w:w="100"/>
              <w:left w:type="dxa" w:w="120"/>
              <w:bottom w:type="dxa" w:w="100"/>
              <w:right w:type="dxa" w:w="120"/>
            </w:tcMar>
            <w:vAlign w:val="center"/>
          </w:tcPr>
          <w:p>
            <w:pPr>
              <w:pStyle w:val="MdTableHeader"/>
              <w:jc w:val="left"/>
            </w:pPr>
            <w:r>
              <w:t xml:space="preserve">rem</w:t>
            </w:r>
          </w:p>
        </w:tc>
        <w:tc>
          <w:tcPr>
            <w:tcMar>
              <w:top w:type="dxa" w:w="100"/>
              <w:left w:type="dxa" w:w="120"/>
              <w:bottom w:type="dxa" w:w="100"/>
              <w:right w:type="dxa" w:w="120"/>
            </w:tcMar>
            <w:vAlign w:val="center"/>
          </w:tcPr>
          <w:p>
            <w:pPr>
              <w:pStyle w:val="MdTableHeader"/>
              <w:jc w:val="left"/>
            </w:pPr>
            <w:r>
              <w:t xml:space="preserve">px</w:t>
            </w:r>
          </w:p>
        </w:tc>
        <w:tc>
          <w:tcPr>
            <w:tcBorders>
              <w:right w:val="none"/>
            </w:tcBorders>
            <w:tcMar>
              <w:top w:type="dxa" w:w="100"/>
              <w:left w:type="dxa" w:w="120"/>
              <w:bottom w:type="dxa" w:w="100"/>
              <w:right w:type="dxa" w:w="120"/>
            </w:tcMar>
            <w:vAlign w:val="center"/>
          </w:tcPr>
          <w:p>
            <w:pPr>
              <w:pStyle w:val="MdTableHeader"/>
              <w:jc w:val="left"/>
            </w:pPr>
            <w:r>
              <w:t xml:space="preserve">Line Height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H1</w:t>
            </w:r>
          </w:p>
        </w:tc>
        <w:tc>
          <w:tcPr>
            <w:tcMar>
              <w:top w:type="dxa" w:w="80"/>
              <w:left w:type="dxa" w:w="120"/>
              <w:bottom w:type="dxa" w:w="80"/>
              <w:right w:type="dxa" w:w="120"/>
            </w:tcMar>
            <w:vAlign w:val="center"/>
          </w:tcPr>
          <w:p>
            <w:pPr>
              <w:pStyle w:val="MdTableCell"/>
              <w:jc w:val="left"/>
            </w:pPr>
            <w:r>
              <w:t xml:space="preserve">4.5rem</w:t>
            </w:r>
          </w:p>
        </w:tc>
        <w:tc>
          <w:tcPr>
            <w:tcMar>
              <w:top w:type="dxa" w:w="80"/>
              <w:left w:type="dxa" w:w="120"/>
              <w:bottom w:type="dxa" w:w="80"/>
              <w:right w:type="dxa" w:w="120"/>
            </w:tcMar>
            <w:vAlign w:val="center"/>
          </w:tcPr>
          <w:p>
            <w:pPr>
              <w:pStyle w:val="MdTableCell"/>
              <w:jc w:val="left"/>
            </w:pPr>
            <w:r>
              <w:t xml:space="preserve">72px</w:t>
            </w:r>
          </w:p>
        </w:tc>
        <w:tc>
          <w:tcPr>
            <w:tcBorders>
              <w:right w:val="none"/>
            </w:tcBorders>
            <w:tcMar>
              <w:top w:type="dxa" w:w="80"/>
              <w:left w:type="dxa" w:w="120"/>
              <w:bottom w:type="dxa" w:w="80"/>
              <w:right w:type="dxa" w:w="120"/>
            </w:tcMar>
            <w:vAlign w:val="center"/>
          </w:tcPr>
          <w:p>
            <w:pPr>
              <w:pStyle w:val="MdTableCell"/>
              <w:jc w:val="left"/>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H2</w:t>
            </w:r>
          </w:p>
        </w:tc>
        <w:tc>
          <w:tcPr>
            <w:tcMar>
              <w:top w:type="dxa" w:w="80"/>
              <w:left w:type="dxa" w:w="120"/>
              <w:bottom w:type="dxa" w:w="80"/>
              <w:right w:type="dxa" w:w="120"/>
            </w:tcMar>
            <w:vAlign w:val="center"/>
          </w:tcPr>
          <w:p>
            <w:pPr>
              <w:pStyle w:val="MdTableCell"/>
              <w:jc w:val="left"/>
            </w:pPr>
            <w:r>
              <w:t xml:space="preserve">3rem</w:t>
            </w:r>
          </w:p>
        </w:tc>
        <w:tc>
          <w:tcPr>
            <w:tcMar>
              <w:top w:type="dxa" w:w="80"/>
              <w:left w:type="dxa" w:w="120"/>
              <w:bottom w:type="dxa" w:w="80"/>
              <w:right w:type="dxa" w:w="120"/>
            </w:tcMar>
            <w:vAlign w:val="center"/>
          </w:tcPr>
          <w:p>
            <w:pPr>
              <w:pStyle w:val="MdTableCell"/>
              <w:jc w:val="left"/>
            </w:pPr>
            <w:r>
              <w:t xml:space="preserve">48px</w:t>
            </w:r>
          </w:p>
        </w:tc>
        <w:tc>
          <w:tcPr>
            <w:tcBorders>
              <w:right w:val="none"/>
            </w:tcBorders>
            <w:tcMar>
              <w:top w:type="dxa" w:w="80"/>
              <w:left w:type="dxa" w:w="120"/>
              <w:bottom w:type="dxa" w:w="80"/>
              <w:right w:type="dxa" w:w="120"/>
            </w:tcMar>
            <w:vAlign w:val="center"/>
          </w:tcPr>
          <w:p>
            <w:pPr>
              <w:pStyle w:val="MdTableCell"/>
              <w:jc w:val="left"/>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H3</w:t>
            </w:r>
          </w:p>
        </w:tc>
        <w:tc>
          <w:tcPr>
            <w:tcMar>
              <w:top w:type="dxa" w:w="80"/>
              <w:left w:type="dxa" w:w="120"/>
              <w:bottom w:type="dxa" w:w="80"/>
              <w:right w:type="dxa" w:w="120"/>
            </w:tcMar>
            <w:vAlign w:val="center"/>
          </w:tcPr>
          <w:p>
            <w:pPr>
              <w:pStyle w:val="MdTableCell"/>
              <w:jc w:val="left"/>
            </w:pPr>
            <w:r>
              <w:t xml:space="preserve">2.25rem</w:t>
            </w:r>
          </w:p>
        </w:tc>
        <w:tc>
          <w:tcPr>
            <w:tcMar>
              <w:top w:type="dxa" w:w="80"/>
              <w:left w:type="dxa" w:w="120"/>
              <w:bottom w:type="dxa" w:w="80"/>
              <w:right w:type="dxa" w:w="120"/>
            </w:tcMar>
            <w:vAlign w:val="center"/>
          </w:tcPr>
          <w:p>
            <w:pPr>
              <w:pStyle w:val="MdTableCell"/>
              <w:jc w:val="left"/>
            </w:pPr>
            <w:r>
              <w:t xml:space="preserve">36px</w:t>
            </w:r>
          </w:p>
        </w:tc>
        <w:tc>
          <w:tcPr>
            <w:tcBorders>
              <w:right w:val="none"/>
            </w:tcBorders>
            <w:tcMar>
              <w:top w:type="dxa" w:w="80"/>
              <w:left w:type="dxa" w:w="120"/>
              <w:bottom w:type="dxa" w:w="80"/>
              <w:right w:type="dxa" w:w="120"/>
            </w:tcMar>
            <w:vAlign w:val="center"/>
          </w:tcPr>
          <w:p>
            <w:pPr>
              <w:pStyle w:val="MdTableCell"/>
              <w:jc w:val="left"/>
            </w:pPr>
            <w:r>
              <w:t xml:space="preserve">1.25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H4</w:t>
            </w:r>
          </w:p>
        </w:tc>
        <w:tc>
          <w:tcPr>
            <w:tcMar>
              <w:top w:type="dxa" w:w="80"/>
              <w:left w:type="dxa" w:w="120"/>
              <w:bottom w:type="dxa" w:w="80"/>
              <w:right w:type="dxa" w:w="120"/>
            </w:tcMar>
            <w:vAlign w:val="center"/>
          </w:tcPr>
          <w:p>
            <w:pPr>
              <w:pStyle w:val="MdTableCell"/>
              <w:jc w:val="left"/>
            </w:pPr>
            <w:r>
              <w:t xml:space="preserve">1.875rem</w:t>
            </w:r>
          </w:p>
        </w:tc>
        <w:tc>
          <w:tcPr>
            <w:tcMar>
              <w:top w:type="dxa" w:w="80"/>
              <w:left w:type="dxa" w:w="120"/>
              <w:bottom w:type="dxa" w:w="80"/>
              <w:right w:type="dxa" w:w="120"/>
            </w:tcMar>
            <w:vAlign w:val="center"/>
          </w:tcPr>
          <w:p>
            <w:pPr>
              <w:pStyle w:val="MdTableCell"/>
              <w:jc w:val="left"/>
            </w:pPr>
            <w:r>
              <w:t xml:space="preserve">30px</w:t>
            </w:r>
          </w:p>
        </w:tc>
        <w:tc>
          <w:tcPr>
            <w:tcBorders>
              <w:right w:val="none"/>
            </w:tcBorders>
            <w:tcMar>
              <w:top w:type="dxa" w:w="80"/>
              <w:left w:type="dxa" w:w="120"/>
              <w:bottom w:type="dxa" w:w="80"/>
              <w:right w:type="dxa" w:w="120"/>
            </w:tcMar>
            <w:vAlign w:val="center"/>
          </w:tcPr>
          <w:p>
            <w:pPr>
              <w:pStyle w:val="MdTableCell"/>
              <w:jc w:val="left"/>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H5</w:t>
            </w:r>
          </w:p>
        </w:tc>
        <w:tc>
          <w:tcPr>
            <w:tcMar>
              <w:top w:type="dxa" w:w="80"/>
              <w:left w:type="dxa" w:w="120"/>
              <w:bottom w:type="dxa" w:w="80"/>
              <w:right w:type="dxa" w:w="120"/>
            </w:tcMar>
            <w:vAlign w:val="center"/>
          </w:tcPr>
          <w:p>
            <w:pPr>
              <w:pStyle w:val="MdTableCell"/>
              <w:jc w:val="left"/>
            </w:pPr>
            <w:r>
              <w:t xml:space="preserve">1.5rem</w:t>
            </w:r>
          </w:p>
        </w:tc>
        <w:tc>
          <w:tcPr>
            <w:tcMar>
              <w:top w:type="dxa" w:w="80"/>
              <w:left w:type="dxa" w:w="120"/>
              <w:bottom w:type="dxa" w:w="80"/>
              <w:right w:type="dxa" w:w="120"/>
            </w:tcMar>
            <w:vAlign w:val="center"/>
          </w:tcPr>
          <w:p>
            <w:pPr>
              <w:pStyle w:val="MdTableCell"/>
              <w:jc w:val="left"/>
            </w:pPr>
            <w:r>
              <w:t xml:space="preserve">24px</w:t>
            </w:r>
          </w:p>
        </w:tc>
        <w:tc>
          <w:tcPr>
            <w:tcBorders>
              <w:right w:val="none"/>
            </w:tcBorders>
            <w:tcMar>
              <w:top w:type="dxa" w:w="80"/>
              <w:left w:type="dxa" w:w="120"/>
              <w:bottom w:type="dxa" w:w="80"/>
              <w:right w:type="dxa" w:w="120"/>
            </w:tcMar>
            <w:vAlign w:val="center"/>
          </w:tcPr>
          <w:p>
            <w:pPr>
              <w:pStyle w:val="MdTableCell"/>
              <w:jc w:val="left"/>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H6</w:t>
            </w:r>
          </w:p>
        </w:tc>
        <w:tc>
          <w:tcPr>
            <w:tcMar>
              <w:top w:type="dxa" w:w="80"/>
              <w:left w:type="dxa" w:w="120"/>
              <w:bottom w:type="dxa" w:w="80"/>
              <w:right w:type="dxa" w:w="120"/>
            </w:tcMar>
            <w:vAlign w:val="center"/>
          </w:tcPr>
          <w:p>
            <w:pPr>
              <w:pStyle w:val="MdTableCell"/>
              <w:jc w:val="left"/>
            </w:pPr>
            <w:r>
              <w:t xml:space="preserve">1.25rem</w:t>
            </w:r>
          </w:p>
        </w:tc>
        <w:tc>
          <w:tcPr>
            <w:tcMar>
              <w:top w:type="dxa" w:w="80"/>
              <w:left w:type="dxa" w:w="120"/>
              <w:bottom w:type="dxa" w:w="80"/>
              <w:right w:type="dxa" w:w="120"/>
            </w:tcMar>
            <w:vAlign w:val="center"/>
          </w:tcPr>
          <w:p>
            <w:pPr>
              <w:pStyle w:val="MdTableCell"/>
              <w:jc w:val="left"/>
            </w:pPr>
            <w:r>
              <w:t xml:space="preserve">20px</w:t>
            </w:r>
          </w:p>
        </w:tc>
        <w:tc>
          <w:tcPr>
            <w:tcBorders>
              <w:right w:val="none"/>
            </w:tcBorders>
            <w:tcMar>
              <w:top w:type="dxa" w:w="80"/>
              <w:left w:type="dxa" w:w="120"/>
              <w:bottom w:type="dxa" w:w="80"/>
              <w:right w:type="dxa" w:w="120"/>
            </w:tcMar>
            <w:vAlign w:val="center"/>
          </w:tcPr>
          <w:p>
            <w:pPr>
              <w:pStyle w:val="MdTableCell"/>
              <w:jc w:val="left"/>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Body</w:t>
            </w:r>
          </w:p>
        </w:tc>
        <w:tc>
          <w:tcPr>
            <w:tcMar>
              <w:top w:type="dxa" w:w="80"/>
              <w:left w:type="dxa" w:w="120"/>
              <w:bottom w:type="dxa" w:w="80"/>
              <w:right w:type="dxa" w:w="120"/>
            </w:tcMar>
            <w:vAlign w:val="center"/>
          </w:tcPr>
          <w:p>
            <w:pPr>
              <w:pStyle w:val="MdTableCell"/>
              <w:jc w:val="left"/>
            </w:pPr>
            <w:r>
              <w:t xml:space="preserve">1rem</w:t>
            </w:r>
          </w:p>
        </w:tc>
        <w:tc>
          <w:tcPr>
            <w:tcMar>
              <w:top w:type="dxa" w:w="80"/>
              <w:left w:type="dxa" w:w="120"/>
              <w:bottom w:type="dxa" w:w="80"/>
              <w:right w:type="dxa" w:w="120"/>
            </w:tcMar>
            <w:vAlign w:val="center"/>
          </w:tcPr>
          <w:p>
            <w:pPr>
              <w:pStyle w:val="MdTableCell"/>
              <w:jc w:val="left"/>
            </w:pPr>
            <w:r>
              <w:t xml:space="preserve">16px</w:t>
            </w:r>
          </w:p>
        </w:tc>
        <w:tc>
          <w:tcPr>
            <w:tcBorders>
              <w:right w:val="none"/>
            </w:tcBorders>
            <w:tcMar>
              <w:top w:type="dxa" w:w="80"/>
              <w:left w:type="dxa" w:w="120"/>
              <w:bottom w:type="dxa" w:w="80"/>
              <w:right w:type="dxa" w:w="120"/>
            </w:tcMar>
            <w:vAlign w:val="center"/>
          </w:tcPr>
          <w:p>
            <w:pPr>
              <w:pStyle w:val="MdTableCell"/>
              <w:jc w:val="left"/>
            </w:pPr>
            <w: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Body Small</w:t>
            </w:r>
          </w:p>
        </w:tc>
        <w:tc>
          <w:tcPr>
            <w:tcMar>
              <w:top w:type="dxa" w:w="80"/>
              <w:left w:type="dxa" w:w="120"/>
              <w:bottom w:type="dxa" w:w="80"/>
              <w:right w:type="dxa" w:w="120"/>
            </w:tcMar>
            <w:vAlign w:val="center"/>
          </w:tcPr>
          <w:p>
            <w:pPr>
              <w:pStyle w:val="MdTableCell"/>
              <w:jc w:val="left"/>
            </w:pPr>
            <w:r>
              <w:t xml:space="preserve">0.875rem</w:t>
            </w:r>
          </w:p>
        </w:tc>
        <w:tc>
          <w:tcPr>
            <w:tcMar>
              <w:top w:type="dxa" w:w="80"/>
              <w:left w:type="dxa" w:w="120"/>
              <w:bottom w:type="dxa" w:w="80"/>
              <w:right w:type="dxa" w:w="120"/>
            </w:tcMar>
            <w:vAlign w:val="center"/>
          </w:tcPr>
          <w:p>
            <w:pPr>
              <w:pStyle w:val="MdTableCell"/>
              <w:jc w:val="left"/>
            </w:pPr>
            <w:r>
              <w:t xml:space="preserve">14px</w:t>
            </w:r>
          </w:p>
        </w:tc>
        <w:tc>
          <w:tcPr>
            <w:tcBorders>
              <w:right w:val="none"/>
            </w:tcBorders>
            <w:tcMar>
              <w:top w:type="dxa" w:w="80"/>
              <w:left w:type="dxa" w:w="120"/>
              <w:bottom w:type="dxa" w:w="80"/>
              <w:right w:type="dxa" w:w="120"/>
            </w:tcMar>
            <w:vAlign w:val="center"/>
          </w:tcPr>
          <w:p>
            <w:pPr>
              <w:pStyle w:val="MdTableCell"/>
              <w:jc w:val="left"/>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Body XSmall</w:t>
            </w:r>
          </w:p>
        </w:tc>
        <w:tc>
          <w:tcPr>
            <w:tcMar>
              <w:top w:type="dxa" w:w="80"/>
              <w:left w:type="dxa" w:w="120"/>
              <w:bottom w:type="dxa" w:w="80"/>
              <w:right w:type="dxa" w:w="120"/>
            </w:tcMar>
            <w:vAlign w:val="center"/>
          </w:tcPr>
          <w:p>
            <w:pPr>
              <w:pStyle w:val="MdTableCell"/>
              <w:jc w:val="left"/>
            </w:pPr>
            <w:r>
              <w:t xml:space="preserve">0.75rem</w:t>
            </w:r>
          </w:p>
        </w:tc>
        <w:tc>
          <w:tcPr>
            <w:tcMar>
              <w:top w:type="dxa" w:w="80"/>
              <w:left w:type="dxa" w:w="120"/>
              <w:bottom w:type="dxa" w:w="80"/>
              <w:right w:type="dxa" w:w="120"/>
            </w:tcMar>
            <w:vAlign w:val="center"/>
          </w:tcPr>
          <w:p>
            <w:pPr>
              <w:pStyle w:val="MdTableCell"/>
              <w:jc w:val="left"/>
            </w:pPr>
            <w:r>
              <w:t xml:space="preserve">12px</w:t>
            </w:r>
          </w:p>
        </w:tc>
        <w:tc>
          <w:tcPr>
            <w:tcBorders>
              <w:right w:val="none"/>
            </w:tcBorders>
            <w:tcMar>
              <w:top w:type="dxa" w:w="80"/>
              <w:left w:type="dxa" w:w="120"/>
              <w:bottom w:type="dxa" w:w="80"/>
              <w:right w:type="dxa" w:w="120"/>
            </w:tcMar>
            <w:vAlign w:val="center"/>
          </w:tcPr>
          <w:p>
            <w:pPr>
              <w:pStyle w:val="MdTableCell"/>
              <w:jc w:val="left"/>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Display</w:t>
            </w:r>
          </w:p>
        </w:tc>
        <w:tc>
          <w:tcPr>
            <w:tcMar>
              <w:top w:type="dxa" w:w="80"/>
              <w:left w:type="dxa" w:w="120"/>
              <w:bottom w:type="dxa" w:w="80"/>
              <w:right w:type="dxa" w:w="120"/>
            </w:tcMar>
            <w:vAlign w:val="center"/>
          </w:tcPr>
          <w:p>
            <w:pPr>
              <w:pStyle w:val="MdTableCell"/>
              <w:jc w:val="left"/>
            </w:pPr>
            <w:r>
              <w:t xml:space="preserve">6rem</w:t>
            </w:r>
          </w:p>
        </w:tc>
        <w:tc>
          <w:tcPr>
            <w:tcMar>
              <w:top w:type="dxa" w:w="80"/>
              <w:left w:type="dxa" w:w="120"/>
              <w:bottom w:type="dxa" w:w="80"/>
              <w:right w:type="dxa" w:w="120"/>
            </w:tcMar>
            <w:vAlign w:val="center"/>
          </w:tcPr>
          <w:p>
            <w:pPr>
              <w:pStyle w:val="MdTableCell"/>
              <w:jc w:val="left"/>
            </w:pPr>
            <w:r>
              <w:t xml:space="preserve">96px</w:t>
            </w:r>
          </w:p>
        </w:tc>
        <w:tc>
          <w:tcPr>
            <w:tcBorders>
              <w:right w:val="none"/>
            </w:tcBorders>
            <w:tcMar>
              <w:top w:type="dxa" w:w="80"/>
              <w:left w:type="dxa" w:w="120"/>
              <w:bottom w:type="dxa" w:w="80"/>
              <w:right w:type="dxa" w:w="120"/>
            </w:tcMar>
            <w:vAlign w:val="center"/>
          </w:tcPr>
          <w:p>
            <w:pPr>
              <w:pStyle w:val="MdTableCell"/>
              <w:jc w:val="left"/>
            </w:pPr>
            <w:r>
              <w:t xml:space="preserve">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Caption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0.625rem</w:t>
            </w:r>
          </w:p>
        </w:tc>
        <w:tc>
          <w:tcPr>
            <w:tcBorders>
              <w:bottom w:val="single" w:color="E1E4E8" w:sz="4"/>
            </w:tcBorders>
            <w:tcMar>
              <w:top w:type="dxa" w:w="80"/>
              <w:left w:type="dxa" w:w="120"/>
              <w:bottom w:type="dxa" w:w="80"/>
              <w:right w:type="dxa" w:w="120"/>
            </w:tcMar>
            <w:vAlign w:val="center"/>
          </w:tcPr>
          <w:p>
            <w:pPr>
              <w:pStyle w:val="MdTableCell"/>
              <w:jc w:val="left"/>
            </w:pPr>
            <w:r>
              <w:t xml:space="preserve">10px</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1.3</w:t>
            </w:r>
          </w:p>
        </w:tc>
      </w:tr>
    </w:tbl>
    <w:p>
      <w:pPr>
        <w:pStyle w:val="Heading4"/>
        <w:pStyle w:val="MdHeading4"/>
      </w:pPr>
      <w:r>
        <w:t xml:space="preserve">Font Weights</w:t>
      </w:r>
    </w:p>
    <w:p>
      <w:pPr>
        <w:pStyle w:val="MdParagraph"/>
      </w:pPr>
      <w:r>
        <w:t xml:space="preserve">Standardized font weights for consistent visual hierarchy and emphasis.</w:t>
      </w:r>
    </w:p>
    <w:p>
      <w:pPr>
        <w:pStyle w:val="MdSpace"/>
        <w:spacing w:before="0" w:after="60"/>
      </w:pPr>
    </w:p>
    <w:p>
      <w:pPr>
        <w:pStyle w:val="MdListItem"/>
        <w:numPr>
          <w:ilvl w:val="0"/>
          <w:numId w:val="2"/>
        </w:numPr>
      </w:pPr>
      <w:r>
        <w:t xml:space="preserve">Light (300)</w:t>
      </w:r>
    </w:p>
    <w:p>
      <w:pPr>
        <w:pStyle w:val="MdListItem"/>
        <w:numPr>
          <w:ilvl w:val="0"/>
          <w:numId w:val="2"/>
        </w:numPr>
      </w:pPr>
      <w:r>
        <w:t xml:space="preserve">Regular (400)</w:t>
      </w:r>
    </w:p>
    <w:p>
      <w:pPr>
        <w:pStyle w:val="MdListItem"/>
        <w:numPr>
          <w:ilvl w:val="0"/>
          <w:numId w:val="2"/>
        </w:numPr>
      </w:pPr>
      <w:r>
        <w:t xml:space="preserve">Medium (500)</w:t>
      </w:r>
    </w:p>
    <w:p>
      <w:pPr>
        <w:pStyle w:val="MdListItem"/>
        <w:numPr>
          <w:ilvl w:val="0"/>
          <w:numId w:val="2"/>
        </w:numPr>
      </w:pPr>
      <w:r>
        <w:t xml:space="preserve">Semibold (600)</w:t>
      </w:r>
    </w:p>
    <w:p>
      <w:pPr>
        <w:pStyle w:val="MdListItem"/>
        <w:numPr>
          <w:ilvl w:val="0"/>
          <w:numId w:val="2"/>
        </w:numPr>
      </w:pPr>
      <w:r>
        <w:t xml:space="preserve">Bold (700)</w:t>
      </w:r>
    </w:p>
    <w:p>
      <w:pPr>
        <w:pStyle w:val="MdSpace"/>
        <w:spacing w:before="0" w:after="60"/>
      </w:pPr>
    </w:p>
    <w:p>
      <w:pPr>
        <w:pStyle w:val="Heading3"/>
        <w:pStyle w:val="MdHeading3"/>
      </w:pPr>
      <w:r>
        <w:t xml:space="preserve">UI Components</w:t>
      </w:r>
    </w:p>
    <w:p>
      <w:pPr>
        <w:pStyle w:val="Heading4"/>
        <w:pStyle w:val="MdHeading4"/>
      </w:pPr>
      <w:r>
        <w:t xml:space="preserve">21st.dev Components</w:t>
      </w:r>
    </w:p>
    <w:p>
      <w:pPr>
        <w:pStyle w:val="MdParagraph"/>
      </w:pPr>
      <w:r>
        <w:t xml:space="preserve">Leveraging a modern UI library like 21st.dev will provide a robust foundation for common interface elements, ensuring consistency and accelerating development.</w:t>
      </w:r>
    </w:p>
    <w:p>
      <w:pPr>
        <w:pStyle w:val="MdSpace"/>
        <w:spacing w:before="0" w:after="60"/>
      </w:pPr>
    </w:p>
    <w:p>
      <w:pPr>
        <w:pStyle w:val="MdListItem"/>
        <w:numPr>
          <w:ilvl w:val="0"/>
          <w:numId w:val="2"/>
        </w:numPr>
      </w:pPr>
      <w:r>
        <w:t xml:space="preserve">Navigation (e.g., Navbar, Sidebar, Breadcrumbs)</w:t>
      </w:r>
    </w:p>
    <w:p>
      <w:pPr>
        <w:pStyle w:val="MdListItem"/>
        <w:numPr>
          <w:ilvl w:val="0"/>
          <w:numId w:val="2"/>
        </w:numPr>
      </w:pPr>
      <w:r>
        <w:t xml:space="preserve">Layout (e.g., Grid, Stack, Container)</w:t>
      </w:r>
    </w:p>
    <w:p>
      <w:pPr>
        <w:pStyle w:val="MdListItem"/>
        <w:numPr>
          <w:ilvl w:val="0"/>
          <w:numId w:val="2"/>
        </w:numPr>
      </w:pPr>
      <w:r>
        <w:t xml:space="preserve">Forms (e.g., Input, Select, Checkbox, Radio, Button)</w:t>
      </w:r>
    </w:p>
    <w:p>
      <w:pPr>
        <w:pStyle w:val="MdListItem"/>
        <w:numPr>
          <w:ilvl w:val="0"/>
          <w:numId w:val="2"/>
        </w:numPr>
      </w:pPr>
      <w:r>
        <w:t xml:space="preserve">Feedback (e.g., Alert, Toast, Spinner, Progress Bar)</w:t>
      </w:r>
    </w:p>
    <w:p>
      <w:pPr>
        <w:pStyle w:val="MdListItem"/>
        <w:numPr>
          <w:ilvl w:val="0"/>
          <w:numId w:val="2"/>
        </w:numPr>
      </w:pPr>
      <w:r>
        <w:t xml:space="preserve">Data Display (e.g., Table, Card, Badge, Avatar)</w:t>
      </w:r>
    </w:p>
    <w:p>
      <w:pPr>
        <w:pStyle w:val="MdListItem"/>
        <w:numPr>
          <w:ilvl w:val="0"/>
          <w:numId w:val="2"/>
        </w:numPr>
      </w:pPr>
      <w:r>
        <w:t xml:space="preserve">Disclosure (e.g., Accordion, Tabs, Tooltip)</w:t>
      </w:r>
    </w:p>
    <w:p>
      <w:pPr>
        <w:pStyle w:val="MdSpace"/>
        <w:spacing w:before="0" w:after="60"/>
      </w:pPr>
    </w:p>
    <w:p>
      <w:pPr>
        <w:pStyle w:val="Heading4"/>
        <w:pStyle w:val="MdHeading4"/>
      </w:pPr>
      <w:r>
        <w:t xml:space="preserve">MagicUI Components</w:t>
      </w:r>
    </w:p>
    <w:p>
      <w:pPr>
        <w:pStyle w:val="MdParagraph"/>
      </w:pPr>
      <w:r>
        <w:t xml:space="preserve">To enhance user engagement and provide a polished, modern feel, specific animated components from a library like MagicUI will be integrated.</w:t>
      </w:r>
    </w:p>
    <w:p>
      <w:pPr>
        <w:pStyle w:val="MdSpace"/>
        <w:spacing w:before="0" w:after="60"/>
      </w:pPr>
    </w:p>
    <w:p>
      <w:pPr>
        <w:pStyle w:val="MdListItem"/>
        <w:numPr>
          <w:ilvl w:val="0"/>
          <w:numId w:val="2"/>
        </w:numPr>
      </w:pPr>
      <w:r>
        <w:t xml:space="preserve">Animated Cards (for athlete profiles or highlight summaries)</w:t>
      </w:r>
    </w:p>
    <w:p>
      <w:pPr>
        <w:pStyle w:val="MdListItem"/>
        <w:numPr>
          <w:ilvl w:val="0"/>
          <w:numId w:val="2"/>
        </w:numPr>
      </w:pPr>
      <w:r>
        <w:t xml:space="preserve">Hover Effects (for interactive elements and calls to action)</w:t>
      </w:r>
    </w:p>
    <w:p>
      <w:pPr>
        <w:pStyle w:val="MdListItem"/>
        <w:numPr>
          <w:ilvl w:val="0"/>
          <w:numId w:val="2"/>
        </w:numPr>
      </w:pPr>
      <w:r>
        <w:t xml:space="preserve">Scroll Animations (for a dynamic and engaging content flow)</w:t>
      </w:r>
    </w:p>
    <w:p>
      <w:pPr>
        <w:pStyle w:val="MdListItem"/>
        <w:numPr>
          <w:ilvl w:val="0"/>
          <w:numId w:val="2"/>
        </w:numPr>
      </w:pPr>
      <w:r>
        <w:t xml:space="preserve">Testimonial Carousels (for showcasing success stories from parents/coaches)</w:t>
      </w:r>
    </w:p>
    <w:p>
      <w:pPr>
        <w:pStyle w:val="MdListItem"/>
        <w:numPr>
          <w:ilvl w:val="0"/>
          <w:numId w:val="2"/>
        </w:numPr>
      </w:pPr>
      <w:r>
        <w:t xml:space="preserve">Animated Icons (for subtle feedback and visual interest)</w:t>
      </w:r>
    </w:p>
    <w:p>
      <w:pPr>
        <w:pStyle w:val="MdSpace"/>
        <w:spacing w:before="0" w:after="60"/>
      </w:pPr>
    </w:p>
    <w:p>
      <w:pPr>
        <w:pStyle w:val="Heading4"/>
        <w:pStyle w:val="MdHeading4"/>
      </w:pPr>
      <w:r>
        <w:t xml:space="preserve">reactbits.dev Components</w:t>
      </w:r>
    </w:p>
    <w:p>
      <w:pPr>
        <w:pStyle w:val="MdParagraph"/>
      </w:pPr>
      <w:r>
        <w:t xml:space="preserve">Similar to 21st.dev, reactbits.dev offers a comprehensive set of components that will be utilized for building a flexible and scalable UI.</w:t>
      </w:r>
    </w:p>
    <w:p>
      <w:pPr>
        <w:pStyle w:val="MdSpace"/>
        <w:spacing w:before="0" w:after="60"/>
      </w:pPr>
    </w:p>
    <w:p>
      <w:pPr>
        <w:pStyle w:val="MdListItem"/>
        <w:numPr>
          <w:ilvl w:val="0"/>
          <w:numId w:val="2"/>
        </w:numPr>
      </w:pPr>
      <w:r>
        <w:t xml:space="preserve">Navigation (e.g., Dropdown Menus, Pagination)</w:t>
      </w:r>
    </w:p>
    <w:p>
      <w:pPr>
        <w:pStyle w:val="MdListItem"/>
        <w:numPr>
          <w:ilvl w:val="0"/>
          <w:numId w:val="2"/>
        </w:numPr>
      </w:pPr>
      <w:r>
        <w:t xml:space="preserve">Layout (e.g., Flexbox utilities, Spacing)</w:t>
      </w:r>
    </w:p>
    <w:p>
      <w:pPr>
        <w:pStyle w:val="MdListItem"/>
        <w:numPr>
          <w:ilvl w:val="0"/>
          <w:numId w:val="2"/>
        </w:numPr>
      </w:pPr>
      <w:r>
        <w:t xml:space="preserve">Forms (e.g., Date Picker, File Upload)</w:t>
      </w:r>
    </w:p>
    <w:p>
      <w:pPr>
        <w:pStyle w:val="MdListItem"/>
        <w:numPr>
          <w:ilvl w:val="0"/>
          <w:numId w:val="2"/>
        </w:numPr>
      </w:pPr>
      <w:r>
        <w:t xml:space="preserve">Feedback (e.g., Modal, Drawer)</w:t>
      </w:r>
    </w:p>
    <w:p>
      <w:pPr>
        <w:pStyle w:val="MdListItem"/>
        <w:numPr>
          <w:ilvl w:val="0"/>
          <w:numId w:val="2"/>
        </w:numPr>
      </w:pPr>
      <w:r>
        <w:t xml:space="preserve">Data Display (e.g., List, Calendar)</w:t>
      </w:r>
    </w:p>
    <w:p>
      <w:pPr>
        <w:pStyle w:val="MdListItem"/>
        <w:numPr>
          <w:ilvl w:val="0"/>
          <w:numId w:val="2"/>
        </w:numPr>
      </w:pPr>
      <w:r>
        <w:t xml:space="preserve">Disclosure (e.g., Popover, Dialog)</w:t>
      </w:r>
    </w:p>
    <w:p>
      <w:pPr>
        <w:pStyle w:val="MdSpace"/>
        <w:spacing w:before="0" w:after="60"/>
      </w:pPr>
    </w:p>
    <w:p>
      <w:pPr>
        <w:pStyle w:val="Heading4"/>
        <w:pStyle w:val="MdHeading4"/>
      </w:pPr>
      <w:r>
        <w:t xml:space="preserve">Custom Components</w:t>
      </w:r>
    </w:p>
    <w:p>
      <w:pPr>
        <w:pStyle w:val="MdParagraph"/>
      </w:pPr>
      <w:r>
        <w:t xml:space="preserve">To address the unique functionalities of the youth athlete tracking app, several custom components will be developed.</w:t>
      </w:r>
    </w:p>
    <w:p>
      <w:pPr>
        <w:pStyle w:val="MdSpace"/>
        <w:spacing w:before="0" w:after="60"/>
      </w:pPr>
    </w:p>
    <w:p>
      <w:pPr>
        <w:pStyle w:val="MdListItem"/>
        <w:numPr>
          <w:ilvl w:val="0"/>
          <w:numId w:val="2"/>
        </w:numPr>
      </w:pPr>
      <w:r>
        <w:rPr>
          <w:rStyle w:val="MdStrong"/>
          <w:b/>
          <w:bCs/>
        </w:rPr>
        <w:t xml:space="preserve">Athlete Profile Dashboard:</w:t>
      </w:r>
      <w:r>
        <w:t xml:space="preserve"> A comprehensive, customizable dashboard displaying key stats, progress charts, and highlight reels for individual athletes.</w:t>
      </w:r>
    </w:p>
    <w:p>
      <w:pPr>
        <w:pStyle w:val="MdListItem"/>
        <w:numPr>
          <w:ilvl w:val="0"/>
          <w:numId w:val="2"/>
        </w:numPr>
      </w:pPr>
      <w:r>
        <w:rPr>
          <w:rStyle w:val="MdStrong"/>
          <w:b/>
          <w:bCs/>
        </w:rPr>
        <w:t xml:space="preserve">AI-Powered Highlight Reel Editor:</w:t>
      </w:r>
      <w:r>
        <w:t xml:space="preserve"> An intuitive interface for reviewing, editing, and sharing AI-generated video highlights.</w:t>
      </w:r>
    </w:p>
    <w:p>
      <w:pPr>
        <w:pStyle w:val="MdListItem"/>
        <w:numPr>
          <w:ilvl w:val="0"/>
          <w:numId w:val="2"/>
        </w:numPr>
      </w:pPr>
      <w:r>
        <w:rPr>
          <w:rStyle w:val="MdStrong"/>
          <w:b/>
          <w:bCs/>
        </w:rPr>
        <w:t xml:space="preserve">Recruitment Letter Generator:</w:t>
      </w:r>
      <w:r>
        <w:t xml:space="preserve"> A guided tool to draft and customize letters to scouts, integrating athlete data and highlights.</w:t>
      </w:r>
    </w:p>
    <w:p>
      <w:pPr>
        <w:pStyle w:val="MdListItem"/>
        <w:numPr>
          <w:ilvl w:val="0"/>
          <w:numId w:val="2"/>
        </w:numPr>
      </w:pPr>
      <w:r>
        <w:rPr>
          <w:rStyle w:val="MdStrong"/>
          <w:b/>
          <w:bCs/>
        </w:rPr>
        <w:t xml:space="preserve">Team/League Management Portal:</w:t>
      </w:r>
      <w:r>
        <w:t xml:space="preserve"> A centralized hub for coaches and administrators to manage rosters, schedules, and team-wide statistics.</w:t>
      </w:r>
    </w:p>
    <w:p>
      <w:pPr>
        <w:pStyle w:val="MdSpace"/>
        <w:spacing w:before="0" w:after="60"/>
      </w:pPr>
    </w:p>
    <w:p>
      <w:pPr>
        <w:pStyle w:val="Heading3"/>
        <w:pStyle w:val="MdHeading3"/>
      </w:pPr>
      <w:r>
        <w:t xml:space="preserve">Micro-Interactions</w:t>
      </w:r>
    </w:p>
    <w:p>
      <w:pPr>
        <w:pStyle w:val="MdParagraph"/>
      </w:pPr>
      <w:r>
        <w:t xml:space="preserve">Subtle animations will be implemented to provide immediate feedback, enhance usability, and create a delightful user experience.</w:t>
      </w:r>
    </w:p>
    <w:p>
      <w:pPr>
        <w:pStyle w:val="MdSpace"/>
        <w:spacing w:before="0" w:after="60"/>
      </w:pPr>
    </w:p>
    <w:p>
      <w:pPr>
        <w:pStyle w:val="MdListItem"/>
        <w:numPr>
          <w:ilvl w:val="0"/>
          <w:numId w:val="2"/>
        </w:numPr>
      </w:pPr>
      <w:r>
        <w:rPr>
          <w:rStyle w:val="MdStrong"/>
          <w:b/>
          <w:bCs/>
        </w:rPr>
        <w:t xml:space="preserve">Button Hover:</w:t>
      </w:r>
      <w:r>
        <w:t xml:space="preserve"> Slight scale-up and color shift on hover to indicate interactivity.</w:t>
      </w:r>
    </w:p>
    <w:p>
      <w:pPr>
        <w:pStyle w:val="MdListItem"/>
        <w:numPr>
          <w:ilvl w:val="0"/>
          <w:numId w:val="2"/>
        </w:numPr>
      </w:pPr>
      <w:r>
        <w:rPr>
          <w:rStyle w:val="MdStrong"/>
          <w:b/>
          <w:bCs/>
        </w:rPr>
        <w:t xml:space="preserve">Form Focus:</w:t>
      </w:r>
      <w:r>
        <w:t xml:space="preserve"> Subtle border highlight and shadow on input focus for clarity.</w:t>
      </w:r>
    </w:p>
    <w:p>
      <w:pPr>
        <w:pStyle w:val="MdListItem"/>
        <w:numPr>
          <w:ilvl w:val="0"/>
          <w:numId w:val="2"/>
        </w:numPr>
      </w:pPr>
      <w:r>
        <w:rPr>
          <w:rStyle w:val="MdStrong"/>
          <w:b/>
          <w:bCs/>
        </w:rPr>
        <w:t xml:space="preserve">Loading States:</w:t>
      </w:r>
      <w:r>
        <w:t xml:space="preserve"> Elegant spinners or skeleton loaders to indicate data fetching.</w:t>
      </w:r>
    </w:p>
    <w:p>
      <w:pPr>
        <w:pStyle w:val="MdListItem"/>
        <w:numPr>
          <w:ilvl w:val="0"/>
          <w:numId w:val="2"/>
        </w:numPr>
      </w:pPr>
      <w:r>
        <w:rPr>
          <w:rStyle w:val="MdStrong"/>
          <w:b/>
          <w:bCs/>
        </w:rPr>
        <w:t xml:space="preserve">Success Actions:</w:t>
      </w:r>
      <w:r>
        <w:t xml:space="preserve"> Quick checkmark animation or brief toast notification upon successful completion of an action.</w:t>
      </w:r>
    </w:p>
    <w:p>
      <w:pPr>
        <w:pStyle w:val="MdListItem"/>
        <w:numPr>
          <w:ilvl w:val="0"/>
          <w:numId w:val="2"/>
        </w:numPr>
      </w:pPr>
      <w:r>
        <w:rPr>
          <w:rStyle w:val="MdStrong"/>
          <w:b/>
          <w:bCs/>
        </w:rPr>
        <w:t xml:space="preserve">Navigation:</w:t>
      </w:r>
      <w:r>
        <w:t xml:space="preserve"> Smooth transitions between pages or sections to maintain context.</w:t>
      </w:r>
    </w:p>
    <w:p>
      <w:pPr>
        <w:pStyle w:val="MdListItem"/>
        <w:numPr>
          <w:ilvl w:val="0"/>
          <w:numId w:val="2"/>
        </w:numPr>
      </w:pPr>
      <w:r>
        <w:rPr>
          <w:rStyle w:val="MdStrong"/>
          <w:b/>
          <w:bCs/>
        </w:rPr>
        <w:t xml:space="preserve">Scrolling:</w:t>
      </w:r>
      <w:r>
        <w:t xml:space="preserve"> Parallax effects or subtle element reveals to add depth and engagement.</w:t>
      </w:r>
    </w:p>
    <w:p>
      <w:pPr>
        <w:pStyle w:val="MdSpace"/>
        <w:spacing w:before="0" w:after="60"/>
      </w:pPr>
    </w:p>
    <w:p>
      <w:pPr>
        <w:pStyle w:val="Heading3"/>
        <w:pStyle w:val="MdHeading3"/>
      </w:pPr>
      <w:r>
        <w:t xml:space="preserve">Responsive Design (Contribution led by the Lead Front-End Developer)</w:t>
      </w:r>
    </w:p>
    <w:p>
      <w:pPr>
        <w:pStyle w:val="MdListItem"/>
        <w:numPr>
          <w:ilvl w:val="0"/>
          <w:numId w:val="2"/>
        </w:numPr>
      </w:pPr>
      <w:r>
        <w:rPr>
          <w:rStyle w:val="MdStrong"/>
          <w:b/>
          <w:bCs/>
        </w:rPr>
        <w:t xml:space="preserve">Mobile-First Approach:</w:t>
      </w:r>
      <w:r>
        <w:t xml:space="preserve"> The design and development process will prioritize mobile experiences, ensuring optimal performance and usability on smaller screens before scaling up to larger viewports.</w:t>
      </w:r>
    </w:p>
    <w:p>
      <w:pPr>
        <w:pStyle w:val="MdListItem"/>
        <w:numPr>
          <w:ilvl w:val="0"/>
          <w:numId w:val="2"/>
        </w:numPr>
      </w:pPr>
      <w:r>
        <w:rPr>
          <w:rStyle w:val="MdStrong"/>
          <w:b/>
          <w:bCs/>
        </w:rPr>
        <w:t xml:space="preserve">Breakpoints:</w:t>
      </w:r>
      <w:r>
        <w:t xml:space="preserve"> Standard Tailwind CSS breakpoints will be utilized for responsive design:</w:t>
      </w:r>
    </w:p>
    <w:p>
      <w:pPr>
        <w:pStyle w:val="MdListItem"/>
        <w:numPr>
          <w:ilvl w:val="1"/>
          <w:numId w:val="2"/>
        </w:numPr>
      </w:pPr>
      <w:r>
        <w:rPr>
          <w:rStyle w:val="MdCode"/>
          <w:u w:val="single"/>
        </w:rPr>
        <w:t xml:space="preserve">sm</w:t>
      </w:r>
      <w:r>
        <w:t xml:space="preserve">: 640px</w:t>
      </w:r>
    </w:p>
    <w:p>
      <w:pPr>
        <w:pStyle w:val="MdListItem"/>
        <w:numPr>
          <w:ilvl w:val="1"/>
          <w:numId w:val="2"/>
        </w:numPr>
      </w:pPr>
      <w:r>
        <w:rPr>
          <w:rStyle w:val="MdCode"/>
          <w:u w:val="single"/>
        </w:rPr>
        <w:t xml:space="preserve">md</w:t>
      </w:r>
      <w:r>
        <w:t xml:space="preserve">: 768px</w:t>
      </w:r>
    </w:p>
    <w:p>
      <w:pPr>
        <w:pStyle w:val="MdListItem"/>
        <w:numPr>
          <w:ilvl w:val="1"/>
          <w:numId w:val="2"/>
        </w:numPr>
      </w:pPr>
      <w:r>
        <w:rPr>
          <w:rStyle w:val="MdCode"/>
          <w:u w:val="single"/>
        </w:rPr>
        <w:t xml:space="preserve">lg</w:t>
      </w:r>
      <w:r>
        <w:t xml:space="preserve">: 1024px</w:t>
      </w:r>
    </w:p>
    <w:p>
      <w:pPr>
        <w:pStyle w:val="MdListItem"/>
        <w:numPr>
          <w:ilvl w:val="1"/>
          <w:numId w:val="2"/>
        </w:numPr>
      </w:pPr>
      <w:r>
        <w:rPr>
          <w:rStyle w:val="MdCode"/>
          <w:u w:val="single"/>
        </w:rPr>
        <w:t xml:space="preserve">xl</w:t>
      </w:r>
      <w:r>
        <w:t xml:space="preserve">: 1280px</w:t>
      </w:r>
    </w:p>
    <w:p>
      <w:pPr>
        <w:pStyle w:val="MdListItem"/>
        <w:numPr>
          <w:ilvl w:val="1"/>
          <w:numId w:val="2"/>
        </w:numPr>
      </w:pPr>
      <w:r>
        <w:rPr>
          <w:rStyle w:val="MdCode"/>
          <w:u w:val="single"/>
        </w:rPr>
        <w:t xml:space="preserve">2xl</w:t>
      </w:r>
      <w:r>
        <w:t xml:space="preserve">: 1536px</w:t>
      </w:r>
    </w:p>
    <w:p>
      <w:pPr>
        <w:pStyle w:val="MdListItem"/>
        <w:numPr>
          <w:ilvl w:val="0"/>
          <w:numId w:val="2"/>
        </w:numPr>
      </w:pPr>
      <w:r>
        <w:rPr>
          <w:rStyle w:val="MdStrong"/>
          <w:b/>
          <w:bCs/>
        </w:rPr>
        <w:t xml:space="preserve">Mobile Adaptations:</w:t>
      </w:r>
    </w:p>
    <w:p>
      <w:pPr>
        <w:pStyle w:val="MdListItem"/>
        <w:numPr>
          <w:ilvl w:val="1"/>
          <w:numId w:val="2"/>
        </w:numPr>
      </w:pPr>
      <w:r>
        <w:rPr>
          <w:rStyle w:val="MdStrong"/>
          <w:b/>
          <w:bCs/>
        </w:rPr>
        <w:t xml:space="preserve">Simplified Navigation:</w:t>
      </w:r>
      <w:r>
        <w:t xml:space="preserve"> Implementation of a hamburger menu or bottom navigation bar for easy access to core features.</w:t>
      </w:r>
    </w:p>
    <w:p>
      <w:pPr>
        <w:pStyle w:val="MdListItem"/>
        <w:numPr>
          <w:ilvl w:val="1"/>
          <w:numId w:val="2"/>
        </w:numPr>
      </w:pPr>
      <w:r>
        <w:rPr>
          <w:rStyle w:val="MdStrong"/>
          <w:b/>
          <w:bCs/>
        </w:rPr>
        <w:t xml:space="preserve">Stacked Layouts:</w:t>
      </w:r>
      <w:r>
        <w:t xml:space="preserve"> Content blocks will stack vertically on mobile to optimize for single-column readability.</w:t>
      </w:r>
    </w:p>
    <w:p>
      <w:pPr>
        <w:pStyle w:val="MdListItem"/>
        <w:numPr>
          <w:ilvl w:val="1"/>
          <w:numId w:val="2"/>
        </w:numPr>
      </w:pPr>
      <w:r>
        <w:rPr>
          <w:rStyle w:val="MdStrong"/>
          <w:b/>
          <w:bCs/>
        </w:rPr>
        <w:t xml:space="preserve">Larger Touch Targets:</w:t>
      </w:r>
      <w:r>
        <w:t xml:space="preserve"> Buttons and interactive elements will be sized appropriately for comfortable touch interaction.</w:t>
      </w:r>
    </w:p>
    <w:p>
      <w:pPr>
        <w:pStyle w:val="MdListItem"/>
        <w:numPr>
          <w:ilvl w:val="1"/>
          <w:numId w:val="2"/>
        </w:numPr>
      </w:pPr>
      <w:r>
        <w:rPr>
          <w:rStyle w:val="MdStrong"/>
          <w:b/>
          <w:bCs/>
        </w:rPr>
        <w:t xml:space="preserve">Optimized Imagery:</w:t>
      </w:r>
      <w:r>
        <w:t xml:space="preserve"> Images will be scaled and compressed for faster loading times on mobile networks.</w:t>
      </w:r>
    </w:p>
    <w:p>
      <w:pPr>
        <w:pStyle w:val="MdSpace"/>
        <w:spacing w:before="0" w:after="60"/>
      </w:pPr>
    </w:p>
    <w:p>
      <w:pPr>
        <w:pStyle w:val="Heading3"/>
        <w:pStyle w:val="MdHeading3"/>
      </w:pPr>
      <w:r>
        <w:t xml:space="preserve">Accessibility</w:t>
      </w:r>
    </w:p>
    <w:p>
      <w:pPr>
        <w:pStyle w:val="MdParagraph"/>
      </w:pPr>
      <w:r>
        <w:t xml:space="preserve">Commitment to accessibility ensures the app is usable by everyone, regardless of ability.</w:t>
      </w:r>
    </w:p>
    <w:p>
      <w:pPr>
        <w:pStyle w:val="MdSpace"/>
        <w:spacing w:before="0" w:after="60"/>
      </w:pPr>
    </w:p>
    <w:p>
      <w:pPr>
        <w:pStyle w:val="MdListItem"/>
        <w:numPr>
          <w:ilvl w:val="0"/>
          <w:numId w:val="2"/>
        </w:numPr>
      </w:pPr>
      <w:r>
        <w:rPr>
          <w:rStyle w:val="MdStrong"/>
          <w:b/>
          <w:bCs/>
        </w:rPr>
        <w:t xml:space="preserve">Color Contrast (WCAG AA):</w:t>
      </w:r>
      <w:r>
        <w:t xml:space="preserve"> All text and interactive elements will meet WCAG 2.1 AA contrast ratio standards.</w:t>
      </w:r>
    </w:p>
    <w:p>
      <w:pPr>
        <w:pStyle w:val="MdListItem"/>
        <w:numPr>
          <w:ilvl w:val="0"/>
          <w:numId w:val="2"/>
        </w:numPr>
      </w:pPr>
      <w:r>
        <w:rPr>
          <w:rStyle w:val="MdStrong"/>
          <w:b/>
          <w:bCs/>
        </w:rPr>
        <w:t xml:space="preserve">Keyboard Navigation:</w:t>
      </w:r>
      <w:r>
        <w:t xml:space="preserve"> All interactive elements will be fully navigable and operable via keyboard.</w:t>
      </w:r>
    </w:p>
    <w:p>
      <w:pPr>
        <w:pStyle w:val="MdListItem"/>
        <w:numPr>
          <w:ilvl w:val="0"/>
          <w:numId w:val="2"/>
        </w:numPr>
      </w:pPr>
      <w:r>
        <w:rPr>
          <w:rStyle w:val="MdStrong"/>
          <w:b/>
          <w:bCs/>
        </w:rPr>
        <w:t xml:space="preserve">Screen Reader Support (ARIA):</w:t>
      </w:r>
      <w:r>
        <w:t xml:space="preserve"> Proper ARIA attributes and semantic HTML will be used to ensure compatibility with screen readers.</w:t>
      </w:r>
    </w:p>
    <w:p>
      <w:pPr>
        <w:pStyle w:val="MdListItem"/>
        <w:numPr>
          <w:ilvl w:val="0"/>
          <w:numId w:val="2"/>
        </w:numPr>
      </w:pPr>
      <w:r>
        <w:rPr>
          <w:rStyle w:val="MdStrong"/>
          <w:b/>
          <w:bCs/>
        </w:rPr>
        <w:t xml:space="preserve">Visible Focus Indicators:</w:t>
      </w:r>
      <w:r>
        <w:t xml:space="preserve"> Clear visual indicators will be provided for keyboard focus states.</w:t>
      </w:r>
    </w:p>
    <w:p>
      <w:pPr>
        <w:pStyle w:val="MdListItem"/>
        <w:numPr>
          <w:ilvl w:val="0"/>
          <w:numId w:val="2"/>
        </w:numPr>
      </w:pPr>
      <w:r>
        <w:rPr>
          <w:rStyle w:val="MdStrong"/>
          <w:b/>
          <w:bCs/>
        </w:rPr>
        <w:t xml:space="preserve">Respect for Reduced Motion:</w:t>
      </w:r>
      <w:r>
        <w:t xml:space="preserve"> Users with </w:t>
      </w:r>
      <w:r>
        <w:rPr>
          <w:rStyle w:val="MdCode"/>
          <w:u w:val="single"/>
        </w:rPr>
        <w:t xml:space="preserve">prefers-reduced-motion</w:t>
      </w:r>
      <w:r>
        <w:t xml:space="preserve"> settings will experience simplified or disabled animations.</w:t>
      </w:r>
    </w:p>
    <w:p>
      <w:pPr>
        <w:pStyle w:val="MdSpace"/>
        <w:spacing w:before="0" w:after="60"/>
      </w:pPr>
    </w:p>
    <w:p>
      <w:pPr>
        <w:pStyle w:val="Heading3"/>
        <w:pStyle w:val="MdHeading3"/>
      </w:pPr>
      <w:r>
        <w:t xml:space="preserve">Dark/Light Mode</w:t>
      </w:r>
    </w:p>
    <w:p>
      <w:pPr>
        <w:pStyle w:val="MdParagraph"/>
      </w:pPr>
      <w:r>
        <w:t xml:space="preserve">Both dark and light modes will be supported to cater to user preferences and reduce eye strain. DaisyUI themes will be used for implementation, with automatic detection of the user's system preference and a user-selectable toggle within the application.</w:t>
      </w:r>
    </w:p>
    <w:p>
      <w:pPr>
        <w:pStyle w:val="MdSpace"/>
        <w:spacing w:before="0" w:after="60"/>
      </w:pPr>
    </w:p>
    <w:p>
      <w:pPr>
        <w:pStyle w:val="Heading2"/>
        <w:pStyle w:val="MdHeading2"/>
      </w:pPr>
      <w:r>
        <w:t xml:space="preserve">Implementation Guidelines (Contribution led by the Lead Front-End Developer)</w:t>
      </w:r>
    </w:p>
    <w:p>
      <w:pPr>
        <w:pStyle w:val="Heading3"/>
        <w:pStyle w:val="MdHeading3"/>
      </w:pPr>
      <w:r>
        <w:t xml:space="preserve">CSS Framework</w:t>
      </w:r>
    </w:p>
    <w:p>
      <w:pPr>
        <w:pStyle w:val="MdListItem"/>
        <w:numPr>
          <w:ilvl w:val="0"/>
          <w:numId w:val="2"/>
        </w:numPr>
      </w:pPr>
      <w:r>
        <w:rPr>
          <w:rStyle w:val="MdStrong"/>
          <w:b/>
          <w:bCs/>
        </w:rPr>
        <w:t xml:space="preserve">Tailwind CSS:</w:t>
      </w:r>
      <w:r>
        <w:t xml:space="preserve"> For utility-first styling, enabling rapid and consistent UI development.</w:t>
      </w:r>
    </w:p>
    <w:p>
      <w:pPr>
        <w:pStyle w:val="MdListItem"/>
        <w:numPr>
          <w:ilvl w:val="0"/>
          <w:numId w:val="2"/>
        </w:numPr>
      </w:pPr>
      <w:r>
        <w:rPr>
          <w:rStyle w:val="MdStrong"/>
          <w:b/>
          <w:bCs/>
        </w:rPr>
        <w:t xml:space="preserve">DaisyUI:</w:t>
      </w:r>
      <w:r>
        <w:t xml:space="preserve"> As a Tailwind CSS component library, providing pre-built, customizable UI components and theme management.</w:t>
      </w:r>
    </w:p>
    <w:p>
      <w:pPr>
        <w:pStyle w:val="MdListItem"/>
        <w:numPr>
          <w:ilvl w:val="0"/>
          <w:numId w:val="2"/>
        </w:numPr>
      </w:pPr>
      <w:r>
        <w:rPr>
          <w:rStyle w:val="MdStrong"/>
          <w:b/>
          <w:bCs/>
        </w:rPr>
        <w:t xml:space="preserve">Custom Utilities:</w:t>
      </w:r>
      <w:r>
        <w:t xml:space="preserve"> For specific, reusable styles not covered by Tailwind or DaisyUI.</w:t>
      </w:r>
    </w:p>
    <w:p>
      <w:pPr>
        <w:pStyle w:val="MdSpace"/>
        <w:spacing w:before="0" w:after="60"/>
      </w:pPr>
    </w:p>
    <w:p>
      <w:pPr>
        <w:pStyle w:val="Heading3"/>
        <w:pStyle w:val="MdHeading3"/>
      </w:pPr>
      <w:r>
        <w:t xml:space="preserve">Animation Library</w:t>
      </w:r>
    </w:p>
    <w:p>
      <w:pPr>
        <w:pStyle w:val="MdListItem"/>
        <w:numPr>
          <w:ilvl w:val="0"/>
          <w:numId w:val="2"/>
        </w:numPr>
      </w:pPr>
      <w:r>
        <w:rPr>
          <w:rStyle w:val="MdStrong"/>
          <w:b/>
          <w:bCs/>
        </w:rPr>
        <w:t xml:space="preserve">Framer Motion:</w:t>
      </w:r>
      <w:r>
        <w:t xml:space="preserve"> The primary library for complex, declarative animations and interactive components.</w:t>
      </w:r>
    </w:p>
    <w:p>
      <w:pPr>
        <w:pStyle w:val="MdListItem"/>
        <w:numPr>
          <w:ilvl w:val="0"/>
          <w:numId w:val="2"/>
        </w:numPr>
      </w:pPr>
      <w:r>
        <w:rPr>
          <w:rStyle w:val="MdStrong"/>
          <w:b/>
          <w:bCs/>
        </w:rPr>
        <w:t xml:space="preserve">Tailwind Animations:</w:t>
      </w:r>
      <w:r>
        <w:t xml:space="preserve"> For simpler, utility-based animations and transitions.</w:t>
      </w:r>
    </w:p>
    <w:p>
      <w:pPr>
        <w:pStyle w:val="MdSpace"/>
        <w:spacing w:before="0" w:after="60"/>
      </w:pPr>
    </w:p>
    <w:p>
      <w:pPr>
        <w:pStyle w:val="Heading3"/>
        <w:pStyle w:val="MdHeading3"/>
      </w:pPr>
      <w:r>
        <w:t xml:space="preserve">Icon System</w:t>
      </w:r>
    </w:p>
    <w:p>
      <w:pPr>
        <w:pStyle w:val="MdListItem"/>
        <w:numPr>
          <w:ilvl w:val="0"/>
          <w:numId w:val="2"/>
        </w:numPr>
      </w:pPr>
      <w:r>
        <w:rPr>
          <w:rStyle w:val="MdStrong"/>
          <w:b/>
          <w:bCs/>
        </w:rPr>
        <w:t xml:space="preserve">Heroicons:</w:t>
      </w:r>
      <w:r>
        <w:t xml:space="preserve"> A comprehensive, open-source icon set for consistent and high-quality iconography.</w:t>
      </w:r>
    </w:p>
    <w:p>
      <w:pPr>
        <w:pStyle w:val="MdListItem"/>
        <w:numPr>
          <w:ilvl w:val="0"/>
          <w:numId w:val="2"/>
        </w:numPr>
      </w:pPr>
      <w:r>
        <w:rPr>
          <w:rStyle w:val="MdStrong"/>
          <w:b/>
          <w:bCs/>
        </w:rPr>
        <w:t xml:space="preserve">Custom SVGs:</w:t>
      </w:r>
      <w:r>
        <w:t xml:space="preserve"> For unique brand elements or specific illustrations not available in Heroicons.</w:t>
      </w:r>
    </w:p>
    <w:p>
      <w:pPr>
        <w:pStyle w:val="MdSpace"/>
        <w:spacing w:before="0" w:after="60"/>
      </w:pPr>
    </w:p>
    <w:p>
      <w:pPr>
        <w:pStyle w:val="Heading3"/>
        <w:pStyle w:val="MdHeading3"/>
      </w:pPr>
      <w:r>
        <w:t xml:space="preserve">Asset Management</w:t>
      </w:r>
    </w:p>
    <w:p>
      <w:pPr>
        <w:pStyle w:val="MdListItem"/>
        <w:numPr>
          <w:ilvl w:val="0"/>
          <w:numId w:val="2"/>
        </w:numPr>
      </w:pPr>
      <w:r>
        <w:rPr>
          <w:rStyle w:val="MdStrong"/>
          <w:b/>
          <w:bCs/>
        </w:rPr>
        <w:t xml:space="preserve">SVG:</w:t>
      </w:r>
      <w:r>
        <w:t xml:space="preserve"> Preferred format for icons and vector graphics due to scalability and small file size.</w:t>
      </w:r>
    </w:p>
    <w:p>
      <w:pPr>
        <w:pStyle w:val="MdListItem"/>
        <w:numPr>
          <w:ilvl w:val="0"/>
          <w:numId w:val="2"/>
        </w:numPr>
      </w:pPr>
      <w:r>
        <w:rPr>
          <w:rStyle w:val="MdStrong"/>
          <w:b/>
          <w:bCs/>
        </w:rPr>
        <w:t xml:space="preserve">WebP:</w:t>
      </w:r>
      <w:r>
        <w:t xml:space="preserve"> Preferred format for raster images (photos, illustrations) for superior compression and quality.</w:t>
      </w:r>
    </w:p>
    <w:p>
      <w:pPr>
        <w:pStyle w:val="MdListItem"/>
        <w:numPr>
          <w:ilvl w:val="0"/>
          <w:numId w:val="2"/>
        </w:numPr>
      </w:pPr>
      <w:r>
        <w:rPr>
          <w:rStyle w:val="MdStrong"/>
          <w:b/>
          <w:bCs/>
        </w:rPr>
        <w:t xml:space="preserve">MP4/WebM:</w:t>
      </w:r>
      <w:r>
        <w:t xml:space="preserve"> Preferred formats for video content, balancing quality and file size for web delivery.</w:t>
      </w:r>
    </w:p>
    <w:p>
      <w:pPr>
        <w:pStyle w:val="MdSpace"/>
        <w:spacing w:before="0" w:after="60"/>
      </w:pPr>
    </w:p>
    <w:p>
      <w:pPr>
        <w:pStyle w:val="Heading3"/>
        <w:pStyle w:val="MdHeading3"/>
      </w:pPr>
      <w:r>
        <w:t xml:space="preserve">Code Structure</w:t>
      </w:r>
    </w:p>
    <w:p>
      <w:pPr>
        <w:pStyle w:val="MdListItem"/>
        <w:numPr>
          <w:ilvl w:val="0"/>
          <w:numId w:val="2"/>
        </w:numPr>
      </w:pPr>
      <w:r>
        <w:rPr>
          <w:rStyle w:val="MdStrong"/>
          <w:b/>
          <w:bCs/>
        </w:rPr>
        <w:t xml:space="preserve">Component-Based Architecture:</w:t>
      </w:r>
      <w:r>
        <w:t xml:space="preserve"> UI will be built using reusable, modular components (e.g., React components) for maintainability and scalability.</w:t>
      </w:r>
    </w:p>
    <w:p>
      <w:pPr>
        <w:pStyle w:val="MdListItem"/>
        <w:numPr>
          <w:ilvl w:val="0"/>
          <w:numId w:val="2"/>
        </w:numPr>
      </w:pPr>
      <w:r>
        <w:rPr>
          <w:rStyle w:val="MdStrong"/>
          <w:b/>
          <w:bCs/>
        </w:rPr>
        <w:t xml:space="preserve">Utility-First CSS:</w:t>
      </w:r>
      <w:r>
        <w:t xml:space="preserve"> Styling will primarily leverage Tailwind CSS utilities, promoting consistency and reducing custom CSS.</w:t>
      </w:r>
    </w:p>
    <w:p>
      <w:pPr>
        <w:pStyle w:val="MdListItem"/>
        <w:numPr>
          <w:ilvl w:val="0"/>
          <w:numId w:val="2"/>
        </w:numPr>
      </w:pPr>
      <w:r>
        <w:rPr>
          <w:rStyle w:val="MdStrong"/>
          <w:b/>
          <w:bCs/>
        </w:rPr>
        <w:t xml:space="preserve">Responsive Variants:</w:t>
      </w:r>
      <w:r>
        <w:t xml:space="preserve"> Tailwind's responsive prefixes will be used to apply styles conditionally based on screen size.</w:t>
      </w:r>
    </w:p>
    <w:p>
      <w:pPr>
        <w:pStyle w:val="MdSpace"/>
        <w:spacing w:before="0" w:after="60"/>
      </w:pPr>
    </w:p>
    <w:p>
      <w:pPr>
        <w:pStyle w:val="Heading2"/>
        <w:pStyle w:val="MdHeading2"/>
      </w:pPr>
      <w:r>
        <w:t xml:space="preserve">Design Tokens (As the Lead Front-End Developer, create a JSON object that codifies the design system's core values. Populate the JSON structure below using the values defined in the Color Palette, Typography, and common spacing/radius conventions. The structure must be exactly as follows.)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"deepOcean"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"#003366"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"midnightTeal"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"#005F73"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"vibrantAqua"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"#0A9396"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"freshMint"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"#94D2BD"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"goldenSand"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"#E9D8A6"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"neutral"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"darkBlue"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"#1A202C"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"mediumGray"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"#4A5568"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"lightGray"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"#F7FAFC"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"#FFFFFF"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"#48BB78"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"warning"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"#ECC94B"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"#F56565"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"#4299E1"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"typography"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"fontFamily"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 sans-serif"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"secondary"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"DM Serif Display, serif"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"48px"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"1.875rem"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"bodySmall"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"0.875rem"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"bodyXSmall"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"0.75rem"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"12px"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"96px"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"0.625rem"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"regular"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"semibold"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"spacing"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"4rem"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"0.125rem"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"0.25rem"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"9999px"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FINAL CHECK:</w:t>
      </w:r>
    </w:p>
    <w:p>
      <w:pPr>
        <w:pStyle w:val="MdParagraph"/>
      </w:pPr>
      <w:r>
        <w:t xml:space="preserve">Ensure the entire output is a single, clean markdown file. Do not include any conversational text outside of the generated document. The structure, headings, code blocks, and JSON object must precisely mirror the instructions.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2026-01-14T16:29:44.340Z</dcterms:created>
  <dcterms:modified xsi:type="dcterms:W3CDTF">2026-01-14T16:29:44.340Z</dcterms:modified>
</cp:coreProperties>
</file>

<file path=docProps/custom.xml><?xml version="1.0" encoding="utf-8"?>
<Properties xmlns="http://schemas.openxmlformats.org/officeDocument/2006/custom-properties" xmlns:vt="http://schemas.openxmlformats.org/officeDocument/2006/docPropsVTypes"/>
</file>