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0"/>
      </w:pPr>
      <w:r>
        <w:rPr>
          <w:b/>
          <w:bCs/>
          <w:color w:val="1F4E79"/>
          <w:sz w:val="56"/>
          <w:szCs w:val="56"/>
        </w:rPr>
        <w:t xml:space="preserve">Salt SaaS</w:t>
      </w:r>
    </w:p>
    <w:p>
      <w:pPr>
        <w:spacing w:after="200"/>
      </w:pPr>
      <w:r>
        <w:rPr>
          <w:b/>
          <w:bCs/>
          <w:color w:val="2E75B6"/>
          <w:sz w:val="36"/>
          <w:szCs w:val="36"/>
        </w:rPr>
        <w:t xml:space="preserve">Licensing Requirements Specification</w:t>
      </w:r>
    </w:p>
    <w:p>
      <w:pPr>
        <w:pBdr>
          <w:bottom w:val="single" w:color="2E75B6" w:sz="6" w:space="1"/>
        </w:pBdr>
        <w:spacing w:after="160" w:before="40"/>
      </w:pPr>
      <w:r>
        <w:t xml:space="preserve"/>
      </w:r>
    </w:p>
    <w:p>
      <w:pPr>
        <w:spacing w:after="60" w:before="0" w:line="276"/>
      </w:pPr>
      <w:r>
        <w:t xml:space="preserve">Version: </w:t>
      </w:r>
      <w:r>
        <w:rPr>
          <w:b/>
          <w:bCs/>
        </w:rPr>
        <w:t xml:space="preserve">0.1 (Draft)</w:t>
      </w:r>
    </w:p>
    <w:p>
      <w:pPr>
        <w:spacing w:after="60" w:before="0" w:line="276"/>
      </w:pPr>
      <w:r>
        <w:t xml:space="preserve">Status: </w:t>
      </w:r>
      <w:r>
        <w:rPr>
          <w:b/>
          <w:bCs/>
        </w:rPr>
        <w:t xml:space="preserve">For Review</w:t>
      </w:r>
    </w:p>
    <w:p>
      <w:pPr>
        <w:spacing w:after="60" w:before="0" w:line="276"/>
      </w:pPr>
      <w:r>
        <w:t xml:space="preserve">Date: </w:t>
      </w:r>
      <w:r>
        <w:rPr>
          <w:b/>
          <w:bCs/>
        </w:rPr>
        <w:t xml:space="preserve">18 June 2026</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spacing w:after="120" w:before="0" w:line="276"/>
      </w:pPr>
      <w:r>
        <w:t xml:space="preserve">Salt is an established product currently delivered as desktop software, where a customer purchases a single license that the user carries with them. This specification defines the licensing model for the transition of Salt to a cloud-based </w:t>
      </w:r>
      <w:r>
        <w:rPr>
          <w:b/>
          <w:bCs/>
        </w:rPr>
        <w:t xml:space="preserve">Software-as-a-Service (SaaS)</w:t>
      </w:r>
      <w:r>
        <w:t xml:space="preserve"> delivery model.</w:t>
      </w:r>
    </w:p>
    <w:p>
      <w:pPr>
        <w:spacing w:after="120" w:before="0" w:line="276"/>
      </w:pPr>
      <w:r>
        <w:t xml:space="preserve">The requirements below govern how licenses are owned, assigned, used across organizations, and protected against abuse. They are written to be forward-compatible with future capability differences between license tiers, including optional modules and AI features.</w:t>
      </w:r>
    </w:p>
    <w:p>
      <w:pPr>
        <w:pStyle w:val="Heading1"/>
      </w:pPr>
      <w:r>
        <w:t xml:space="preserve">2. License Types (Initial Release)</w:t>
      </w:r>
    </w:p>
    <w:p>
      <w:pPr>
        <w:spacing w:after="120" w:before="0" w:line="276"/>
      </w:pPr>
      <w:r>
        <w:t xml:space="preserve">The initial release of Salt SaaS offers a </w:t>
      </w:r>
      <w:r>
        <w:rPr>
          <w:b/>
          <w:bCs/>
        </w:rPr>
        <w:t xml:space="preserve">single capability set</w:t>
      </w:r>
      <w:r>
        <w:t xml:space="preserve"> — there are no separate feature tiers, modules, or AI capabilities yet. A purchase is one of three commercial license types, all of which entitle the holder to the same capabilities. The capability-ceiling rules in Section 7 are forward-looking and apply once capability differences are introduced in a future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360"/>
        <w:gridCol w:w="160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License Type</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Billing</w:t>
            </w:r>
          </w:p>
        </w:tc>
        <w:tc>
          <w:tcPr>
            <w:tcW w:type="dxa" w:w="2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Term</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Ownership</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Subscription</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Monthly or yearly</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Recurring while active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Individual (user-owned) or organization-owned</w:t>
            </w:r>
          </w:p>
        </w:tc>
      </w:tr>
      <w:tr>
        <w:tc>
          <w:tcPr>
            <w:tcW w:type="dxa" w:w="22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vAlign w:val="center"/>
          </w:tcPr>
          <w:p>
            <w:pPr>
              <w:spacing w:after="40"/>
            </w:pPr>
            <w:r>
              <w:t xml:space="preserve">School / District</w:t>
            </w:r>
          </w:p>
        </w:tc>
        <w:tc>
          <w:tcPr>
            <w:tcW w:type="dxa" w:w="32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vAlign w:val="center"/>
          </w:tcPr>
          <w:p>
            <w:pPr>
              <w:spacing w:after="40"/>
            </w:pPr>
            <w:r>
              <w:t xml:space="preserve">Invoice — monthly, annually, or custom, per contract</w:t>
            </w:r>
          </w:p>
        </w:tc>
        <w:tc>
          <w:tcPr>
            <w:tcW w:type="dxa" w:w="236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vAlign w:val="center"/>
          </w:tcPr>
          <w:p>
            <w:pPr>
              <w:spacing w:after="40"/>
            </w:pPr>
            <w:r>
              <w:t xml:space="preserve">Per contract</w:t>
            </w:r>
          </w:p>
        </w:tc>
        <w:tc>
          <w:tcPr>
            <w:tcW w:type="dxa" w:w="16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vAlign w:val="center"/>
          </w:tcPr>
          <w:p>
            <w:pPr>
              <w:spacing w:after="40"/>
            </w:pPr>
            <w:r>
              <w:t xml:space="preserve">Organization-owned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Student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One-time payment of $80</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Valid for 3 years from purchase, then no longer valid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User-owned, or organization-purchased for a verified student</w:t>
            </w:r>
          </w:p>
        </w:tc>
      </w:tr>
    </w:tbl>
    <w:p>
      <w:pPr>
        <w:pStyle w:val="ListParagraph"/>
        <w:numPr>
          <w:ilvl w:val="0"/>
          <w:numId w:val="2"/>
        </w:numPr>
        <w:spacing w:after="80" w:line="276"/>
      </w:pPr>
      <w:r>
        <w:rPr>
          <w:b/>
          <w:bCs/>
        </w:rPr>
        <w:t xml:space="preserve">TYPE-1. </w:t>
      </w:r>
      <w:r>
        <w:t xml:space="preserve">The initial release supports exactly three license types: Subscription, School / District, and Student. All three grant the same capability set.</w:t>
      </w:r>
    </w:p>
    <w:p>
      <w:pPr>
        <w:pStyle w:val="ListParagraph"/>
        <w:numPr>
          <w:ilvl w:val="0"/>
          <w:numId w:val="2"/>
        </w:numPr>
        <w:spacing w:after="80" w:line="276"/>
      </w:pPr>
      <w:r>
        <w:rPr>
          <w:b/>
          <w:bCs/>
        </w:rPr>
        <w:t xml:space="preserve">TYPE-2. </w:t>
      </w:r>
      <w:r>
        <w:t xml:space="preserve">A Subscription license may be owned by an individual user or by an organization, and is billed monthly or yearly.</w:t>
      </w:r>
    </w:p>
    <w:p>
      <w:pPr>
        <w:pStyle w:val="ListParagraph"/>
        <w:numPr>
          <w:ilvl w:val="0"/>
          <w:numId w:val="2"/>
        </w:numPr>
        <w:spacing w:after="80" w:line="276"/>
      </w:pPr>
      <w:r>
        <w:rPr>
          <w:b/>
          <w:bCs/>
        </w:rPr>
        <w:t xml:space="preserve">TYPE-3. </w:t>
      </w:r>
      <w:r>
        <w:t xml:space="preserve">A School / District license is organization-owned and billed by invoice on a monthly, annual, or custom schedule as agreed per contract.</w:t>
      </w:r>
    </w:p>
    <w:p>
      <w:pPr>
        <w:pStyle w:val="ListParagraph"/>
        <w:numPr>
          <w:ilvl w:val="0"/>
          <w:numId w:val="2"/>
        </w:numPr>
        <w:spacing w:after="80" w:line="276"/>
      </w:pPr>
      <w:r>
        <w:rPr>
          <w:b/>
          <w:bCs/>
        </w:rPr>
        <w:t xml:space="preserve">TYPE-4. </w:t>
      </w:r>
      <w:r>
        <w:t xml:space="preserve">A Student license is a one-time purchase of $80 USD and is valid for 3 years from the date of purchase. On expiry it is no longer valid; there is no automatic renewal or conversion.</w:t>
      </w:r>
    </w:p>
    <w:p>
      <w:pPr>
        <w:pStyle w:val="ListParagraph"/>
        <w:numPr>
          <w:ilvl w:val="0"/>
          <w:numId w:val="2"/>
        </w:numPr>
        <w:spacing w:after="80" w:line="276"/>
      </w:pPr>
      <w:r>
        <w:rPr>
          <w:b/>
          <w:bCs/>
        </w:rPr>
        <w:t xml:space="preserve">TYPE-5. </w:t>
      </w:r>
      <w:r>
        <w:t xml:space="preserve">To continue after a Student license expires, the user must purchase a new Student license and again provide proof of student status at the time of purchase.</w:t>
      </w:r>
    </w:p>
    <w:p>
      <w:pPr>
        <w:pStyle w:val="ListParagraph"/>
        <w:numPr>
          <w:ilvl w:val="0"/>
          <w:numId w:val="2"/>
        </w:numPr>
        <w:spacing w:after="80" w:line="276"/>
      </w:pPr>
      <w:r>
        <w:rPr>
          <w:b/>
          <w:bCs/>
        </w:rPr>
        <w:t xml:space="preserve">TYPE-6. </w:t>
      </w:r>
      <w:r>
        <w:t xml:space="preserve">Proof of student status applies to Student licenses at two points: it is required at the time of purchase, and it is required before the license can be assigned to a user (see Section 10). For an organization that purchases Student licenses for its students, the purchase-time and assignment-time checks may involve different parties and moments.</w:t>
      </w:r>
    </w:p>
    <w:p>
      <w:pPr>
        <w:pStyle w:val="Heading1"/>
      </w:pPr>
      <w:r>
        <w:t xml:space="preserve">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Term</w:t>
            </w:r>
          </w:p>
        </w:tc>
        <w:tc>
          <w:tcPr>
            <w:tcW w:type="dxa" w:w="6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Definition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Organization (Org)</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A tenant within Salt SaaS that can purchase, own, and administer licenses, and to which users may belong.</w:t>
            </w:r>
          </w:p>
        </w:tc>
      </w:tr>
      <w:tr>
        <w:tc>
          <w:tcPr>
            <w:tcW w:type="dxa" w:w="24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vAlign w:val="center"/>
          </w:tcPr>
          <w:p>
            <w:pPr>
              <w:spacing w:after="40"/>
            </w:pPr>
            <w:r>
              <w:t xml:space="preserve">User</w:t>
            </w:r>
          </w:p>
        </w:tc>
        <w:tc>
          <w:tcPr>
            <w:tcW w:type="dxa" w:w="696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vAlign w:val="center"/>
          </w:tcPr>
          <w:p>
            <w:pPr>
              <w:spacing w:after="40"/>
            </w:pPr>
            <w:r>
              <w:t xml:space="preserve">An individual identity within Salt SaaS who can be a member of one or more organizations. Every user always operates within an organization; a user with no other organization works within their own personal org.</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Personal Org</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An organization automatically provisioned for each user, serving as the default organizational context for the user's own work. Because a user always operates within an org, the personal org ensures there is never a state of working outside any organization. Data created in the personal org is owned by that org.</w:t>
            </w:r>
          </w:p>
        </w:tc>
      </w:tr>
      <w:tr>
        <w:tc>
          <w:tcPr>
            <w:tcW w:type="dxa" w:w="24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vAlign w:val="center"/>
          </w:tcPr>
          <w:p>
            <w:pPr>
              <w:spacing w:after="40"/>
            </w:pPr>
            <w:r>
              <w:t xml:space="preserve">License</w:t>
            </w:r>
          </w:p>
        </w:tc>
        <w:tc>
          <w:tcPr>
            <w:tcW w:type="dxa" w:w="696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vAlign w:val="center"/>
          </w:tcPr>
          <w:p>
            <w:pPr>
              <w:spacing w:after="40"/>
            </w:pPr>
            <w:r>
              <w:t xml:space="preserve">An entitlement to use Salt SaaS, always assigned to a single named user. In the initial release all licenses grant the same capability set; capability levels (tiers, modules, AI features) are a future consideration.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Org-Owned License</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A license purchased and owned by an organization. The org controls its portability and assignment.</w:t>
            </w:r>
          </w:p>
        </w:tc>
      </w:tr>
      <w:tr>
        <w:tc>
          <w:tcPr>
            <w:tcW w:type="dxa" w:w="24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vAlign w:val="center"/>
          </w:tcPr>
          <w:p>
            <w:pPr>
              <w:spacing w:after="40"/>
            </w:pPr>
            <w:r>
              <w:t xml:space="preserve">User-Owned License</w:t>
            </w:r>
          </w:p>
        </w:tc>
        <w:tc>
          <w:tcPr>
            <w:tcW w:type="dxa" w:w="696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vAlign w:val="center"/>
          </w:tcPr>
          <w:p>
            <w:pPr>
              <w:spacing w:after="40"/>
            </w:pPr>
            <w:r>
              <w:t xml:space="preserve">A license purchased and owned by an individual user. It is portable across organizations the user is authorized in.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Portable License</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An org-owned license that the owning org has marked as usable by its assigned user to do work in other organizations. Portability does NOT transfer, loan, or move the license out of the owning organization — ownership and assignment are unchanged. It only extends where the assigned user may exercise the license.</w:t>
            </w:r>
          </w:p>
        </w:tc>
      </w:tr>
      <w:tr>
        <w:tc>
          <w:tcPr>
            <w:tcW w:type="dxa" w:w="24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vAlign w:val="center"/>
          </w:tcPr>
          <w:p>
            <w:pPr>
              <w:spacing w:after="40"/>
            </w:pPr>
            <w:r>
              <w:t xml:space="preserve">Org Admin</w:t>
            </w:r>
          </w:p>
        </w:tc>
        <w:tc>
          <w:tcPr>
            <w:tcW w:type="dxa" w:w="696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vAlign w:val="center"/>
          </w:tcPr>
          <w:p>
            <w:pPr>
              <w:spacing w:after="40"/>
            </w:pPr>
            <w:r>
              <w:t xml:space="preserve">A user with the authority to purchase, assign, reassign, and revoke an organization's licenses and control which members hold them.</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Effective Entitlement</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The set of capabilities actually available to a user in a given org context — the intersection of the user's license capabilities and the org's licensing level.</w:t>
            </w:r>
          </w:p>
        </w:tc>
      </w:tr>
      <w:tr>
        <w:tc>
          <w:tcPr>
            <w:tcW w:type="dxa" w:w="24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vAlign w:val="center"/>
          </w:tcPr>
          <w:p>
            <w:pPr>
              <w:spacing w:after="40"/>
            </w:pPr>
            <w:r>
              <w:t xml:space="preserve">Billing Period</w:t>
            </w:r>
          </w:p>
        </w:tc>
        <w:tc>
          <w:tcPr>
            <w:tcW w:type="dxa" w:w="696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vAlign w:val="center"/>
          </w:tcPr>
          <w:p>
            <w:pPr>
              <w:spacing w:after="40"/>
            </w:pPr>
            <w:r>
              <w:t xml:space="preserve">The recurring interval against which reassignment limits are measured. A billing period may be monthly, annual, or manual (e.g., invoice-based or custom arrangements, as used for School / District licenses).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Audit Trail</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A durable, system-maintained record of significant events within Salt — including organization-context events (logins, organization switches, and switch confirmations), license assignment and reassignment history, and enforcement-relevant events — used to reconstruct who did what, when, and in which organization.</w:t>
            </w:r>
          </w:p>
        </w:tc>
      </w:tr>
    </w:tbl>
    <w:p>
      <w:pPr>
        <w:pStyle w:val="Heading1"/>
      </w:pPr>
      <w:r>
        <w:t xml:space="preserve">4. License Ownership Types</w:t>
      </w:r>
    </w:p>
    <w:p>
      <w:pPr>
        <w:spacing w:after="120" w:before="0" w:line="276"/>
      </w:pPr>
      <w:r>
        <w:t xml:space="preserve">Salt SaaS supports two ownership types. Ownership determines who pays for the license and who controls its portability. It does not change the fact that every license is assigned to a single named user.</w:t>
      </w:r>
    </w:p>
    <w:p>
      <w:pPr>
        <w:pStyle w:val="Heading2"/>
      </w:pPr>
      <w:r>
        <w:t xml:space="preserve">4.1 Org-Owned Licenses</w:t>
      </w:r>
    </w:p>
    <w:p>
      <w:pPr>
        <w:pStyle w:val="ListParagraph"/>
        <w:numPr>
          <w:ilvl w:val="0"/>
          <w:numId w:val="3"/>
        </w:numPr>
        <w:spacing w:after="80" w:line="276"/>
      </w:pPr>
      <w:r>
        <w:rPr>
          <w:b/>
          <w:bCs/>
        </w:rPr>
        <w:t xml:space="preserve">LIC-OWN-1. </w:t>
      </w:r>
      <w:r>
        <w:t xml:space="preserve">Org-owned licenses are purchased and owned by an organization.</w:t>
      </w:r>
    </w:p>
    <w:p>
      <w:pPr>
        <w:pStyle w:val="ListParagraph"/>
        <w:numPr>
          <w:ilvl w:val="0"/>
          <w:numId w:val="3"/>
        </w:numPr>
        <w:spacing w:after="80" w:line="276"/>
      </w:pPr>
      <w:r>
        <w:rPr>
          <w:b/>
          <w:bCs/>
        </w:rPr>
        <w:t xml:space="preserve">LIC-OWN-2. </w:t>
      </w:r>
      <w:r>
        <w:t xml:space="preserve">By default, an org-owned license can only be used within the purchasing organization.</w:t>
      </w:r>
    </w:p>
    <w:p>
      <w:pPr>
        <w:pStyle w:val="ListParagraph"/>
        <w:numPr>
          <w:ilvl w:val="0"/>
          <w:numId w:val="3"/>
        </w:numPr>
        <w:spacing w:after="80" w:line="276"/>
      </w:pPr>
      <w:r>
        <w:rPr>
          <w:b/>
          <w:bCs/>
        </w:rPr>
        <w:t xml:space="preserve">LIC-OWN-3. </w:t>
      </w:r>
      <w:r>
        <w:t xml:space="preserve">At the time of creation or purchase, the org may specify whether an org-owned license is restricted to the owning org only, or marked as portable for use in other organizations.</w:t>
      </w:r>
    </w:p>
    <w:p>
      <w:pPr>
        <w:pStyle w:val="ListParagraph"/>
        <w:numPr>
          <w:ilvl w:val="0"/>
          <w:numId w:val="3"/>
        </w:numPr>
        <w:spacing w:after="80" w:line="276"/>
      </w:pPr>
      <w:r>
        <w:rPr>
          <w:b/>
          <w:bCs/>
        </w:rPr>
        <w:t xml:space="preserve">LIC-OWN-4. </w:t>
      </w:r>
      <w:r>
        <w:t xml:space="preserve">An org-owned license is assigned to a single named user. If the org marks it as portable, that assigned user may use it to do work in other organizations where permitted. The license is never transferred, loaned, or moved out of the owning organization; its ownership and assignment remain unchanged — only the user's reach extends across organizational boundaries.</w:t>
      </w:r>
    </w:p>
    <w:p>
      <w:pPr>
        <w:pStyle w:val="Heading2"/>
      </w:pPr>
      <w:r>
        <w:t xml:space="preserve">4.2 User-Owned Licenses</w:t>
      </w:r>
    </w:p>
    <w:p>
      <w:pPr>
        <w:pStyle w:val="ListParagraph"/>
        <w:numPr>
          <w:ilvl w:val="0"/>
          <w:numId w:val="3"/>
        </w:numPr>
        <w:spacing w:after="80" w:line="276"/>
      </w:pPr>
      <w:r>
        <w:rPr>
          <w:b/>
          <w:bCs/>
        </w:rPr>
        <w:t xml:space="preserve">LIC-OWN-5. </w:t>
      </w:r>
      <w:r>
        <w:t xml:space="preserve">User-owned licenses are purchased and owned by an individual user.</w:t>
      </w:r>
    </w:p>
    <w:p>
      <w:pPr>
        <w:pStyle w:val="ListParagraph"/>
        <w:numPr>
          <w:ilvl w:val="0"/>
          <w:numId w:val="3"/>
        </w:numPr>
        <w:spacing w:after="80" w:line="276"/>
      </w:pPr>
      <w:r>
        <w:rPr>
          <w:b/>
          <w:bCs/>
        </w:rPr>
        <w:t xml:space="preserve">LIC-OWN-6. </w:t>
      </w:r>
      <w:r>
        <w:t xml:space="preserve">A user-owned license may be used in any organization where the user has been invited and authorized to be a member.</w:t>
      </w:r>
    </w:p>
    <w:p>
      <w:pPr>
        <w:pStyle w:val="ListParagraph"/>
        <w:numPr>
          <w:ilvl w:val="0"/>
          <w:numId w:val="3"/>
        </w:numPr>
        <w:spacing w:after="80" w:line="276"/>
      </w:pPr>
      <w:r>
        <w:rPr>
          <w:b/>
          <w:bCs/>
        </w:rPr>
        <w:t xml:space="preserve">LIC-OWN-7. </w:t>
      </w:r>
      <w:r>
        <w:t xml:space="preserve">A user-owned license is portable by nature and does not require per-organization portability flags.</w:t>
      </w:r>
    </w:p>
    <w:p>
      <w:pPr>
        <w:pStyle w:val="Heading1"/>
      </w:pPr>
      <w:r>
        <w:t xml:space="preserve">5. Assignment and Holding</w:t>
      </w:r>
    </w:p>
    <w:p>
      <w:pPr>
        <w:pStyle w:val="ListParagraph"/>
        <w:numPr>
          <w:ilvl w:val="0"/>
          <w:numId w:val="3"/>
        </w:numPr>
        <w:spacing w:after="80" w:line="276"/>
      </w:pPr>
      <w:r>
        <w:rPr>
          <w:b/>
          <w:bCs/>
        </w:rPr>
        <w:t xml:space="preserve">LIC-ASN-1. </w:t>
      </w:r>
      <w:r>
        <w:t xml:space="preserve">Every license — org-owned or user-owned — is assigned to one named user.</w:t>
      </w:r>
    </w:p>
    <w:p>
      <w:pPr>
        <w:pStyle w:val="ListParagraph"/>
        <w:numPr>
          <w:ilvl w:val="0"/>
          <w:numId w:val="3"/>
        </w:numPr>
        <w:spacing w:after="80" w:line="276"/>
      </w:pPr>
      <w:r>
        <w:rPr>
          <w:b/>
          <w:bCs/>
        </w:rPr>
        <w:t xml:space="preserve">LIC-ASN-2. </w:t>
      </w:r>
      <w:r>
        <w:t xml:space="preserve">A user may hold multiple licenses simultaneously (for example, a personal user-owned license and an org-owned license assigned to them by an organization).</w:t>
      </w:r>
    </w:p>
    <w:p>
      <w:pPr>
        <w:pStyle w:val="ListParagraph"/>
        <w:numPr>
          <w:ilvl w:val="0"/>
          <w:numId w:val="3"/>
        </w:numPr>
        <w:spacing w:after="80" w:line="276"/>
      </w:pPr>
      <w:r>
        <w:rPr>
          <w:b/>
          <w:bCs/>
        </w:rPr>
        <w:t xml:space="preserve">LIC-ASN-3. </w:t>
      </w:r>
      <w:r>
        <w:t xml:space="preserve">Org admins are responsible for assigning, reassigning, and revoking their organization's licenses, and for controlling which members hold them.</w:t>
      </w:r>
    </w:p>
    <w:p>
      <w:pPr>
        <w:spacing w:after="120" w:before="80" w:line="276"/>
      </w:pPr>
      <w:r>
        <w:rPr>
          <w:b/>
          <w:bCs/>
        </w:rPr>
        <w:t xml:space="preserve">Illustrative example. </w:t>
      </w:r>
      <w:r>
        <w:t xml:space="preserve">A user owns a personal license. An organization they belong to also assigns them an org-owned license — for instance, because the organization requires its own license to be used for legal or compliance reasons. The organization marks its license as non-portable (org-only). Within that organization, the user operates under the organization's license, not their personal one.</w:t>
      </w:r>
    </w:p>
    <w:p>
      <w:pPr>
        <w:pStyle w:val="Heading1"/>
      </w:pPr>
      <w:r>
        <w:t xml:space="preserve">6. Portability and License Resolution</w:t>
      </w:r>
    </w:p>
    <w:p>
      <w:pPr>
        <w:pStyle w:val="Heading2"/>
      </w:pPr>
      <w:r>
        <w:t xml:space="preserve">6.1 Meaning of Portability</w:t>
      </w:r>
    </w:p>
    <w:p>
      <w:pPr>
        <w:spacing w:after="120" w:before="0" w:line="276"/>
      </w:pPr>
      <w:r>
        <w:t xml:space="preserve">Portability defines </w:t>
      </w:r>
      <w:r>
        <w:rPr>
          <w:b/>
          <w:bCs/>
        </w:rPr>
        <w:t xml:space="preserve">where the user a license is assigned to may use it</w:t>
      </w:r>
      <w:r>
        <w:t xml:space="preserve"> — not a movement of the license itself. A portable license is never transferred, loaned, or relocated between organizations. Its owner and its assigned named user remain unchanged. The only thing portability controls is whether the assigned user may exercise the license to do work in organizations other than the one that owns it.</w:t>
      </w:r>
    </w:p>
    <w:p>
      <w:pPr>
        <w:pStyle w:val="ListParagraph"/>
        <w:numPr>
          <w:ilvl w:val="0"/>
          <w:numId w:val="4"/>
        </w:numPr>
        <w:spacing w:after="80" w:line="276"/>
      </w:pPr>
      <w:r>
        <w:rPr>
          <w:b/>
          <w:bCs/>
        </w:rPr>
        <w:t xml:space="preserve">Non-portable (org-only): </w:t>
      </w:r>
      <w:r>
        <w:t xml:space="preserve">the assigned user may use the license only within the owning organization.</w:t>
      </w:r>
    </w:p>
    <w:p>
      <w:pPr>
        <w:pStyle w:val="ListParagraph"/>
        <w:numPr>
          <w:ilvl w:val="0"/>
          <w:numId w:val="4"/>
        </w:numPr>
        <w:spacing w:after="80" w:line="276"/>
      </w:pPr>
      <w:r>
        <w:rPr>
          <w:b/>
          <w:bCs/>
        </w:rPr>
        <w:t xml:space="preserve">Portable: </w:t>
      </w:r>
      <w:r>
        <w:t xml:space="preserve">the assigned user may also use the license to do work in other organizations that permit it, while ownership and assignment stay with the owning org and the same user.</w:t>
      </w:r>
    </w:p>
    <w:p>
      <w:pPr>
        <w:pStyle w:val="Heading2"/>
      </w:pPr>
      <w:r>
        <w:t xml:space="preserve">6.2 License Resolution</w:t>
      </w:r>
    </w:p>
    <w:p>
      <w:pPr>
        <w:spacing w:after="120" w:before="0" w:line="276"/>
      </w:pPr>
      <w:r>
        <w:t xml:space="preserve">Because a user may hold more than one applicable license, the system must deterministically resolve which license is active in a given organizational context.</w:t>
      </w:r>
    </w:p>
    <w:p>
      <w:pPr>
        <w:pStyle w:val="ListParagraph"/>
        <w:numPr>
          <w:ilvl w:val="0"/>
          <w:numId w:val="3"/>
        </w:numPr>
        <w:spacing w:after="80" w:line="276"/>
      </w:pPr>
      <w:r>
        <w:rPr>
          <w:b/>
          <w:bCs/>
        </w:rPr>
        <w:t xml:space="preserve">LIC-RES-1. </w:t>
      </w:r>
      <w:r>
        <w:t xml:space="preserve">When an organization has assigned a license to a user, that org-assigned license is the active license while the user operates within that organization. It takes precedence over the user's personal license.</w:t>
      </w:r>
    </w:p>
    <w:p>
      <w:pPr>
        <w:pStyle w:val="ListParagraph"/>
        <w:numPr>
          <w:ilvl w:val="0"/>
          <w:numId w:val="3"/>
        </w:numPr>
        <w:spacing w:after="80" w:line="276"/>
      </w:pPr>
      <w:r>
        <w:rPr>
          <w:b/>
          <w:bCs/>
        </w:rPr>
        <w:t xml:space="preserve">LIC-RES-2. </w:t>
      </w:r>
      <w:r>
        <w:t xml:space="preserve">Where no org-assigned license applies to the user in the current organization, the user's personal (user-owned) license applies, subject to that organization authorizing the user.</w:t>
      </w:r>
    </w:p>
    <w:p>
      <w:pPr>
        <w:pStyle w:val="ListParagraph"/>
        <w:numPr>
          <w:ilvl w:val="0"/>
          <w:numId w:val="3"/>
        </w:numPr>
        <w:spacing w:after="80" w:line="276"/>
      </w:pPr>
      <w:r>
        <w:rPr>
          <w:b/>
          <w:bCs/>
        </w:rPr>
        <w:t xml:space="preserve">LIC-RES-3. </w:t>
      </w:r>
      <w:r>
        <w:t xml:space="preserve">A non-portable org-owned license assigned to a user is mandatory within the owning organization and cannot be substituted by the user's personal license.</w:t>
      </w:r>
    </w:p>
    <w:p>
      <w:pPr>
        <w:pStyle w:val="ListParagraph"/>
        <w:numPr>
          <w:ilvl w:val="0"/>
          <w:numId w:val="3"/>
        </w:numPr>
        <w:spacing w:after="80" w:line="276"/>
      </w:pPr>
      <w:r>
        <w:rPr>
          <w:b/>
          <w:bCs/>
        </w:rPr>
        <w:t xml:space="preserve">LIC-RES-4. </w:t>
      </w:r>
      <w:r>
        <w:t xml:space="preserve">A single user-owned license covers simultaneous use across multiple organizations the user belongs to (e.g., Org A and Org B at the same time), provided the effective capabilities apply per organization as defined in Section 7.</w:t>
      </w:r>
    </w:p>
    <w:p>
      <w:pPr>
        <w:spacing w:after="40" w:before="80" w:line="276"/>
      </w:pPr>
      <w:r>
        <w:rPr>
          <w:b/>
          <w:bCs/>
        </w:rPr>
        <w:t xml:space="preserve">Precedence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Context</w:t>
            </w:r>
          </w:p>
        </w:tc>
        <w:tc>
          <w:tcPr>
            <w:tcW w:type="dxa" w:w="3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Active License</w:t>
            </w:r>
          </w:p>
        </w:tc>
      </w:tr>
      <w:tr>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User is in an org that has assigned them an org-owned license</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The org-assigned license (overrides personal)</w:t>
            </w:r>
          </w:p>
        </w:tc>
      </w:tr>
      <w:tr>
        <w:tc>
          <w:tcPr>
            <w:tcW w:type="dxa" w:w="56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vAlign w:val="center"/>
          </w:tcPr>
          <w:p>
            <w:pPr>
              <w:spacing w:after="40"/>
            </w:pPr>
            <w:r>
              <w:t xml:space="preserve">User is in an org with no org-assigned license for them</w:t>
            </w:r>
          </w:p>
        </w:tc>
        <w:tc>
          <w:tcPr>
            <w:tcW w:type="dxa" w:w="376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vAlign w:val="center"/>
          </w:tcPr>
          <w:p>
            <w:pPr>
              <w:spacing w:after="40"/>
            </w:pPr>
            <w:r>
              <w:t xml:space="preserve">The user's personal (user-owned) license, if authorized</w:t>
            </w:r>
          </w:p>
        </w:tc>
      </w:tr>
      <w:tr>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User is operating outside any org that mandates its own license</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The user's personal (user-owned) license</w:t>
            </w:r>
          </w:p>
        </w:tc>
      </w:tr>
    </w:tbl>
    <w:p>
      <w:pPr>
        <w:pStyle w:val="Heading1"/>
      </w:pPr>
      <w:r>
        <w:t xml:space="preserve">7. Effective Entitlement and Capabilities</w:t>
      </w:r>
    </w:p>
    <w:p>
      <w:pPr>
        <w:spacing w:after="120" w:before="0" w:line="276"/>
      </w:pPr>
      <w:r>
        <w:t xml:space="preserve">Licenses may differ in capability — by tier, by supported modules, by AI features, or by other capabilities introduced in future releases. The capabilities available to a user are constrained by the organization they are operating in.</w:t>
      </w:r>
    </w:p>
    <w:p>
      <w:pPr>
        <w:pStyle w:val="ListParagraph"/>
        <w:numPr>
          <w:ilvl w:val="0"/>
          <w:numId w:val="3"/>
        </w:numPr>
        <w:spacing w:after="80" w:line="276"/>
      </w:pPr>
      <w:r>
        <w:rPr>
          <w:b/>
          <w:bCs/>
        </w:rPr>
        <w:t xml:space="preserve">LIC-CAP-1. </w:t>
      </w:r>
      <w:r>
        <w:t xml:space="preserve">A user's effective entitlement in a given organization is the intersection of (a) the capabilities granted by their active license and (b) the licensing level supported by that organization.</w:t>
      </w:r>
    </w:p>
    <w:p>
      <w:pPr>
        <w:pStyle w:val="ListParagraph"/>
        <w:numPr>
          <w:ilvl w:val="0"/>
          <w:numId w:val="3"/>
        </w:numPr>
        <w:spacing w:after="80" w:line="276"/>
      </w:pPr>
      <w:r>
        <w:rPr>
          <w:b/>
          <w:bCs/>
        </w:rPr>
        <w:t xml:space="preserve">LIC-CAP-2. </w:t>
      </w:r>
      <w:r>
        <w:t xml:space="preserve">An organization is not uplifted by an individual who carries a higher-capability license. A user with a higher-tier license operating in a lower-tier organization may only use the capabilities supported by that organization.</w:t>
      </w:r>
    </w:p>
    <w:p>
      <w:pPr>
        <w:pStyle w:val="ListParagraph"/>
        <w:numPr>
          <w:ilvl w:val="0"/>
          <w:numId w:val="3"/>
        </w:numPr>
        <w:spacing w:after="80" w:line="276"/>
      </w:pPr>
      <w:r>
        <w:rPr>
          <w:b/>
          <w:bCs/>
        </w:rPr>
        <w:t xml:space="preserve">LIC-CAP-3. </w:t>
      </w:r>
      <w:r>
        <w:t xml:space="preserve">This rule applies to all capability dimensions, including tiers, optional modules, and AI features, both current and future.</w:t>
      </w:r>
    </w:p>
    <w:p>
      <w:pPr>
        <w:pStyle w:val="ListParagraph"/>
        <w:numPr>
          <w:ilvl w:val="0"/>
          <w:numId w:val="3"/>
        </w:numPr>
        <w:spacing w:after="80" w:line="276"/>
      </w:pPr>
      <w:r>
        <w:rPr>
          <w:b/>
          <w:bCs/>
        </w:rPr>
        <w:t xml:space="preserve">LIC-CAP-4. </w:t>
      </w:r>
      <w:r>
        <w:t xml:space="preserve">For a user-owned license used across multiple organizations simultaneously, the effective entitlement is evaluated independently per organization and may differ between them.</w:t>
      </w:r>
    </w:p>
    <w:p>
      <w:pPr>
        <w:spacing w:after="120" w:before="80" w:line="276"/>
      </w:pPr>
      <w:r>
        <w:rPr>
          <w:b/>
          <w:bCs/>
        </w:rPr>
        <w:t xml:space="preserve">Example. </w:t>
      </w:r>
      <w:r>
        <w:t xml:space="preserve">A user holds an Enterprise-level license and joins an organization that has not purchased Enterprise-level licensing. The user cannot use Enterprise-level features within that organization; they are limited to the capabilities the organization's licensing supports.</w:t>
      </w:r>
    </w:p>
    <w:p>
      <w:pPr>
        <w:pStyle w:val="Heading1"/>
      </w:pPr>
      <w:r>
        <w:t xml:space="preserve">8. Anti-Abuse and Compliance</w:t>
      </w:r>
    </w:p>
    <w:p>
      <w:pPr>
        <w:pStyle w:val="ListParagraph"/>
        <w:numPr>
          <w:ilvl w:val="0"/>
          <w:numId w:val="3"/>
        </w:numPr>
        <w:spacing w:after="80" w:line="276"/>
      </w:pPr>
      <w:r>
        <w:rPr>
          <w:b/>
          <w:bCs/>
        </w:rPr>
        <w:t xml:space="preserve">LIC-ABU-1. </w:t>
      </w:r>
      <w:r>
        <w:t xml:space="preserve">Licenses must not be shared between multiple users. Every user using the software within an organization must hold their own license.</w:t>
      </w:r>
    </w:p>
    <w:p>
      <w:pPr>
        <w:pStyle w:val="ListParagraph"/>
        <w:numPr>
          <w:ilvl w:val="0"/>
          <w:numId w:val="3"/>
        </w:numPr>
        <w:spacing w:after="80" w:line="276"/>
      </w:pPr>
      <w:r>
        <w:rPr>
          <w:b/>
          <w:bCs/>
        </w:rPr>
        <w:t xml:space="preserve">LIC-ABU-2. </w:t>
      </w:r>
      <w:r>
        <w:t xml:space="preserve">Licenses must not be rotated among users to avoid purchasing the appropriate number of seats (for example, assigning one license to User A on day one, User B on day two, and User C on day three in place of purchasing three licenses).</w:t>
      </w:r>
    </w:p>
    <w:p>
      <w:pPr>
        <w:pStyle w:val="ListParagraph"/>
        <w:numPr>
          <w:ilvl w:val="0"/>
          <w:numId w:val="3"/>
        </w:numPr>
        <w:spacing w:after="80" w:line="276"/>
      </w:pPr>
      <w:r>
        <w:rPr>
          <w:b/>
          <w:bCs/>
        </w:rPr>
        <w:t xml:space="preserve">LIC-ABU-3. </w:t>
      </w:r>
      <w:r>
        <w:t xml:space="preserve">Reassignment of a license to a different user is permitted only for legitimate lifecycle events, such as onboarding a new hire or backfilling a departing employee.</w:t>
      </w:r>
    </w:p>
    <w:p>
      <w:pPr>
        <w:pStyle w:val="ListParagraph"/>
        <w:numPr>
          <w:ilvl w:val="0"/>
          <w:numId w:val="3"/>
        </w:numPr>
        <w:spacing w:after="80" w:line="276"/>
      </w:pPr>
      <w:r>
        <w:rPr>
          <w:b/>
          <w:bCs/>
        </w:rPr>
        <w:t xml:space="preserve">LIC-ABU-4. </w:t>
      </w:r>
      <w:r>
        <w:t xml:space="preserve">Reassignment is permitted only after a cooldown period has elapsed since the previous assignment. Cooldown duration: [TBD].</w:t>
      </w:r>
    </w:p>
    <w:p>
      <w:pPr>
        <w:pStyle w:val="ListParagraph"/>
        <w:numPr>
          <w:ilvl w:val="0"/>
          <w:numId w:val="3"/>
        </w:numPr>
        <w:spacing w:after="80" w:line="276"/>
      </w:pPr>
      <w:r>
        <w:rPr>
          <w:b/>
          <w:bCs/>
        </w:rPr>
        <w:t xml:space="preserve">LIC-ABU-5. </w:t>
      </w:r>
      <w:r>
        <w:t xml:space="preserve">Reassignment is capped at a maximum number of reassignments per billing period (monthly, annual, or manual, as defined in Section 3). Maximum: [TBD].</w:t>
      </w:r>
    </w:p>
    <w:p>
      <w:pPr>
        <w:pStyle w:val="ListParagraph"/>
        <w:numPr>
          <w:ilvl w:val="0"/>
          <w:numId w:val="3"/>
        </w:numPr>
        <w:spacing w:after="80" w:line="276"/>
      </w:pPr>
      <w:r>
        <w:rPr>
          <w:b/>
          <w:bCs/>
        </w:rPr>
        <w:t xml:space="preserve">LIC-ABU-6. </w:t>
      </w:r>
      <w:r>
        <w:t xml:space="preserve">The system must enforce these constraints and provide org admins with visibility into license assignment history, which is captured in the audit trail (see Section 13).</w:t>
      </w:r>
    </w:p>
    <w:p>
      <w:pPr>
        <w:pStyle w:val="Heading1"/>
      </w:pPr>
      <w:r>
        <w:t xml:space="preserve">9. License Retention on Departure</w:t>
      </w:r>
    </w:p>
    <w:p>
      <w:pPr>
        <w:pStyle w:val="ListParagraph"/>
        <w:numPr>
          <w:ilvl w:val="0"/>
          <w:numId w:val="3"/>
        </w:numPr>
        <w:spacing w:after="80" w:line="276"/>
      </w:pPr>
      <w:r>
        <w:rPr>
          <w:b/>
          <w:bCs/>
        </w:rPr>
        <w:t xml:space="preserve">LIC-RET-1. </w:t>
      </w:r>
      <w:r>
        <w:t xml:space="preserve">When a user leaves an organization, an org-owned license that was assigned to them remains with the organization. The org admin may reclaim it and reassign it to another user, subject to the reassignment rules in Section 8.</w:t>
      </w:r>
    </w:p>
    <w:p>
      <w:pPr>
        <w:pStyle w:val="ListParagraph"/>
        <w:numPr>
          <w:ilvl w:val="0"/>
          <w:numId w:val="3"/>
        </w:numPr>
        <w:spacing w:after="80" w:line="276"/>
      </w:pPr>
      <w:r>
        <w:rPr>
          <w:b/>
          <w:bCs/>
        </w:rPr>
        <w:t xml:space="preserve">LIC-RET-2. </w:t>
      </w:r>
      <w:r>
        <w:t xml:space="preserve">When a user leaves an organization, a user-owned license remains with the user. The license departs with them and may be used in other organizations the user is authorized in.</w:t>
      </w:r>
    </w:p>
    <w:p>
      <w:pPr>
        <w:pStyle w:val="Heading1"/>
      </w:pPr>
      <w:r>
        <w:t xml:space="preserve">10. Student-Based Licenses</w:t>
      </w:r>
    </w:p>
    <w:p>
      <w:pPr>
        <w:spacing w:after="120" w:before="0" w:line="276"/>
      </w:pPr>
      <w:r>
        <w:t xml:space="preserve">Salt SaaS supports student-based licenses, which may be offered at a discounted student rate. Eligibility verification applies only to student-based licenses; other license types do not require eligibility proof.</w:t>
      </w:r>
    </w:p>
    <w:p>
      <w:pPr>
        <w:pStyle w:val="ListParagraph"/>
        <w:numPr>
          <w:ilvl w:val="0"/>
          <w:numId w:val="5"/>
        </w:numPr>
        <w:spacing w:after="80" w:line="276"/>
      </w:pPr>
      <w:r>
        <w:rPr>
          <w:b/>
          <w:bCs/>
        </w:rPr>
        <w:t xml:space="preserve">LIC-STU-1. </w:t>
      </w:r>
      <w:r>
        <w:t xml:space="preserve">Student-based licenses may be offered at a discounted student rate.</w:t>
      </w:r>
    </w:p>
    <w:p>
      <w:pPr>
        <w:pStyle w:val="ListParagraph"/>
        <w:numPr>
          <w:ilvl w:val="0"/>
          <w:numId w:val="5"/>
        </w:numPr>
        <w:spacing w:after="80" w:line="276"/>
      </w:pPr>
      <w:r>
        <w:rPr>
          <w:b/>
          <w:bCs/>
        </w:rPr>
        <w:t xml:space="preserve">LIC-STU-2. </w:t>
      </w:r>
      <w:r>
        <w:t xml:space="preserve">Proof of student status is required before a student-based license can be assigned to a user. An org admin (or the purchasing party) cannot assign a student-based license until the recipient's student status has been verified.</w:t>
      </w:r>
    </w:p>
    <w:p>
      <w:pPr>
        <w:pStyle w:val="ListParagraph"/>
        <w:numPr>
          <w:ilvl w:val="0"/>
          <w:numId w:val="5"/>
        </w:numPr>
        <w:spacing w:after="80" w:line="276"/>
      </w:pPr>
      <w:r>
        <w:rPr>
          <w:b/>
          <w:bCs/>
        </w:rPr>
        <w:t xml:space="preserve">LIC-STU-3. </w:t>
      </w:r>
      <w:r>
        <w:t xml:space="preserve">Student-based licenses may be either org-purchased (an organization, such as a research group or university, buys and assigns them to verified students) or user-purchased (a student buys and owns the license directly).</w:t>
      </w:r>
    </w:p>
    <w:p>
      <w:pPr>
        <w:pStyle w:val="ListParagraph"/>
        <w:numPr>
          <w:ilvl w:val="0"/>
          <w:numId w:val="5"/>
        </w:numPr>
        <w:spacing w:after="80" w:line="276"/>
      </w:pPr>
      <w:r>
        <w:rPr>
          <w:b/>
          <w:bCs/>
        </w:rPr>
        <w:t xml:space="preserve">LIC-STU-4. </w:t>
      </w:r>
      <w:r>
        <w:t xml:space="preserve">A user-owned student license follows the retention rule for user-owned licenses (Section 9): it remains with the student when they leave an organization.</w:t>
      </w:r>
    </w:p>
    <w:p>
      <w:pPr>
        <w:pStyle w:val="ListParagraph"/>
        <w:numPr>
          <w:ilvl w:val="0"/>
          <w:numId w:val="5"/>
        </w:numPr>
        <w:spacing w:after="80" w:line="276"/>
      </w:pPr>
      <w:r>
        <w:rPr>
          <w:b/>
          <w:bCs/>
        </w:rPr>
        <w:t xml:space="preserve">LIC-STU-5. </w:t>
      </w:r>
      <w:r>
        <w:t xml:space="preserve">Student status is not re-verified during an active license term. The 3-year term is fixed from the date of purchase and is never reset or extended; re-verification mid-term is not permitted, because doing so would effectively extend the license term. Continued use beyond the term requires a new purchase with fresh proof of student status.</w:t>
      </w:r>
    </w:p>
    <w:p>
      <w:pPr>
        <w:pStyle w:val="Heading1"/>
      </w:pPr>
      <w:r>
        <w:t xml:space="preserve">11. Data Ownership and Residency</w:t>
      </w:r>
    </w:p>
    <w:p>
      <w:pPr>
        <w:spacing w:after="120" w:before="0" w:line="276"/>
      </w:pPr>
      <w:r>
        <w:t xml:space="preserve">Salt SaaS treats the organization in which work is performed as the owner of the data created. Data ownership follows the active organizational context, not the individual who created the data, the party who paid for the licenses, or the owner of the license used. Because every user always operates within an organization (defaulting to their personal org), all data has an owning organization — there is no state in which data is created outside an org.</w:t>
      </w:r>
    </w:p>
    <w:p>
      <w:pPr>
        <w:pStyle w:val="ListParagraph"/>
        <w:numPr>
          <w:ilvl w:val="0"/>
          <w:numId w:val="6"/>
        </w:numPr>
        <w:spacing w:after="80" w:line="276"/>
      </w:pPr>
      <w:r>
        <w:rPr>
          <w:b/>
          <w:bCs/>
        </w:rPr>
        <w:t xml:space="preserve">DATA-1. </w:t>
      </w:r>
      <w:r>
        <w:t xml:space="preserve">Data created within an organization is owned by that organization, not by the individual user who created it.</w:t>
      </w:r>
    </w:p>
    <w:p>
      <w:pPr>
        <w:pStyle w:val="ListParagraph"/>
        <w:numPr>
          <w:ilvl w:val="0"/>
          <w:numId w:val="6"/>
        </w:numPr>
        <w:spacing w:after="80" w:line="276"/>
      </w:pPr>
      <w:r>
        <w:rPr>
          <w:b/>
          <w:bCs/>
        </w:rPr>
        <w:t xml:space="preserve">DATA-2. </w:t>
      </w:r>
      <w:r>
        <w:t xml:space="preserve">Data ownership and residency follow the organization in which the work is performed. This holds regardless of which organization purchased the licenses, which organization initiated or funded the engagement, or which organization owns the license being used.</w:t>
      </w:r>
    </w:p>
    <w:p>
      <w:pPr>
        <w:pStyle w:val="ListParagraph"/>
        <w:numPr>
          <w:ilvl w:val="0"/>
          <w:numId w:val="6"/>
        </w:numPr>
        <w:spacing w:after="80" w:line="276"/>
      </w:pPr>
      <w:r>
        <w:rPr>
          <w:b/>
          <w:bCs/>
        </w:rPr>
        <w:t xml:space="preserve">DATA-3. </w:t>
      </w:r>
      <w:r>
        <w:t xml:space="preserve">Where a user operates in an organization under a portable org-owned license or a user-owned license, the data they create still belongs to the organization in which the work is performed — not to the user and not to the license-owning organization.</w:t>
      </w:r>
    </w:p>
    <w:p>
      <w:pPr>
        <w:pStyle w:val="ListParagraph"/>
        <w:numPr>
          <w:ilvl w:val="0"/>
          <w:numId w:val="6"/>
        </w:numPr>
        <w:spacing w:after="80" w:line="276"/>
      </w:pPr>
      <w:r>
        <w:rPr>
          <w:b/>
          <w:bCs/>
        </w:rPr>
        <w:t xml:space="preserve">DATA-4. </w:t>
      </w:r>
      <w:r>
        <w:t xml:space="preserve">When a user leaves an organization, data they created within that organization remains with the organization. The departing user does not take the data with them, even if they used their own (user-owned) license to create it.</w:t>
      </w:r>
    </w:p>
    <w:p>
      <w:pPr>
        <w:pStyle w:val="ListParagraph"/>
        <w:numPr>
          <w:ilvl w:val="0"/>
          <w:numId w:val="6"/>
        </w:numPr>
        <w:spacing w:after="80" w:line="276"/>
      </w:pPr>
      <w:r>
        <w:rPr>
          <w:b/>
          <w:bCs/>
        </w:rPr>
        <w:t xml:space="preserve">DATA-5. </w:t>
      </w:r>
      <w:r>
        <w:t xml:space="preserve">Users retain no access, export, or portability rights to data they created within an organization. The data belongs entirely to the organization; nothing is reserved to the individual creator.</w:t>
      </w:r>
    </w:p>
    <w:p>
      <w:pPr>
        <w:pStyle w:val="ListParagraph"/>
        <w:numPr>
          <w:ilvl w:val="0"/>
          <w:numId w:val="6"/>
        </w:numPr>
        <w:spacing w:after="80" w:line="276"/>
      </w:pPr>
      <w:r>
        <w:rPr>
          <w:b/>
          <w:bCs/>
        </w:rPr>
        <w:t xml:space="preserve">DATA-6. </w:t>
      </w:r>
      <w:r>
        <w:t xml:space="preserve">Every user always operates within an organization. A user with no other organization works within their automatically provisioned personal org, and data created there is owned by that personal org.</w:t>
      </w:r>
    </w:p>
    <w:p>
      <w:pPr>
        <w:pStyle w:val="ListParagraph"/>
        <w:numPr>
          <w:ilvl w:val="0"/>
          <w:numId w:val="6"/>
        </w:numPr>
        <w:spacing w:after="80" w:line="276"/>
      </w:pPr>
      <w:r>
        <w:rPr>
          <w:b/>
          <w:bCs/>
        </w:rPr>
        <w:t xml:space="preserve">DATA-7. </w:t>
      </w:r>
      <w:r>
        <w:t xml:space="preserve">Salt provides no in-product mechanism for cross-organization data sharing. One organization cannot grant or share access to its data with another organization within the product, even where work was performed on another organization's behalf. Any such sharing is handled entirely outside of Salt.</w:t>
      </w:r>
    </w:p>
    <w:p>
      <w:pPr>
        <w:spacing w:after="120" w:before="80" w:line="276"/>
      </w:pPr>
      <w:r>
        <w:rPr>
          <w:b/>
          <w:bCs/>
        </w:rPr>
        <w:t xml:space="preserve">Scope note. </w:t>
      </w:r>
      <w:r>
        <w:t xml:space="preserve">“Data” in this section refers to work product, customer content, and telemetry data generated within Salt. Account and profile data (a user's own identity information) are out of scope here and are governed separately under privacy and data-handling policy.</w:t>
      </w:r>
    </w:p>
    <w:p>
      <w:pPr>
        <w:pStyle w:val="Heading1"/>
      </w:pPr>
      <w:r>
        <w:t xml:space="preserve">12. Responsibility to Operate in the Correct Organization</w:t>
      </w:r>
    </w:p>
    <w:p>
      <w:pPr>
        <w:spacing w:after="120" w:before="0" w:line="276"/>
      </w:pPr>
      <w:r>
        <w:t xml:space="preserve">Because data ownership and residency follow the active organizational context, the organization a user is operating in at the time of work determines where the data is created and who owns it. Operating in the wrong organization can route data to the wrong tenant and breach compliance or legal obligations.</w:t>
      </w:r>
    </w:p>
    <w:p>
      <w:pPr>
        <w:pStyle w:val="ListParagraph"/>
        <w:numPr>
          <w:ilvl w:val="0"/>
          <w:numId w:val="7"/>
        </w:numPr>
        <w:spacing w:after="80" w:line="276"/>
      </w:pPr>
      <w:r>
        <w:rPr>
          <w:b/>
          <w:bCs/>
        </w:rPr>
        <w:t xml:space="preserve">ORG-CTX-1. </w:t>
      </w:r>
      <w:r>
        <w:t xml:space="preserve">Users are responsible for ensuring they are logged into and operating within the correct organization for the work they are performing, so that data is created in the proper tenant and applicable compliance and legal requirements are met.</w:t>
      </w:r>
    </w:p>
    <w:p>
      <w:pPr>
        <w:pStyle w:val="ListParagraph"/>
        <w:numPr>
          <w:ilvl w:val="0"/>
          <w:numId w:val="7"/>
        </w:numPr>
        <w:spacing w:after="80" w:line="276"/>
      </w:pPr>
      <w:r>
        <w:rPr>
          <w:b/>
          <w:bCs/>
        </w:rPr>
        <w:t xml:space="preserve">ORG-CTX-2. </w:t>
      </w:r>
      <w:r>
        <w:t xml:space="preserve">Salt must clearly display the active organization context to the user at all times, so the user can confirm which organization they are working in.</w:t>
      </w:r>
    </w:p>
    <w:p>
      <w:pPr>
        <w:pStyle w:val="ListParagraph"/>
        <w:numPr>
          <w:ilvl w:val="0"/>
          <w:numId w:val="7"/>
        </w:numPr>
        <w:spacing w:after="80" w:line="276"/>
      </w:pPr>
      <w:r>
        <w:rPr>
          <w:b/>
          <w:bCs/>
        </w:rPr>
        <w:t xml:space="preserve">ORG-CTX-3. </w:t>
      </w:r>
      <w:r>
        <w:t xml:space="preserve">Switching organizations must be guarded by a strong, deliberate safeguard. Salt must require the user to explicitly confirm the named target organization before any work may be performed in it. The confirmation must be an affirmative action — not a passive or dismissible notification — so that a user cannot enter a different organization's context without knowingly choosing it.</w:t>
      </w:r>
    </w:p>
    <w:p>
      <w:pPr>
        <w:pStyle w:val="ListParagraph"/>
        <w:numPr>
          <w:ilvl w:val="0"/>
          <w:numId w:val="7"/>
        </w:numPr>
        <w:spacing w:after="80" w:line="276"/>
      </w:pPr>
      <w:r>
        <w:rPr>
          <w:b/>
          <w:bCs/>
        </w:rPr>
        <w:t xml:space="preserve">ORG-CTX-4. </w:t>
      </w:r>
      <w:r>
        <w:t xml:space="preserve">Salt must surface a warning when the active organization may not be the one the user intends — for example, on login when the user belongs to multiple organizations, or when beginning new work shortly after switching organizations.</w:t>
      </w:r>
    </w:p>
    <w:p>
      <w:pPr>
        <w:pStyle w:val="ListParagraph"/>
        <w:numPr>
          <w:ilvl w:val="0"/>
          <w:numId w:val="7"/>
        </w:numPr>
        <w:spacing w:after="80" w:line="276"/>
      </w:pPr>
      <w:r>
        <w:rPr>
          <w:b/>
          <w:bCs/>
        </w:rPr>
        <w:t xml:space="preserve">ORG-CTX-5. </w:t>
      </w:r>
      <w:r>
        <w:t xml:space="preserve">Organization-context events — logins, organization switches, and switch confirmations — must be captured in the audit trail (see Section 13), so that the organization context in which any work was performed can be reconstructed after the fact.</w:t>
      </w:r>
    </w:p>
    <w:p>
      <w:pPr>
        <w:pStyle w:val="Heading1"/>
      </w:pPr>
      <w:r>
        <w:t xml:space="preserve">13. Audit Trail</w:t>
      </w:r>
    </w:p>
    <w:p>
      <w:pPr>
        <w:spacing w:after="120" w:before="0" w:line="276"/>
      </w:pPr>
      <w:r>
        <w:t xml:space="preserve">Salt maintains an audit trail: a durable, system-maintained record of significant events, used to reconstruct who did what, when, and in which organization. The audit trail is the single, coherent record underpinning compliance, abuse detection, and organization-context reconstruction.</w:t>
      </w:r>
    </w:p>
    <w:p>
      <w:pPr>
        <w:pStyle w:val="ListParagraph"/>
        <w:numPr>
          <w:ilvl w:val="0"/>
          <w:numId w:val="8"/>
        </w:numPr>
        <w:spacing w:after="80" w:line="276"/>
      </w:pPr>
      <w:r>
        <w:rPr>
          <w:b/>
          <w:bCs/>
        </w:rPr>
        <w:t xml:space="preserve">AUDIT-1. </w:t>
      </w:r>
      <w:r>
        <w:t xml:space="preserve">Salt must maintain an audit trail of significant events across the product.</w:t>
      </w:r>
    </w:p>
    <w:p>
      <w:pPr>
        <w:pStyle w:val="ListParagraph"/>
        <w:numPr>
          <w:ilvl w:val="0"/>
          <w:numId w:val="8"/>
        </w:numPr>
        <w:spacing w:after="80" w:line="276"/>
      </w:pPr>
      <w:r>
        <w:rPr>
          <w:b/>
          <w:bCs/>
        </w:rPr>
        <w:t xml:space="preserve">AUDIT-2. </w:t>
      </w:r>
      <w:r>
        <w:t xml:space="preserve">The audit trail must capture organization-context events, including logins, organization switches, and switch confirmations (see Section 12).</w:t>
      </w:r>
    </w:p>
    <w:p>
      <w:pPr>
        <w:pStyle w:val="ListParagraph"/>
        <w:numPr>
          <w:ilvl w:val="0"/>
          <w:numId w:val="8"/>
        </w:numPr>
        <w:spacing w:after="80" w:line="276"/>
      </w:pPr>
      <w:r>
        <w:rPr>
          <w:b/>
          <w:bCs/>
        </w:rPr>
        <w:t xml:space="preserve">AUDIT-3. </w:t>
      </w:r>
      <w:r>
        <w:t xml:space="preserve">The audit trail must capture license assignment and reassignment history, providing org admins with visibility into how licenses have been assigned over time (see Section 8).</w:t>
      </w:r>
    </w:p>
    <w:p>
      <w:pPr>
        <w:pStyle w:val="ListParagraph"/>
        <w:numPr>
          <w:ilvl w:val="0"/>
          <w:numId w:val="8"/>
        </w:numPr>
        <w:spacing w:after="80" w:line="276"/>
      </w:pPr>
      <w:r>
        <w:rPr>
          <w:b/>
          <w:bCs/>
        </w:rPr>
        <w:t xml:space="preserve">AUDIT-4. </w:t>
      </w:r>
      <w:r>
        <w:t xml:space="preserve">The audit trail must capture enforcement-relevant events that support detection of license sharing or rotation and other compliance concerns.</w:t>
      </w:r>
    </w:p>
    <w:p>
      <w:pPr>
        <w:pStyle w:val="ListParagraph"/>
        <w:numPr>
          <w:ilvl w:val="0"/>
          <w:numId w:val="8"/>
        </w:numPr>
        <w:spacing w:after="80" w:line="276"/>
      </w:pPr>
      <w:r>
        <w:rPr>
          <w:b/>
          <w:bCs/>
        </w:rPr>
        <w:t xml:space="preserve">AUDIT-5. </w:t>
      </w:r>
      <w:r>
        <w:t xml:space="preserve">The specific retention period and the full set of recorded fields for the audit trail are to be defined (see Open Questions).</w:t>
      </w:r>
    </w:p>
    <w:p>
      <w:pPr>
        <w:pStyle w:val="Heading1"/>
      </w:pPr>
      <w:r>
        <w:t xml:space="preserve">14. Worked Scenarios</w:t>
      </w:r>
    </w:p>
    <w:p>
      <w:pPr>
        <w:spacing w:after="120" w:before="0" w:line="276"/>
      </w:pPr>
      <w:r>
        <w:t xml:space="preserve">The following scenarios illustrate how the rules in this specification apply in practice. They are descriptive examples, not additional requirements.</w:t>
      </w:r>
    </w:p>
    <w:p>
      <w:pPr>
        <w:pStyle w:val="Heading2"/>
      </w:pPr>
      <w:r>
        <w:t xml:space="preserve">14.1 Private Practice (Org-Only Enforcement)</w:t>
      </w:r>
    </w:p>
    <w:p>
      <w:pPr>
        <w:pStyle w:val="ListParagraph"/>
        <w:numPr>
          <w:ilvl w:val="0"/>
          <w:numId w:val="4"/>
        </w:numPr>
        <w:spacing w:after="80" w:line="276"/>
      </w:pPr>
      <w:r>
        <w:t xml:space="preserve">A private practice (an organization) purchases 10 licenses by invoice.</w:t>
      </w:r>
    </w:p>
    <w:p>
      <w:pPr>
        <w:pStyle w:val="ListParagraph"/>
        <w:numPr>
          <w:ilvl w:val="0"/>
          <w:numId w:val="4"/>
        </w:numPr>
        <w:spacing w:after="80" w:line="276"/>
      </w:pPr>
      <w:r>
        <w:t xml:space="preserve">The org admin assigns these licenses to individual clinicians.</w:t>
      </w:r>
    </w:p>
    <w:p>
      <w:pPr>
        <w:pStyle w:val="ListParagraph"/>
        <w:numPr>
          <w:ilvl w:val="0"/>
          <w:numId w:val="4"/>
        </w:numPr>
        <w:spacing w:after="80" w:line="276"/>
      </w:pPr>
      <w:r>
        <w:t xml:space="preserve">The practice marks the licenses as org-only (non-portable).</w:t>
      </w:r>
    </w:p>
    <w:p>
      <w:pPr>
        <w:pStyle w:val="ListParagraph"/>
        <w:numPr>
          <w:ilvl w:val="0"/>
          <w:numId w:val="4"/>
        </w:numPr>
        <w:spacing w:after="80" w:line="276"/>
      </w:pPr>
      <w:r>
        <w:t xml:space="preserve">Consequence: if a clinician attempts to use Salt outside this organization, they are blocked. To work outside the practice they must obtain another license — either a personal (user-owned) license or one provided by another organization. </w:t>
      </w:r>
      <w:r>
        <w:rPr>
          <w:b/>
          <w:bCs/>
        </w:rPr>
        <w:t xml:space="preserve">(Illustrates LIC-OWN-2, LIC-RES-3.)</w:t>
      </w:r>
    </w:p>
    <w:p>
      <w:pPr>
        <w:pStyle w:val="Heading2"/>
      </w:pPr>
      <w:r>
        <w:t xml:space="preserve">14.2 University / Research Organization</w:t>
      </w:r>
    </w:p>
    <w:p>
      <w:pPr>
        <w:spacing w:after="40" w:before="0" w:line="276"/>
      </w:pPr>
      <w:r>
        <w:rPr>
          <w:b/>
          <w:bCs/>
        </w:rPr>
        <w:t xml:space="preserve">14.2a — Org-purchased student licenses.</w:t>
      </w:r>
    </w:p>
    <w:p>
      <w:pPr>
        <w:pStyle w:val="ListParagraph"/>
        <w:numPr>
          <w:ilvl w:val="0"/>
          <w:numId w:val="4"/>
        </w:numPr>
        <w:spacing w:after="80" w:line="276"/>
      </w:pPr>
      <w:r>
        <w:t xml:space="preserve">A researcher or university purchases licenses at a discounted student rate and assigns them to students.</w:t>
      </w:r>
    </w:p>
    <w:p>
      <w:pPr>
        <w:pStyle w:val="ListParagraph"/>
        <w:numPr>
          <w:ilvl w:val="0"/>
          <w:numId w:val="4"/>
        </w:numPr>
        <w:spacing w:after="80" w:line="276"/>
      </w:pPr>
      <w:r>
        <w:t xml:space="preserve">Each student must prove student status </w:t>
      </w:r>
      <w:r>
        <w:rPr>
          <w:b/>
          <w:bCs/>
        </w:rPr>
        <w:t xml:space="preserve">before</w:t>
      </w:r>
      <w:r>
        <w:t xml:space="preserve"> the license can be assigned to them.</w:t>
      </w:r>
    </w:p>
    <w:p>
      <w:pPr>
        <w:pStyle w:val="ListParagraph"/>
        <w:numPr>
          <w:ilvl w:val="0"/>
          <w:numId w:val="4"/>
        </w:numPr>
        <w:spacing w:after="80" w:line="276"/>
      </w:pPr>
      <w:r>
        <w:t xml:space="preserve">The licenses are owned by the organization; on a student's departure they remain with the org and may be reassigned. </w:t>
      </w:r>
      <w:r>
        <w:rPr>
          <w:b/>
          <w:bCs/>
        </w:rPr>
        <w:t xml:space="preserve">(Illustrates LIC-STU-1, LIC-STU-2, LIC-RET-1.)</w:t>
      </w:r>
    </w:p>
    <w:p>
      <w:pPr>
        <w:spacing w:after="40" w:before="80" w:line="276"/>
      </w:pPr>
      <w:r>
        <w:rPr>
          <w:b/>
          <w:bCs/>
        </w:rPr>
        <w:t xml:space="preserve">14.2b — Student-owned licenses.</w:t>
      </w:r>
    </w:p>
    <w:p>
      <w:pPr>
        <w:pStyle w:val="ListParagraph"/>
        <w:numPr>
          <w:ilvl w:val="0"/>
          <w:numId w:val="4"/>
        </w:numPr>
        <w:spacing w:after="80" w:line="276"/>
      </w:pPr>
      <w:r>
        <w:t xml:space="preserve">A student purchases and owns their own license and brings it into the organization as their personal license.</w:t>
      </w:r>
    </w:p>
    <w:p>
      <w:pPr>
        <w:pStyle w:val="ListParagraph"/>
        <w:numPr>
          <w:ilvl w:val="0"/>
          <w:numId w:val="4"/>
        </w:numPr>
        <w:spacing w:after="80" w:line="276"/>
      </w:pPr>
      <w:r>
        <w:t xml:space="preserve">When the student leaves the organization, the license stays with the student rather than the organization. </w:t>
      </w:r>
      <w:r>
        <w:rPr>
          <w:b/>
          <w:bCs/>
        </w:rPr>
        <w:t xml:space="preserve">(Illustrates LIC-OWN-5, LIC-OWN-6, LIC-RET-2.)</w:t>
      </w:r>
    </w:p>
    <w:p>
      <w:pPr>
        <w:pStyle w:val="Heading2"/>
      </w:pPr>
      <w:r>
        <w:t xml:space="preserve">14.3 School District</w:t>
      </w:r>
    </w:p>
    <w:p>
      <w:pPr>
        <w:spacing w:after="40" w:before="0" w:line="276"/>
      </w:pPr>
      <w:r>
        <w:rPr>
          <w:b/>
          <w:bCs/>
        </w:rPr>
        <w:t xml:space="preserve">14.3a — District-owned deployment.</w:t>
      </w:r>
    </w:p>
    <w:p>
      <w:pPr>
        <w:pStyle w:val="ListParagraph"/>
        <w:numPr>
          <w:ilvl w:val="0"/>
          <w:numId w:val="4"/>
        </w:numPr>
        <w:spacing w:after="80" w:line="276"/>
      </w:pPr>
      <w:r>
        <w:t xml:space="preserve">A school district (an organization) purchases the licenses.</w:t>
      </w:r>
    </w:p>
    <w:p>
      <w:pPr>
        <w:pStyle w:val="ListParagraph"/>
        <w:numPr>
          <w:ilvl w:val="0"/>
          <w:numId w:val="4"/>
        </w:numPr>
        <w:spacing w:after="80" w:line="276"/>
      </w:pPr>
      <w:r>
        <w:t xml:space="preserve">Work is performed within the district's tenant, so the data resides in and is owned by the </w:t>
      </w:r>
      <w:r>
        <w:rPr>
          <w:b/>
          <w:bCs/>
        </w:rPr>
        <w:t xml:space="preserve">district's org tenant</w:t>
      </w:r>
      <w:r>
        <w:t xml:space="preserve">. </w:t>
      </w:r>
      <w:r>
        <w:rPr>
          <w:b/>
          <w:bCs/>
        </w:rPr>
        <w:t xml:space="preserve">(Illustrates DATA-1, DATA-2.)</w:t>
      </w:r>
    </w:p>
    <w:p>
      <w:pPr>
        <w:spacing w:after="40" w:before="80" w:line="276"/>
      </w:pPr>
      <w:r>
        <w:rPr>
          <w:b/>
          <w:bCs/>
        </w:rPr>
        <w:t xml:space="preserve">14.3b — District engages an outside consultant.</w:t>
      </w:r>
    </w:p>
    <w:p>
      <w:pPr>
        <w:pStyle w:val="ListParagraph"/>
        <w:numPr>
          <w:ilvl w:val="0"/>
          <w:numId w:val="4"/>
        </w:numPr>
        <w:spacing w:after="80" w:line="276"/>
      </w:pPr>
      <w:r>
        <w:t xml:space="preserve">The district contracts a consultant (or consulting organization) who has their own private-practice org.</w:t>
      </w:r>
    </w:p>
    <w:p>
      <w:pPr>
        <w:pStyle w:val="ListParagraph"/>
        <w:numPr>
          <w:ilvl w:val="0"/>
          <w:numId w:val="4"/>
        </w:numPr>
        <w:spacing w:after="80" w:line="276"/>
      </w:pPr>
      <w:r>
        <w:t xml:space="preserve">The consultant performs the work within their own org, so the student data resides in and is owned by the consultant's org — not the district's.</w:t>
      </w:r>
    </w:p>
    <w:p>
      <w:pPr>
        <w:pStyle w:val="ListParagraph"/>
        <w:numPr>
          <w:ilvl w:val="0"/>
          <w:numId w:val="4"/>
        </w:numPr>
        <w:spacing w:after="80" w:line="276"/>
      </w:pPr>
      <w:r>
        <w:t xml:space="preserve">Consequence: the district does </w:t>
      </w:r>
      <w:r>
        <w:rPr>
          <w:b/>
          <w:bCs/>
        </w:rPr>
        <w:t xml:space="preserve">not</w:t>
      </w:r>
      <w:r>
        <w:t xml:space="preserve"> have direct access to the student data within Salt, even though the district initiated and funded the engagement. Salt provides no in-product cross-organization sharing, so any sharing of that data back to the district is handled entirely outside Salt. </w:t>
      </w:r>
      <w:r>
        <w:rPr>
          <w:b/>
          <w:bCs/>
        </w:rPr>
        <w:t xml:space="preserve">(Illustrates DATA-2, DATA-3, DATA-7.)</w:t>
      </w:r>
    </w:p>
    <w:p>
      <w:pPr>
        <w:pStyle w:val="Heading1"/>
      </w:pPr>
      <w:r>
        <w:t xml:space="preserve">15. Organization Administrators</w:t>
      </w:r>
    </w:p>
    <w:p>
      <w:pPr>
        <w:pStyle w:val="Heading2"/>
      </w:pPr>
      <w:r>
        <w:t xml:space="preserve">15.1 Role Definition</w:t>
      </w:r>
    </w:p>
    <w:p>
      <w:pPr>
        <w:spacing w:after="120" w:before="0" w:line="276"/>
      </w:pPr>
      <w:r>
        <w:t xml:space="preserve">An organization administrator (org admin) is a user who holds authority to administer an organization — including its licenses, membership, and configuration. The role governs administration of the organization; it does not, by itself, grant access to the organization's data (see Section 15.4).</w:t>
      </w:r>
    </w:p>
    <w:p>
      <w:pPr>
        <w:pStyle w:val="ListParagraph"/>
        <w:numPr>
          <w:ilvl w:val="0"/>
          <w:numId w:val="9"/>
        </w:numPr>
        <w:spacing w:after="80" w:line="276"/>
      </w:pPr>
      <w:r>
        <w:rPr>
          <w:b/>
          <w:bCs/>
        </w:rPr>
        <w:t xml:space="preserve">ADMIN-1. </w:t>
      </w:r>
      <w:r>
        <w:t xml:space="preserve">An organization may have any number of org admins.</w:t>
      </w:r>
    </w:p>
    <w:p>
      <w:pPr>
        <w:pStyle w:val="ListParagraph"/>
        <w:numPr>
          <w:ilvl w:val="0"/>
          <w:numId w:val="9"/>
        </w:numPr>
        <w:spacing w:after="80" w:line="276"/>
      </w:pPr>
      <w:r>
        <w:rPr>
          <w:b/>
          <w:bCs/>
        </w:rPr>
        <w:t xml:space="preserve">ADMIN-2. </w:t>
      </w:r>
      <w:r>
        <w:t xml:space="preserve">The user who creates an organization becomes its first org admin.</w:t>
      </w:r>
    </w:p>
    <w:p>
      <w:pPr>
        <w:pStyle w:val="ListParagraph"/>
        <w:numPr>
          <w:ilvl w:val="0"/>
          <w:numId w:val="9"/>
        </w:numPr>
        <w:spacing w:after="80" w:line="276"/>
      </w:pPr>
      <w:r>
        <w:rPr>
          <w:b/>
          <w:bCs/>
        </w:rPr>
        <w:t xml:space="preserve">ADMIN-3. </w:t>
      </w:r>
      <w:r>
        <w:t xml:space="preserve">An org admin may grant admin authority to other users within the organization.</w:t>
      </w:r>
    </w:p>
    <w:p>
      <w:pPr>
        <w:pStyle w:val="ListParagraph"/>
        <w:numPr>
          <w:ilvl w:val="0"/>
          <w:numId w:val="9"/>
        </w:numPr>
        <w:spacing w:after="80" w:line="276"/>
      </w:pPr>
      <w:r>
        <w:rPr>
          <w:b/>
          <w:bCs/>
        </w:rPr>
        <w:t xml:space="preserve">ADMIN-4. </w:t>
      </w:r>
      <w:r>
        <w:t xml:space="preserve">The system supports differentiated admin types, so that administrative authority can be divided among distinct admin roles rather than a single all-encompassing role. The specific admin types are to be defined (see Open Questions).</w:t>
      </w:r>
    </w:p>
    <w:p>
      <w:pPr>
        <w:pStyle w:val="Heading2"/>
      </w:pPr>
      <w:r>
        <w:t xml:space="preserve">15.2 Authority Boundary</w:t>
      </w:r>
    </w:p>
    <w:p>
      <w:pPr>
        <w:pStyle w:val="ListParagraph"/>
        <w:numPr>
          <w:ilvl w:val="0"/>
          <w:numId w:val="9"/>
        </w:numPr>
        <w:spacing w:after="80" w:line="276"/>
      </w:pPr>
      <w:r>
        <w:rPr>
          <w:b/>
          <w:bCs/>
        </w:rPr>
        <w:t xml:space="preserve">ADMIN-5. </w:t>
      </w:r>
      <w:r>
        <w:t xml:space="preserve">An org admin's authority is confined to their own organization. An admin has no control over a user's memberships in other organizations, a user's personal (user-owned) licenses, or any other organization's tenant or data.</w:t>
      </w:r>
    </w:p>
    <w:p>
      <w:pPr>
        <w:pStyle w:val="Heading2"/>
      </w:pPr>
      <w:r>
        <w:t xml:space="preserve">15.3 Responsibilities</w:t>
      </w:r>
    </w:p>
    <w:p>
      <w:pPr>
        <w:spacing w:after="120" w:before="0" w:line="276"/>
      </w:pPr>
      <w:r>
        <w:t xml:space="preserve">Org admins (subject to the specific admin type they hold) are responsible for:</w:t>
      </w:r>
    </w:p>
    <w:p>
      <w:pPr>
        <w:pStyle w:val="ListParagraph"/>
        <w:numPr>
          <w:ilvl w:val="0"/>
          <w:numId w:val="4"/>
        </w:numPr>
        <w:spacing w:after="80" w:line="276"/>
      </w:pPr>
      <w:r>
        <w:t xml:space="preserve">Purchasing and managing the organization's license inventory.</w:t>
      </w:r>
    </w:p>
    <w:p>
      <w:pPr>
        <w:pStyle w:val="ListParagraph"/>
        <w:numPr>
          <w:ilvl w:val="0"/>
          <w:numId w:val="4"/>
        </w:numPr>
        <w:spacing w:after="80" w:line="276"/>
      </w:pPr>
      <w:r>
        <w:t xml:space="preserve">Assigning, reassigning, and revoking org-owned licenses to and from named users.</w:t>
      </w:r>
    </w:p>
    <w:p>
      <w:pPr>
        <w:pStyle w:val="ListParagraph"/>
        <w:numPr>
          <w:ilvl w:val="0"/>
          <w:numId w:val="4"/>
        </w:numPr>
        <w:spacing w:after="80" w:line="276"/>
      </w:pPr>
      <w:r>
        <w:t xml:space="preserve">Designating whether org-owned licenses are org-only or portable at the time of creation or purchase.</w:t>
      </w:r>
    </w:p>
    <w:p>
      <w:pPr>
        <w:pStyle w:val="ListParagraph"/>
        <w:numPr>
          <w:ilvl w:val="0"/>
          <w:numId w:val="4"/>
        </w:numPr>
        <w:spacing w:after="80" w:line="276"/>
      </w:pPr>
      <w:r>
        <w:t xml:space="preserve">Verifying student status before assigning student-based licenses.</w:t>
      </w:r>
    </w:p>
    <w:p>
      <w:pPr>
        <w:pStyle w:val="ListParagraph"/>
        <w:numPr>
          <w:ilvl w:val="0"/>
          <w:numId w:val="4"/>
        </w:numPr>
        <w:spacing w:after="80" w:line="276"/>
      </w:pPr>
      <w:r>
        <w:t xml:space="preserve">Reclaiming and reassigning org-owned licenses when users leave the organization.</w:t>
      </w:r>
    </w:p>
    <w:p>
      <w:pPr>
        <w:pStyle w:val="ListParagraph"/>
        <w:numPr>
          <w:ilvl w:val="0"/>
          <w:numId w:val="4"/>
        </w:numPr>
        <w:spacing w:after="80" w:line="276"/>
      </w:pPr>
      <w:r>
        <w:t xml:space="preserve">Controlling which members hold licenses and monitoring for compliance with anti-abuse rules.</w:t>
      </w:r>
    </w:p>
    <w:p>
      <w:pPr>
        <w:pStyle w:val="ListParagraph"/>
        <w:numPr>
          <w:ilvl w:val="0"/>
          <w:numId w:val="4"/>
        </w:numPr>
        <w:spacing w:after="80" w:line="276"/>
      </w:pPr>
      <w:r>
        <w:t xml:space="preserve">Managing invitations and authorization of users into the organization.</w:t>
      </w:r>
    </w:p>
    <w:p>
      <w:pPr>
        <w:pStyle w:val="ListParagraph"/>
        <w:numPr>
          <w:ilvl w:val="0"/>
          <w:numId w:val="4"/>
        </w:numPr>
        <w:spacing w:after="80" w:line="276"/>
      </w:pPr>
      <w:r>
        <w:t xml:space="preserve">Managing admin authority and (where applicable) data-access permissions for members of the organization.</w:t>
      </w:r>
    </w:p>
    <w:p>
      <w:pPr>
        <w:pStyle w:val="Heading2"/>
      </w:pPr>
      <w:r>
        <w:t xml:space="preserve">15.4 Data Access Is a Separate Permission</w:t>
      </w:r>
    </w:p>
    <w:p>
      <w:pPr>
        <w:pStyle w:val="ListParagraph"/>
        <w:numPr>
          <w:ilvl w:val="0"/>
          <w:numId w:val="9"/>
        </w:numPr>
        <w:spacing w:after="80" w:line="276"/>
      </w:pPr>
      <w:r>
        <w:rPr>
          <w:b/>
          <w:bCs/>
        </w:rPr>
        <w:t xml:space="preserve">ADMIN-6. </w:t>
      </w:r>
      <w:r>
        <w:t xml:space="preserve">Access to the organization's data is governed by a specific data-access permission within the organization. It is distinct from admin status: administering licenses and membership does not by itself grant access to the organization's data.</w:t>
      </w:r>
    </w:p>
    <w:p>
      <w:pPr>
        <w:pStyle w:val="ListParagraph"/>
        <w:numPr>
          <w:ilvl w:val="0"/>
          <w:numId w:val="9"/>
        </w:numPr>
        <w:spacing w:after="80" w:line="276"/>
      </w:pPr>
      <w:r>
        <w:rPr>
          <w:b/>
          <w:bCs/>
        </w:rPr>
        <w:t xml:space="preserve">ADMIN-7. </w:t>
      </w:r>
      <w:r>
        <w:t xml:space="preserve">Whether the data-access permission can be granted independently of the admin role, and to whom, is to be defined (see Open Questions).</w:t>
      </w:r>
    </w:p>
    <w:p>
      <w:pPr>
        <w:pStyle w:val="Heading1"/>
      </w:pPr>
      <w:r>
        <w:t xml:space="preserve">16.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5000"/>
      </w:tblGrid>
      <w:tr>
        <w:trPr>
          <w:tblHeader/>
        </w:trPr>
        <w:tc>
          <w:tcPr>
            <w:tcW w:type="dxa" w:w="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w:t>
            </w:r>
          </w:p>
        </w:tc>
        <w:tc>
          <w:tcPr>
            <w:tcW w:type="dxa" w:w="3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Open Item</w:t>
            </w:r>
          </w:p>
        </w:tc>
        <w:tc>
          <w:tcPr>
            <w:tcW w:type="dxa" w:w="5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b/>
                <w:bCs/>
                <w:color w:val="FFFFFF"/>
              </w:rPr>
              <w:t xml:space="preserve">Notes</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1</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Reassignment cooldown period</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Specific duration to be defined (e.g., 30 days).</w:t>
            </w:r>
          </w:p>
        </w:tc>
      </w:tr>
      <w:tr>
        <w:tc>
          <w:tcPr>
            <w:tcW w:type="dxa" w:w="6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vAlign w:val="center"/>
          </w:tcPr>
          <w:p>
            <w:pPr>
              <w:spacing w:after="40"/>
            </w:pPr>
            <w:r>
              <w:t xml:space="preserve">2</w:t>
            </w:r>
          </w:p>
        </w:tc>
        <w:tc>
          <w:tcPr>
            <w:tcW w:type="dxa" w:w="376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vAlign w:val="center"/>
          </w:tcPr>
          <w:p>
            <w:pPr>
              <w:spacing w:after="40"/>
            </w:pPr>
            <w:r>
              <w:t xml:space="preserve">Maximum reassignments per billing period</w:t>
            </w:r>
          </w:p>
        </w:tc>
        <w:tc>
          <w:tcPr>
            <w:tcW w:type="dxa" w:w="50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vAlign w:val="center"/>
          </w:tcPr>
          <w:p>
            <w:pPr>
              <w:spacing w:after="40"/>
            </w:pPr>
            <w:r>
              <w:t xml:space="preserve">Specific count to be defined.</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3</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Authorization vs. assignment</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Confirm the exact mechanism by which an org authorizes a user-owned license for use in the org.</w:t>
            </w:r>
          </w:p>
        </w:tc>
      </w:tr>
      <w:tr>
        <w:tc>
          <w:tcPr>
            <w:tcW w:type="dxa" w:w="6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vAlign w:val="center"/>
          </w:tcPr>
          <w:p>
            <w:pPr>
              <w:spacing w:after="40"/>
            </w:pPr>
            <w:r>
              <w:t xml:space="preserve">4</w:t>
            </w:r>
          </w:p>
        </w:tc>
        <w:tc>
          <w:tcPr>
            <w:tcW w:type="dxa" w:w="376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vAlign w:val="center"/>
          </w:tcPr>
          <w:p>
            <w:pPr>
              <w:spacing w:after="40"/>
            </w:pPr>
            <w:r>
              <w:t xml:space="preserve">Enforcement &amp; audit detail</w:t>
            </w:r>
          </w:p>
        </w:tc>
        <w:tc>
          <w:tcPr>
            <w:tcW w:type="dxa" w:w="50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vAlign w:val="center"/>
          </w:tcPr>
          <w:p>
            <w:pPr>
              <w:spacing w:after="40"/>
            </w:pPr>
            <w:r>
              <w:t xml:space="preserve">Define how license sharing/rotation is detected, and the audit trail's retention period and full recorded fields (the audit trail itself is established in Section 13).</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5</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Capability downgrade UX</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Define how reduced capabilities are surfaced to a user when entering a lower-tier org (future, once capability tiers exist).</w:t>
            </w:r>
          </w:p>
        </w:tc>
      </w:tr>
      <w:tr>
        <w:tc>
          <w:tcPr>
            <w:tcW w:type="dxa" w:w="6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vAlign w:val="center"/>
          </w:tcPr>
          <w:p>
            <w:pPr>
              <w:spacing w:after="40"/>
            </w:pPr>
            <w:r>
              <w:t xml:space="preserve">6</w:t>
            </w:r>
          </w:p>
        </w:tc>
        <w:tc>
          <w:tcPr>
            <w:tcW w:type="dxa" w:w="376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vAlign w:val="center"/>
          </w:tcPr>
          <w:p>
            <w:pPr>
              <w:spacing w:after="40"/>
            </w:pPr>
            <w:r>
              <w:t xml:space="preserve">Admin types</w:t>
            </w:r>
          </w:p>
        </w:tc>
        <w:tc>
          <w:tcPr>
            <w:tcW w:type="dxa" w:w="50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vAlign w:val="center"/>
          </w:tcPr>
          <w:p>
            <w:pPr>
              <w:spacing w:after="40"/>
            </w:pPr>
            <w:r>
              <w:t xml:space="preserve">Define the specific differentiated admin types and the authority each carries.</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7</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Data-access permission scope</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t xml:space="preserve">Define whether the data-access permission can be granted independently of the admin role, and to whom it may be granted.</w:t>
            </w:r>
          </w:p>
        </w:tc>
      </w:tr>
      <w:tr>
        <w:tc>
          <w:tcPr>
            <w:tcW w:type="dxa" w:w="6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vAlign w:val="center"/>
          </w:tcPr>
          <w:p>
            <w:pPr>
              <w:spacing w:after="40"/>
            </w:pPr>
            <w:r>
              <w:t xml:space="preserve">8</w:t>
            </w:r>
          </w:p>
        </w:tc>
        <w:tc>
          <w:tcPr>
            <w:tcW w:type="dxa" w:w="376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vAlign w:val="center"/>
          </w:tcPr>
          <w:p>
            <w:pPr>
              <w:spacing w:after="40"/>
            </w:pPr>
            <w:r>
              <w:t xml:space="preserve">Personal org mechanics</w:t>
            </w:r>
          </w:p>
        </w:tc>
        <w:tc>
          <w:tcPr>
            <w:tcW w:type="dxa" w:w="50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vAlign w:val="center"/>
          </w:tcPr>
          <w:p>
            <w:pPr>
              <w:spacing w:after="40"/>
            </w:pPr>
            <w:r>
              <w:t xml:space="preserve">Define administration and purchasing within a personal org (e.g., whether a personal org can hold org-owned licenses or additional members).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color w:val="808080"/>
        <w:sz w:val="16"/>
        <w:szCs w:val="16"/>
      </w:rPr>
      <w:t xml:space="preserve">Confidential</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color w:val="808080"/>
        <w:sz w:val="16"/>
        <w:szCs w:val="16"/>
      </w:rPr>
      <w:t xml:space="preserve">Salt SaaS — Licensing Requirements</w:t>
    </w:r>
    <w:r>
      <w:rPr>
        <w:color w:val="808080"/>
        <w:sz w:val="16"/>
        <w:szCs w:val="16"/>
      </w:rPr>
      <w:t xml:space="preserve">	DRAFT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9"/>
    <w:lvlOverride w:ilvl="0">
      <w:startOverride w:val="1"/>
    </w:lvlOverride>
  </w:num>
  <w:num w:numId="9">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2"/>
      </w:pBd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Salt SaaS Licensing Requirements</dc:title>
  <dc:creator>Salt SaaS Product</dc:creator>
  <cp:lastModifiedBy>Un-named</cp:lastModifiedBy>
  <cp:revision>1</cp:revision>
  <dcterms:created xsi:type="dcterms:W3CDTF">2026-06-18T18:37:40.494Z</dcterms:created>
  <dcterms:modified xsi:type="dcterms:W3CDTF">2026-06-18T18:37:40.494Z</dcterms:modified>
</cp:coreProperties>
</file>

<file path=docProps/custom.xml><?xml version="1.0" encoding="utf-8"?>
<Properties xmlns="http://schemas.openxmlformats.org/officeDocument/2006/custom-properties" xmlns:vt="http://schemas.openxmlformats.org/officeDocument/2006/docPropsVTypes"/>
</file>