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8.png" ContentType="image/png"/>
  <Override PartName="/word/media/rId5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Expectations of Emotional Intimacy in Close Relationships in Children and Adults</w:t>
      </w:r>
    </w:p>
    <w:p>
      <w:pPr>
        <w:pStyle w:val="Author"/>
      </w:pPr>
      <w:r>
        <w:t xml:space="preserve">[Author names removed for anonymous review]</w:t>
      </w:r>
    </w:p>
    <w:p>
      <w:pPr>
        <w:pStyle w:val="Date"/>
      </w:pPr>
      <w:r>
        <w:t xml:space="preserve">2026-07-01</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w:t>
      </w:r>
      <w:r>
        <w:t xml:space="preserve"> </w:t>
      </w:r>
      <w:r>
        <w:t xml:space="preserve">author note, references, tables, and figure captions).</w:t>
      </w:r>
    </w:p>
    <w:bookmarkStart w:id="9" w:name="public-significance-statement"/>
    <w:p>
      <w:pPr>
        <w:pStyle w:val="Heading1"/>
      </w:pPr>
      <w:r>
        <w:t xml:space="preserve">Public Significance Statement</w:t>
      </w:r>
    </w:p>
    <w:p>
      <w:pPr>
        <w:pStyle w:val="FirstParagraph"/>
      </w:pPr>
      <w:r>
        <w:t xml:space="preserve">These studies show that by elementary school, children already grasp</w:t>
      </w:r>
      <w:r>
        <w:t xml:space="preserve"> </w:t>
      </w:r>
      <w:r>
        <w:t xml:space="preserve">something adults take for granted—that confiding sadness, rather than</w:t>
      </w:r>
      <w:r>
        <w:t xml:space="preserve"> </w:t>
      </w:r>
      <w:r>
        <w:t xml:space="preserve">sharing neutral facts or good news, is a mark of a close relationship.</w:t>
      </w:r>
      <w:r>
        <w:t xml:space="preserve"> </w:t>
      </w:r>
      <w:r>
        <w:t xml:space="preserve">Across four studies, six- to nine-year-olds expected people to reveal</w:t>
      </w:r>
      <w:r>
        <w:t xml:space="preserve"> </w:t>
      </w:r>
      <w:r>
        <w:t xml:space="preserve">their sad feelings to best friends and to their own mothers, but not to</w:t>
      </w:r>
      <w:r>
        <w:t xml:space="preserve"> </w:t>
      </w:r>
      <w:r>
        <w:t xml:space="preserve">friends or a friend’s parent, and they treated a child confiding in a</w:t>
      </w:r>
      <w:r>
        <w:t xml:space="preserve"> </w:t>
      </w:r>
      <w:r>
        <w:t xml:space="preserve">parent as different from a parent confiding in a child. Yet neither</w:t>
      </w:r>
      <w:r>
        <w:t xml:space="preserve"> </w:t>
      </w:r>
      <w:r>
        <w:t xml:space="preserve">children nor adults viewed opening up emotionally as a way to build a</w:t>
      </w:r>
      <w:r>
        <w:t xml:space="preserve"> </w:t>
      </w:r>
      <w:r>
        <w:t xml:space="preserve">new friendship, suggesting that people intuitively treat emotional</w:t>
      </w:r>
      <w:r>
        <w:t xml:space="preserve"> </w:t>
      </w:r>
      <w:r>
        <w:t xml:space="preserve">intimacy as belonging to relationships that are already close rather</w:t>
      </w:r>
      <w:r>
        <w:t xml:space="preserve"> </w:t>
      </w:r>
      <w:r>
        <w:t xml:space="preserve">than as a tool for creating closeness. These insights may help explain</w:t>
      </w:r>
      <w:r>
        <w:t xml:space="preserve"> </w:t>
      </w:r>
      <w:r>
        <w:t xml:space="preserve">why some children find it difficult to judge what to share, and with</w:t>
      </w:r>
      <w:r>
        <w:t xml:space="preserve"> </w:t>
      </w:r>
      <w:r>
        <w:t xml:space="preserve">whom.</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w:t>
      </w:r>
      <w:r>
        <w:t xml:space="preserve"> </w:t>
      </w:r>
      <w:r>
        <w:t xml:space="preserve">distinction seems to be made as early as 8 months: infants expect that</w:t>
      </w:r>
      <w:r>
        <w:t xml:space="preserve"> </w:t>
      </w:r>
      <w:r>
        <w:t xml:space="preserve">those who are physically intimate will respond to one another’s distress</w:t>
      </w:r>
      <w:r>
        <w:t xml:space="preserve"> </w:t>
      </w:r>
      <w:r>
        <w:t xml:space="preserve">(Thomas et al., 2022)</w:t>
      </w:r>
      <w:r>
        <w:t xml:space="preserve">. One hallmark of such relationships is emotional</w:t>
      </w:r>
      <w:r>
        <w:t xml:space="preserve"> </w:t>
      </w:r>
      <w:r>
        <w:t xml:space="preserve">intimacy, which includes disclosing personal information. Emotional</w:t>
      </w:r>
      <w:r>
        <w:t xml:space="preserve"> </w:t>
      </w:r>
      <w:r>
        <w:t xml:space="preserve">intimacy has been studied across several disciplines, such as</w:t>
      </w:r>
      <w:r>
        <w:t xml:space="preserve"> </w:t>
      </w:r>
      <w:r>
        <w:t xml:space="preserve">Anthropology, Relationship Science</w:t>
      </w:r>
      <w:r>
        <w:t xml:space="preserve"> </w:t>
      </w:r>
      <w:r>
        <w:t xml:space="preserve">(Finkenauer &amp; Buyukcan-Tetik, 2015; Willems et al., 2020)</w:t>
      </w:r>
      <w:r>
        <w:t xml:space="preserve">, and Sociology. Sociologists have long characterized</w:t>
      </w:r>
      <w:r>
        <w:t xml:space="preserve"> </w:t>
      </w:r>
      <w:r>
        <w:t xml:space="preserve">relationships by the kind of information disclosed within them. More</w:t>
      </w:r>
      <w:r>
        <w:t xml:space="preserve"> </w:t>
      </w:r>
      <w:r>
        <w:t xml:space="preserve">than a century ago,</w:t>
      </w:r>
      <w:r>
        <w:t xml:space="preserve"> </w:t>
      </w:r>
      <w:r>
        <w:t xml:space="preserve">Simmel (1906)</w:t>
      </w:r>
      <w:r>
        <w:t xml:space="preserve"> </w:t>
      </w:r>
      <w:r>
        <w:t xml:space="preserve">argued that what and how much</w:t>
      </w:r>
      <w:r>
        <w:t xml:space="preserve"> </w:t>
      </w:r>
      <w:r>
        <w:t xml:space="preserve">people reveal to one another is calibrated to the closeness of the</w:t>
      </w:r>
      <w:r>
        <w:t xml:space="preserve"> </w:t>
      </w:r>
      <w:r>
        <w:t xml:space="preserve">relationship: acquaintances share outward, impersonal facts, whereas</w:t>
      </w:r>
      <w:r>
        <w:t xml:space="preserve"> </w:t>
      </w:r>
      <w:r>
        <w:t xml:space="preserve">intimate bonds rest on the disclosure of one’s inner life, including</w:t>
      </w:r>
      <w:r>
        <w:t xml:space="preserve"> </w:t>
      </w:r>
      <w:r>
        <w:t xml:space="preserve">emotions. Contemporary network research operationalizes a version of</w:t>
      </w:r>
      <w:r>
        <w:t xml:space="preserve"> </w:t>
      </w:r>
      <w:r>
        <w:t xml:space="preserve">this idea through the kinds of ties people report—weak ties are those</w:t>
      </w:r>
      <w:r>
        <w:t xml:space="preserve"> </w:t>
      </w:r>
      <w:r>
        <w:t xml:space="preserve">to whom one turns for useful information, while thick ties are those to</w:t>
      </w:r>
      <w:r>
        <w:t xml:space="preserve"> </w:t>
      </w:r>
      <w:r>
        <w:t xml:space="preserve">whom one discloses sensitive or personal matters</w:t>
      </w:r>
      <w:r>
        <w:t xml:space="preserve"> </w:t>
      </w:r>
      <w:r>
        <w:t xml:space="preserve">(refer to Small, 2017,</w:t>
      </w:r>
      <w:r>
        <w:t xml:space="preserve"> </w:t>
      </w:r>
      <w:r>
        <w:t xml:space="preserve">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1" w:name="general-methods"/>
    <w:p>
      <w:pPr>
        <w:pStyle w:val="Heading1"/>
      </w:pPr>
      <w:r>
        <w:t xml:space="preserve">General Methods</w:t>
      </w:r>
    </w:p>
    <w:bookmarkStart w:id="20"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at</w:t>
      </w:r>
      <w:r>
        <w:t xml:space="preserve"> </w:t>
      </w:r>
      <w:hyperlink r:id="rId19">
        <w:r>
          <w:rPr>
            <w:rStyle w:val="Hyperlink"/>
          </w:rPr>
          <w:t xml:space="preserve">https://anonymous.4open.science/r/OMIT-74BB/</w:t>
        </w:r>
      </w:hyperlink>
      <w:r>
        <w:t xml:space="preserve">. The studies’ designs and</w:t>
      </w:r>
      <w:r>
        <w:t xml:space="preserve"> </w:t>
      </w:r>
      <w:r>
        <w:t xml:space="preserve">primary analyses were pre-registered; the pre-registration documents are</w:t>
      </w:r>
      <w:r>
        <w:t xml:space="preserve"> </w:t>
      </w:r>
      <w:r>
        <w:t xml:space="preserve">included in that repository (in the</w:t>
      </w:r>
      <w:r>
        <w:t xml:space="preserve"> </w:t>
      </w:r>
      <w:r>
        <w:t xml:space="preserve">“Preregistration &amp; Ethics”</w:t>
      </w:r>
      <w:r>
        <w:t xml:space="preserve"> </w:t>
      </w:r>
      <w:r>
        <w:t xml:space="preserve">folder).</w:t>
      </w:r>
    </w:p>
    <w:bookmarkEnd w:id="20"/>
    <w:bookmarkEnd w:id="21"/>
    <w:bookmarkStart w:id="28"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6"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5" w:name="fig-study1"/>
          <w:p>
            <w:pPr>
              <w:pStyle w:val="Compact"/>
              <w:jc w:val="center"/>
            </w:pPr>
            <w:r>
              <w:drawing>
                <wp:inline>
                  <wp:extent cx="5334000" cy="3394363"/>
                  <wp:effectExtent b="0" l="0" r="0" t="0"/>
                  <wp:docPr descr="" title="" id="23" name="Picture"/>
                  <a:graphic>
                    <a:graphicData uri="http://schemas.openxmlformats.org/drawingml/2006/picture">
                      <pic:pic>
                        <pic:nvPicPr>
                          <pic:cNvPr descr="../5.%20Analysis/figures/combined_study1.png" id="24" name="Picture"/>
                          <pic:cNvPicPr>
                            <a:picLocks noChangeArrowheads="1" noChangeAspect="1"/>
                          </pic:cNvPicPr>
                        </pic:nvPicPr>
                        <pic:blipFill>
                          <a:blip r:embed="rId22"/>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5"/>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 single ice cream cone children</w:t>
      </w:r>
      <w:r>
        <w:t xml:space="preserve"> </w:t>
      </w:r>
      <w:r>
        <w:t xml:space="preserve">chose the classmate told the sad emotion at consistently high rates</w:t>
      </w:r>
      <w:r>
        <w:t xml:space="preserve"> </w:t>
      </w:r>
      <w:r>
        <w:t xml:space="preserve">across ages (about 70% from age 6 onward), whereas in the happy</w:t>
      </w:r>
      <w:r>
        <w:t xml:space="preserve"> </w:t>
      </w:r>
      <w:r>
        <w:t xml:space="preserve">condition this preference was near chance among the youngest children</w:t>
      </w:r>
      <w:r>
        <w:t xml:space="preserve"> </w:t>
      </w:r>
      <w:r>
        <w:t xml:space="preserve">and rose with age, approaching the sad pattern by age 9. This</w:t>
      </w:r>
      <w:r>
        <w:t xml:space="preserve"> </w:t>
      </w:r>
      <w:r>
        <w:t xml:space="preserve">corresponds to a three-way emotion × item × age interaction that was not</w:t>
      </w:r>
      <w:r>
        <w:t xml:space="preserve"> </w:t>
      </w:r>
      <w:r>
        <w:t xml:space="preserve">credible</w:t>
      </w:r>
      <w:r>
        <w:t xml:space="preserve"> </w:t>
      </w:r>
      <w:r>
        <w:t xml:space="preserve">(median = -0.40, 95% CI [-1.08, 0.26]), so</w:t>
      </w:r>
      <w:r>
        <w:t xml:space="preserve"> </w:t>
      </w:r>
      <w:r>
        <w:t xml:space="preserve">we interpret the difference cautiously.</w:t>
      </w:r>
    </w:p>
    <w:bookmarkEnd w:id="26"/>
    <w:bookmarkStart w:id="27"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7"/>
    <w:bookmarkEnd w:id="28"/>
    <w:bookmarkStart w:id="35"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3"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2" w:name="fig-study2"/>
          <w:p>
            <w:pPr>
              <w:pStyle w:val="Compact"/>
              <w:jc w:val="center"/>
            </w:pPr>
            <w:r>
              <w:drawing>
                <wp:inline>
                  <wp:extent cx="5334000" cy="2521527"/>
                  <wp:effectExtent b="0" l="0" r="0" t="0"/>
                  <wp:docPr descr="" title="" id="30" name="Picture"/>
                  <a:graphic>
                    <a:graphicData uri="http://schemas.openxmlformats.org/drawingml/2006/picture">
                      <pic:pic>
                        <pic:nvPicPr>
                          <pic:cNvPr descr="../5.%20Analysis/figures/combined_study2.png" id="31" name="Picture"/>
                          <pic:cNvPicPr>
                            <a:picLocks noChangeArrowheads="1" noChangeAspect="1"/>
                          </pic:cNvPicPr>
                        </pic:nvPicPr>
                        <pic:blipFill>
                          <a:blip r:embed="rId29"/>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2"/>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w:t>
      </w:r>
      <w:r>
        <w:t xml:space="preserve"> </w:t>
      </w:r>
      <w:r>
        <w:t xml:space="preserve">emotion to be shared with the best friend, whereas at 6 years they</w:t>
      </w:r>
      <w:r>
        <w:t xml:space="preserve"> </w:t>
      </w:r>
      <w:r>
        <w:t xml:space="preserve">showed little differentiation (see Supplement, Table S11).</w:t>
      </w:r>
    </w:p>
    <w:bookmarkEnd w:id="33"/>
    <w:bookmarkStart w:id="34"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4"/>
    <w:bookmarkEnd w:id="35"/>
    <w:bookmarkStart w:id="46" w:name="X8baf3738b9021ab9ba60f22c31fba3c1e3fd991"/>
    <w:p>
      <w:pPr>
        <w:pStyle w:val="Heading1"/>
      </w:pPr>
      <w:r>
        <w:t xml:space="preserve">Study 3: Using emotional disclosure to create and advance social closeness</w:t>
      </w:r>
    </w:p>
    <w:bookmarkStart w:id="38"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6"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6"/>
    <w:bookmarkStart w:id="37"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w:t>
      </w:r>
      <w:r>
        <w:t xml:space="preserve"> </w:t>
      </w:r>
      <w:r>
        <w:t xml:space="preserve">A).</w:t>
      </w:r>
    </w:p>
    <w:bookmarkEnd w:id="37"/>
    <w:bookmarkEnd w:id="38"/>
    <w:bookmarkStart w:id="44"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3"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w:t>
      </w:r>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42" w:name="fig-study3-age"/>
          <w:p>
            <w:pPr>
              <w:pStyle w:val="Compact"/>
              <w:jc w:val="center"/>
            </w:pPr>
            <w:r>
              <w:drawing>
                <wp:inline>
                  <wp:extent cx="5334000" cy="2560319"/>
                  <wp:effectExtent b="0" l="0" r="0" t="0"/>
                  <wp:docPr descr="" title="" id="40" name="Picture"/>
                  <a:graphic>
                    <a:graphicData uri="http://schemas.openxmlformats.org/drawingml/2006/picture">
                      <pic:pic>
                        <pic:nvPicPr>
                          <pic:cNvPr descr="../5.%20Analysis/figures/combined_study3_age.png" id="41" name="Picture"/>
                          <pic:cNvPicPr>
                            <a:picLocks noChangeArrowheads="1" noChangeAspect="1"/>
                          </pic:cNvPicPr>
                        </pic:nvPicPr>
                        <pic:blipFill>
                          <a:blip r:embed="rId39"/>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2"/>
        </w:tc>
      </w:tr>
    </w:tbl>
    <w:bookmarkEnd w:id="43"/>
    <w:bookmarkEnd w:id="44"/>
    <w:bookmarkStart w:id="45"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5"/>
    <w:bookmarkEnd w:id="46"/>
    <w:bookmarkStart w:id="61"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 not</w:t>
      </w:r>
      <w:r>
        <w:t xml:space="preserve"> </w:t>
      </w:r>
      <w:r>
        <w:t xml:space="preserve">the reverse. In Study 4 we examined emotional disclosure in this</w:t>
      </w:r>
      <w:r>
        <w:t xml:space="preserve"> </w:t>
      </w:r>
      <w:r>
        <w:t xml:space="preserve">asymmetric relationship from both directions. In Study 4.A, we asked</w:t>
      </w:r>
      <w:r>
        <w:t xml:space="preserve"> </w:t>
      </w:r>
      <w:r>
        <w:t xml:space="preserve">whether children expect a child to disclose sad emotions to their own</w:t>
      </w:r>
      <w:r>
        <w:t xml:space="preserve"> </w:t>
      </w:r>
      <w:r>
        <w:t xml:space="preserve">mother, a close relationship, but not to a friend’s mother, a more</w:t>
      </w:r>
      <w:r>
        <w:t xml:space="preserve"> </w:t>
      </w:r>
      <w:r>
        <w:t xml:space="preserve">distant relationship. This comparison tests whether children expect</w:t>
      </w:r>
      <w:r>
        <w:t xml:space="preserve"> </w:t>
      </w:r>
      <w:r>
        <w:t xml:space="preserve">emotional disclosure within close relationships, but it leaves open</w:t>
      </w:r>
      <w:r>
        <w:t xml:space="preserve"> </w:t>
      </w:r>
      <w:r>
        <w:t xml:space="preserve">whether they treat emotional disclosure as a symmetric feature of</w:t>
      </w:r>
      <w:r>
        <w:t xml:space="preserve"> </w:t>
      </w:r>
      <w:r>
        <w:t xml:space="preserve">closeness, something both partners do or as something that can also</w:t>
      </w:r>
      <w:r>
        <w:t xml:space="preserve"> </w:t>
      </w:r>
      <w:r>
        <w:t xml:space="preserve">align with the caregiving structure of a relationship. In Study 4.B we</w:t>
      </w:r>
      <w:r>
        <w:t xml:space="preserve"> </w:t>
      </w:r>
      <w:r>
        <w:t xml:space="preserve">therefore tested the reverse direction: whether children expect a mother</w:t>
      </w:r>
      <w:r>
        <w:t xml:space="preserve"> </w:t>
      </w:r>
      <w:r>
        <w:t xml:space="preserve">to disclose her own sadness to her child. If children expect emotional</w:t>
      </w:r>
      <w:r>
        <w:t xml:space="preserve"> </w:t>
      </w:r>
      <w:r>
        <w:t xml:space="preserve">disclosure simply because a relationship is close, they should expect a</w:t>
      </w:r>
      <w:r>
        <w:t xml:space="preserve"> </w:t>
      </w:r>
      <w:r>
        <w:t xml:space="preserve">mother to disclose her sadness to her child, just as they expect a child</w:t>
      </w:r>
      <w:r>
        <w:t xml:space="preserve"> </w:t>
      </w:r>
      <w:r>
        <w:t xml:space="preserve">to disclose to a mother. If instead children intuit that a mother</w:t>
      </w:r>
      <w:r>
        <w:t xml:space="preserve"> </w:t>
      </w:r>
      <w:r>
        <w:t xml:space="preserve">disclosing sadness would imply that her young child ought to comfort</w:t>
      </w:r>
      <w:r>
        <w:t xml:space="preserve"> </w:t>
      </w:r>
      <w:r>
        <w:t xml:space="preserve">her, inverting their roles, they should be less inclined to expect that</w:t>
      </w:r>
      <w:r>
        <w:t xml:space="preserve"> </w:t>
      </w:r>
      <w:r>
        <w:t xml:space="preserve">a mother will share her sad emotion, even though the relationship is</w:t>
      </w:r>
      <w:r>
        <w:t xml:space="preserve"> </w:t>
      </w:r>
      <w:r>
        <w:t xml:space="preserve">close.</w:t>
      </w:r>
    </w:p>
    <w:bookmarkStart w:id="53" w:name="study-4.a"/>
    <w:p>
      <w:pPr>
        <w:pStyle w:val="Heading2"/>
      </w:pPr>
      <w:r>
        <w:t xml:space="preserve">Study 4.A</w:t>
      </w:r>
    </w:p>
    <w:bookmarkStart w:id="47"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7"/>
    <w:bookmarkStart w:id="52"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1" w:name="fig-study4a"/>
          <w:p>
            <w:pPr>
              <w:pStyle w:val="Compact"/>
              <w:jc w:val="center"/>
            </w:pPr>
            <w:r>
              <w:drawing>
                <wp:inline>
                  <wp:extent cx="5334000" cy="2521527"/>
                  <wp:effectExtent b="0" l="0" r="0" t="0"/>
                  <wp:docPr descr="" title="" id="49" name="Picture"/>
                  <a:graphic>
                    <a:graphicData uri="http://schemas.openxmlformats.org/drawingml/2006/picture">
                      <pic:pic>
                        <pic:nvPicPr>
                          <pic:cNvPr descr="../5.%20Analysis/figures/combined_study4A.png" id="50" name="Picture"/>
                          <pic:cNvPicPr>
                            <a:picLocks noChangeArrowheads="1" noChangeAspect="1"/>
                          </pic:cNvPicPr>
                        </pic:nvPicPr>
                        <pic:blipFill>
                          <a:blip r:embed="rId4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1"/>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2"/>
    <w:bookmarkEnd w:id="53"/>
    <w:bookmarkStart w:id="59"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8"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7" w:name="fig-study4b"/>
          <w:p>
            <w:pPr>
              <w:pStyle w:val="Compact"/>
              <w:jc w:val="center"/>
            </w:pPr>
            <w:r>
              <w:drawing>
                <wp:inline>
                  <wp:extent cx="5334000" cy="2521527"/>
                  <wp:effectExtent b="0" l="0" r="0" t="0"/>
                  <wp:docPr descr="" title="" id="55" name="Picture"/>
                  <a:graphic>
                    <a:graphicData uri="http://schemas.openxmlformats.org/drawingml/2006/picture">
                      <pic:pic>
                        <pic:nvPicPr>
                          <pic:cNvPr descr="../5.%20Analysis/figures/combined_study4B.png" id="56" name="Picture"/>
                          <pic:cNvPicPr>
                            <a:picLocks noChangeArrowheads="1" noChangeAspect="1"/>
                          </pic:cNvPicPr>
                        </pic:nvPicPr>
                        <pic:blipFill>
                          <a:blip r:embed="rId54"/>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7"/>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8"/>
    <w:bookmarkEnd w:id="59"/>
    <w:bookmarkStart w:id="60"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60"/>
    <w:bookmarkEnd w:id="61"/>
    <w:bookmarkStart w:id="63"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have learned it through more</w:t>
      </w:r>
      <w:r>
        <w:t xml:space="preserve"> </w:t>
      </w:r>
      <w:r>
        <w:t xml:space="preserve">subtle 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(refer to</w:t>
      </w:r>
      <w:r>
        <w:t xml:space="preserve"> </w:t>
      </w:r>
      <w:r>
        <w:t xml:space="preserve">Crockett (2025)</w:t>
      </w:r>
      <w:r>
        <w:t xml:space="preserv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w:t>
      </w:r>
    </w:p>
    <w:p>
      <w:pPr>
        <w:pStyle w:val="BodyText"/>
      </w:pPr>
      <w:r>
        <w:t xml:space="preserve">This may be why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2"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p>
    <w:bookmarkEnd w:id="62"/>
    <w:bookmarkEnd w:id="63"/>
    <w:bookmarkStart w:id="64" w:name="author-note"/>
    <w:p>
      <w:pPr>
        <w:pStyle w:val="Heading1"/>
      </w:pPr>
      <w:r>
        <w:t xml:space="preserve">Author Note</w:t>
      </w:r>
    </w:p>
    <w:p>
      <w:pPr>
        <w:pStyle w:val="FirstParagraph"/>
      </w:pPr>
      <w:r>
        <w:t xml:space="preserve">[Author names and affiliations removed for anonymous review.]</w:t>
      </w:r>
    </w:p>
    <w:p>
      <w:pPr>
        <w:pStyle w:val="BodyText"/>
      </w:pPr>
      <w:r>
        <w:t xml:space="preserve">This research was supported by a research fellowship [funder details</w:t>
      </w:r>
      <w:r>
        <w:t xml:space="preserve"> </w:t>
      </w:r>
      <w:r>
        <w:t xml:space="preserve">removed for anonymous review]. The authors declare no conflicts of</w:t>
      </w:r>
      <w:r>
        <w:t xml:space="preserve"> </w:t>
      </w:r>
      <w:r>
        <w:t xml:space="preserve">interest. The studies’ designs and primary analyses were pre-registered</w:t>
      </w:r>
      <w:r>
        <w:t xml:space="preserve"> </w:t>
      </w:r>
      <w:r>
        <w:t xml:space="preserve">(Studies 1, 3.A, and 4.A; and Studies 2, 3.B, and 4.B); the</w:t>
      </w:r>
      <w:r>
        <w:t xml:space="preserve"> </w:t>
      </w:r>
      <w:r>
        <w:t xml:space="preserve">pre-registration documents are included, together with all data,</w:t>
      </w:r>
      <w:r>
        <w:t xml:space="preserve"> </w:t>
      </w:r>
      <w:r>
        <w:t xml:space="preserve">analysis code, and study materials, at</w:t>
      </w:r>
      <w:r>
        <w:t xml:space="preserve"> </w:t>
      </w:r>
      <w:hyperlink r:id="rId19">
        <w:r>
          <w:rPr>
            <w:rStyle w:val="Hyperlink"/>
          </w:rPr>
          <w:t xml:space="preserve">https://anonymous.4open.science/r/OMIT-74BB/</w:t>
        </w:r>
      </w:hyperlink>
      <w:r>
        <w:t xml:space="preserve"> </w:t>
      </w:r>
      <w:r>
        <w:t xml:space="preserve">(in the</w:t>
      </w:r>
      <w:r>
        <w:t xml:space="preserve"> </w:t>
      </w:r>
      <w:r>
        <w:t xml:space="preserve">“Preregistration</w:t>
      </w:r>
      <w:r>
        <w:t xml:space="preserve"> </w:t>
      </w:r>
      <w:r>
        <w:t xml:space="preserve">&amp; Ethics”</w:t>
      </w:r>
      <w:r>
        <w:t xml:space="preserve"> </w:t>
      </w:r>
      <w:r>
        <w:t xml:space="preserve">folder).</w:t>
      </w:r>
    </w:p>
    <w:p>
      <w:pPr>
        <w:pStyle w:val="BodyText"/>
      </w:pPr>
      <w:r>
        <w:t xml:space="preserve">[Acknowledgments removed for anonymous review.]</w:t>
      </w:r>
    </w:p>
    <w:p>
      <w:pPr>
        <w:pStyle w:val="BodyText"/>
      </w:pPr>
      <w:r>
        <w:t xml:space="preserve">[Correspondence information removed for anonymous review.]</w:t>
      </w:r>
    </w:p>
    <w:bookmarkEnd w:id="64"/>
    <w:bookmarkStart w:id="116" w:name="references"/>
    <w:p>
      <w:pPr>
        <w:pStyle w:val="Heading1"/>
      </w:pPr>
      <w:r>
        <w:t xml:space="preserve">References</w:t>
      </w:r>
    </w:p>
    <w:bookmarkStart w:id="115" w:name="refs"/>
    <w:bookmarkStart w:id="66"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5">
        <w:r>
          <w:rPr>
            <w:rStyle w:val="Hyperlink"/>
          </w:rPr>
          <w:t xml:space="preserve">https://doi.org/10.1111/sode.12493</w:t>
        </w:r>
      </w:hyperlink>
    </w:p>
    <w:bookmarkEnd w:id="66"/>
    <w:bookmarkStart w:id="68"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7">
        <w:r>
          <w:rPr>
            <w:rStyle w:val="Hyperlink"/>
          </w:rPr>
          <w:t xml:space="preserve">https://doi.org/10.1080/00221325.2012.672350</w:t>
        </w:r>
      </w:hyperlink>
    </w:p>
    <w:bookmarkEnd w:id="68"/>
    <w:bookmarkStart w:id="70"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69">
        <w:r>
          <w:rPr>
            <w:rStyle w:val="Hyperlink"/>
          </w:rPr>
          <w:t xml:space="preserve">https://doi.org/10.1037/amp0000191</w:t>
        </w:r>
      </w:hyperlink>
    </w:p>
    <w:bookmarkEnd w:id="70"/>
    <w:bookmarkStart w:id="72"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1">
        <w:r>
          <w:rPr>
            <w:rStyle w:val="Hyperlink"/>
          </w:rPr>
          <w:t xml:space="preserve">https://doi.org/10.3389/fpsyg.2022.1009422</w:t>
        </w:r>
      </w:hyperlink>
    </w:p>
    <w:bookmarkEnd w:id="72"/>
    <w:bookmarkStart w:id="74"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3">
        <w:r>
          <w:rPr>
            <w:rStyle w:val="Hyperlink"/>
          </w:rPr>
          <w:t xml:space="preserve">https://doi.org/10.32614/RJ-2018-017</w:t>
        </w:r>
      </w:hyperlink>
    </w:p>
    <w:bookmarkEnd w:id="74"/>
    <w:bookmarkStart w:id="75"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5"/>
    <w:bookmarkStart w:id="77"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6">
        <w:r>
          <w:rPr>
            <w:rStyle w:val="Hyperlink"/>
          </w:rPr>
          <w:t xml:space="preserve">https://doi.org/10.1037/0022-3514.37.1.12</w:t>
        </w:r>
      </w:hyperlink>
    </w:p>
    <w:bookmarkEnd w:id="77"/>
    <w:bookmarkStart w:id="78"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78"/>
    <w:bookmarkStart w:id="80"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79">
        <w:r>
          <w:rPr>
            <w:rStyle w:val="Hyperlink"/>
          </w:rPr>
          <w:t xml:space="preserve">https://doi.org/10.1080/08824090802021756</w:t>
        </w:r>
      </w:hyperlink>
    </w:p>
    <w:bookmarkEnd w:id="80"/>
    <w:bookmarkStart w:id="81"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1"/>
    <w:bookmarkStart w:id="83"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2">
        <w:r>
          <w:rPr>
            <w:rStyle w:val="Hyperlink"/>
          </w:rPr>
          <w:t xml:space="preserve">https://doi.org/10.1037/0033-295X.99.4.689</w:t>
        </w:r>
      </w:hyperlink>
    </w:p>
    <w:bookmarkEnd w:id="83"/>
    <w:bookmarkStart w:id="85"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4">
        <w:r>
          <w:rPr>
            <w:rStyle w:val="Hyperlink"/>
          </w:rPr>
          <w:t xml:space="preserve">https://doi.org/10.1037/dev0000603</w:t>
        </w:r>
      </w:hyperlink>
    </w:p>
    <w:bookmarkEnd w:id="85"/>
    <w:bookmarkStart w:id="86"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6"/>
    <w:bookmarkStart w:id="88"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7">
        <w:r>
          <w:rPr>
            <w:rStyle w:val="Hyperlink"/>
          </w:rPr>
          <w:t xml:space="preserve">https://www.R-project.org/</w:t>
        </w:r>
      </w:hyperlink>
    </w:p>
    <w:bookmarkEnd w:id="88"/>
    <w:bookmarkStart w:id="90"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89">
        <w:r>
          <w:rPr>
            <w:rStyle w:val="Hyperlink"/>
          </w:rPr>
          <w:t xml:space="preserve">https://doi.org/10.1016/j.langcom.2013.06.003</w:t>
        </w:r>
      </w:hyperlink>
    </w:p>
    <w:bookmarkEnd w:id="90"/>
    <w:bookmarkStart w:id="92"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1">
        <w:r>
          <w:rPr>
            <w:rStyle w:val="Hyperlink"/>
          </w:rPr>
          <w:t xml:space="preserve">https://doi.org/10.1162/OPMI_a_00002</w:t>
        </w:r>
      </w:hyperlink>
    </w:p>
    <w:bookmarkEnd w:id="92"/>
    <w:bookmarkStart w:id="94"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3">
        <w:r>
          <w:rPr>
            <w:rStyle w:val="Hyperlink"/>
          </w:rPr>
          <w:t xml:space="preserve">https://doi.org/10.1016/j.jecp.2023.105772</w:t>
        </w:r>
      </w:hyperlink>
    </w:p>
    <w:bookmarkEnd w:id="94"/>
    <w:bookmarkStart w:id="96"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5">
        <w:r>
          <w:rPr>
            <w:rStyle w:val="Hyperlink"/>
          </w:rPr>
          <w:t xml:space="preserve">https://doi.org/10.1016/bs.acdb.2021.05.004</w:t>
        </w:r>
      </w:hyperlink>
    </w:p>
    <w:bookmarkEnd w:id="96"/>
    <w:bookmarkStart w:id="97"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7"/>
    <w:bookmarkStart w:id="99"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98">
        <w:r>
          <w:rPr>
            <w:rStyle w:val="Hyperlink"/>
          </w:rPr>
          <w:t xml:space="preserve">https://doi.org/10.1093/oso/9780190661427.001.0001</w:t>
        </w:r>
      </w:hyperlink>
    </w:p>
    <w:bookmarkEnd w:id="99"/>
    <w:bookmarkStart w:id="101"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100">
        <w:r>
          <w:rPr>
            <w:rStyle w:val="Hyperlink"/>
          </w:rPr>
          <w:t xml:space="preserve">https://doi.org/10.3389/fpsyg.2016.00440</w:t>
        </w:r>
      </w:hyperlink>
    </w:p>
    <w:bookmarkEnd w:id="101"/>
    <w:bookmarkStart w:id="103"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2">
        <w:r>
          <w:rPr>
            <w:rStyle w:val="Hyperlink"/>
          </w:rPr>
          <w:t xml:space="preserve">https://doi.org/10.1017/S0140525X24001328</w:t>
        </w:r>
      </w:hyperlink>
    </w:p>
    <w:bookmarkEnd w:id="103"/>
    <w:bookmarkStart w:id="104"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4"/>
    <w:bookmarkStart w:id="106"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5">
        <w:r>
          <w:rPr>
            <w:rStyle w:val="Hyperlink"/>
          </w:rPr>
          <w:t xml:space="preserve">https://doi.org/10.1126/science.abh1054</w:t>
        </w:r>
      </w:hyperlink>
    </w:p>
    <w:bookmarkEnd w:id="106"/>
    <w:bookmarkStart w:id="108"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7">
        <w:r>
          <w:rPr>
            <w:rStyle w:val="Hyperlink"/>
          </w:rPr>
          <w:t xml:space="preserve">https://doi.org/10.1016/j.copsyc.2019.07.044</w:t>
        </w:r>
      </w:hyperlink>
    </w:p>
    <w:bookmarkEnd w:id="108"/>
    <w:bookmarkStart w:id="110"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09">
        <w:r>
          <w:rPr>
            <w:rStyle w:val="Hyperlink"/>
          </w:rPr>
          <w:t xml:space="preserve">https://doi.org/10.1037/pspa0000182</w:t>
        </w:r>
      </w:hyperlink>
    </w:p>
    <w:bookmarkEnd w:id="110"/>
    <w:bookmarkStart w:id="111"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1"/>
    <w:bookmarkStart w:id="112"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2"/>
    <w:bookmarkStart w:id="114"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3">
        <w:r>
          <w:rPr>
            <w:rStyle w:val="Hyperlink"/>
          </w:rPr>
          <w:t xml:space="preserve">https://escholarship.org/uc/item/75m9c4b3</w:t>
        </w:r>
      </w:hyperlink>
    </w:p>
    <w:bookmarkEnd w:id="114"/>
    <w:bookmarkEnd w:id="115"/>
    <w:bookmarkEnd w:id="116"/>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hyperlink" Id="rId19" Target="https://anonymous.4open.science/r/OMIT-74BB/" TargetMode="External" /><Relationship Type="http://schemas.openxmlformats.org/officeDocument/2006/relationships/hyperlink" Id="rId95"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3" Target="https://doi.org/10.1016/j.jecp.2023.105772" TargetMode="External" /><Relationship Type="http://schemas.openxmlformats.org/officeDocument/2006/relationships/hyperlink" Id="rId89"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6" Target="https://doi.org/10.1037/0022-3514.37.1.12" TargetMode="External" /><Relationship Type="http://schemas.openxmlformats.org/officeDocument/2006/relationships/hyperlink" Id="rId82" Target="https://doi.org/10.1037/0033-295X.99.4.689" TargetMode="External" /><Relationship Type="http://schemas.openxmlformats.org/officeDocument/2006/relationships/hyperlink" Id="rId69" Target="https://doi.org/10.1037/amp0000191" TargetMode="External" /><Relationship Type="http://schemas.openxmlformats.org/officeDocument/2006/relationships/hyperlink" Id="rId84"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79" Target="https://doi.org/10.1080/08824090802021756" TargetMode="External" /><Relationship Type="http://schemas.openxmlformats.org/officeDocument/2006/relationships/hyperlink" Id="rId98"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1" Target="https://doi.org/10.1162/OPMI_a_00002" TargetMode="External" /><Relationship Type="http://schemas.openxmlformats.org/officeDocument/2006/relationships/hyperlink" Id="rId73" Target="https://doi.org/10.32614/RJ-2018-017" TargetMode="External" /><Relationship Type="http://schemas.openxmlformats.org/officeDocument/2006/relationships/hyperlink" Id="rId100" Target="https://doi.org/10.3389/fpsyg.2016.00440" TargetMode="External" /><Relationship Type="http://schemas.openxmlformats.org/officeDocument/2006/relationships/hyperlink" Id="rId71"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9" Target="https://anonymous.4open.science/r/OMIT-74BB/" TargetMode="External" /><Relationship Type="http://schemas.openxmlformats.org/officeDocument/2006/relationships/hyperlink" Id="rId95"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3" Target="https://doi.org/10.1016/j.jecp.2023.105772" TargetMode="External" /><Relationship Type="http://schemas.openxmlformats.org/officeDocument/2006/relationships/hyperlink" Id="rId89"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6" Target="https://doi.org/10.1037/0022-3514.37.1.12" TargetMode="External" /><Relationship Type="http://schemas.openxmlformats.org/officeDocument/2006/relationships/hyperlink" Id="rId82" Target="https://doi.org/10.1037/0033-295X.99.4.689" TargetMode="External" /><Relationship Type="http://schemas.openxmlformats.org/officeDocument/2006/relationships/hyperlink" Id="rId69" Target="https://doi.org/10.1037/amp0000191" TargetMode="External" /><Relationship Type="http://schemas.openxmlformats.org/officeDocument/2006/relationships/hyperlink" Id="rId84"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79" Target="https://doi.org/10.1080/08824090802021756" TargetMode="External" /><Relationship Type="http://schemas.openxmlformats.org/officeDocument/2006/relationships/hyperlink" Id="rId98"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1" Target="https://doi.org/10.1162/OPMI_a_00002" TargetMode="External" /><Relationship Type="http://schemas.openxmlformats.org/officeDocument/2006/relationships/hyperlink" Id="rId73" Target="https://doi.org/10.32614/RJ-2018-017" TargetMode="External" /><Relationship Type="http://schemas.openxmlformats.org/officeDocument/2006/relationships/hyperlink" Id="rId100" Target="https://doi.org/10.3389/fpsyg.2016.00440" TargetMode="External" /><Relationship Type="http://schemas.openxmlformats.org/officeDocument/2006/relationships/hyperlink" Id="rId71"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 of Emotional Intimacy in Close Relationships in Children and Adults</dc:title>
  <dc:creator>[Author names removed for anonymous review]</dc:creator>
  <cp:keywords>social cognition, information sharing, emotional intimacy</cp:keywords>
  <dcterms:created xsi:type="dcterms:W3CDTF">2026-07-01T14:22:01Z</dcterms:created>
  <dcterms:modified xsi:type="dcterms:W3CDTF">2026-07-01T14:22:01Z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2026-07-01</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