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sz w:val="24"/>
          <w:szCs w:val="24"/>
        </w:rPr>
        <w:t xml:space="preserve">Introduction</w:t>
      </w:r>
    </w:p>
    <w:p>
      <w:pPr>
        <w:spacing w:after="160" w:line="276"/>
        <w:jc w:val="left"/>
      </w:pPr>
      <w:r>
        <w:rPr>
          <w:rFonts w:ascii="Calibri" w:cs="Calibri" w:eastAsia="Calibri" w:hAnsi="Calibri"/>
          <w:sz w:val="22"/>
          <w:szCs w:val="22"/>
        </w:rPr>
        <w:t xml:space="preserve">Imagine sitting in a café waiting for a friend. You observe two adults sitting close together, drinking from the same straw. At another table, two adults sit across from one another; one asks questions, the other answers politely. At a third, an elderly woman and a child discuss dinosaurs and share a scone. As an adult, you understand you are looking at a couple, an interview, a grandparent and grandchild. When your friend arrives mid-argument with a woman, you recognize her sister and know the argument is harmless—these sisters enjoy arguing. This knowledge requires two integrated kinds of representations. Interpreting the first three tables requires </w:t>
      </w:r>
      <w:r>
        <w:rPr>
          <w:rFonts w:ascii="Calibri" w:cs="Calibri" w:eastAsia="Calibri" w:hAnsi="Calibri"/>
          <w:i/>
          <w:iCs/>
          <w:sz w:val="22"/>
          <w:szCs w:val="22"/>
        </w:rPr>
        <w:t xml:space="preserve">general</w:t>
      </w:r>
      <w:r>
        <w:rPr>
          <w:rFonts w:ascii="Calibri" w:cs="Calibri" w:eastAsia="Calibri" w:hAnsi="Calibri"/>
          <w:sz w:val="22"/>
          <w:szCs w:val="22"/>
        </w:rPr>
        <w:t xml:space="preserve"> representations: abstract knowledge about how people tend to act in different kinds of social relationships. Interpreting your friend’s argument requires a </w:t>
      </w:r>
      <w:r>
        <w:rPr>
          <w:rFonts w:ascii="Calibri" w:cs="Calibri" w:eastAsia="Calibri" w:hAnsi="Calibri"/>
          <w:i/>
          <w:iCs/>
          <w:sz w:val="22"/>
          <w:szCs w:val="22"/>
        </w:rPr>
        <w:t xml:space="preserve">particular</w:t>
      </w:r>
      <w:r>
        <w:rPr>
          <w:rFonts w:ascii="Calibri" w:cs="Calibri" w:eastAsia="Calibri" w:hAnsi="Calibri"/>
          <w:sz w:val="22"/>
          <w:szCs w:val="22"/>
        </w:rPr>
        <w:t xml:space="preserve"> representation: knowledge of these two people, accumulated over time, that lets you read their argument differently than one between strangers. Adults do this effortlessly, but children must build both—knowing not just what a mama is, but who mama is (Fornoff, Steele, Lewis, &amp; Thomas, in prep).</w:t>
      </w:r>
    </w:p>
    <w:p>
      <w:pPr>
        <w:spacing w:after="160" w:line="276"/>
        <w:jc w:val="left"/>
      </w:pPr>
      <w:r>
        <w:rPr>
          <w:rFonts w:ascii="Calibri" w:cs="Calibri" w:eastAsia="Calibri" w:hAnsi="Calibri"/>
          <w:sz w:val="22"/>
          <w:szCs w:val="22"/>
        </w:rPr>
        <w:t xml:space="preserve">Now imagine a fourth table. A person sits alone, typing into a device—but they are laughing, leaning in, responding with the easy rhythm of someone talking to an old friend. Glancing over, you see the replies are warm and attentive, referencing things the person said weeks ago. The cues to a relationship are all there; how should we interpret this interaction? We know very little about how children interpret social interactions involving AI, even as these interactions become prevalent in children’s lives. And we know surprisingly little about how such interpretations vary across children. Decades of research have compared autistic and non-autistic children’s social cognition, yet almost none of it has asked how they represent relationships—a striking gap, given that, contrary to a persistent stereotype, autistic people frequently seek social bonds and experience loneliness in their absence (Bauminger &amp; Kasari, 2006; Grace et al., 2022).</w:t>
      </w:r>
    </w:p>
    <w:p>
      <w:pPr>
        <w:spacing w:after="160" w:line="276"/>
        <w:jc w:val="left"/>
      </w:pPr>
      <w:r>
        <w:rPr>
          <w:rFonts w:ascii="Calibri" w:cs="Calibri" w:eastAsia="Calibri" w:hAnsi="Calibri"/>
          <w:sz w:val="22"/>
          <w:szCs w:val="22"/>
        </w:rPr>
        <w:t xml:space="preserve">Over the past decade, I have studied how children develop general and particular representations of social relationships, and I have found evidence that early in life, children interpret human interactions like those at the first three tables much as adults do. In this proposal, I build on this work in two ways: first, by investigating how autistic children represent scenes like these; and second, by investigating how autistic and non-autistic children reason about interactions like the one at the fourth table. Characterizing how children infer relationships from cues, represent relationships in their own lives, and reason about artificial partners can tell us both how autistic children experience their social worlds and how emerging technology is shaping the way young children think about relationships.</w:t>
      </w:r>
    </w:p>
    <w:p>
      <w:pPr>
        <w:spacing w:after="160" w:line="276"/>
        <w:jc w:val="left"/>
      </w:pPr>
      <w:r>
        <w:rPr>
          <w:rFonts w:ascii="Calibri" w:cs="Calibri" w:eastAsia="Calibri" w:hAnsi="Calibri"/>
          <w:sz w:val="22"/>
          <w:szCs w:val="22"/>
        </w:rPr>
        <w:t xml:space="preserve">My research shows that the foundations of both kinds of representations emerge early. On the general side, infants, toddlers, and children recognize </w:t>
      </w:r>
      <w:r>
        <w:rPr>
          <w:rFonts w:ascii="Calibri" w:cs="Calibri" w:eastAsia="Calibri" w:hAnsi="Calibri"/>
          <w:i/>
          <w:iCs/>
          <w:sz w:val="22"/>
          <w:szCs w:val="22"/>
        </w:rPr>
        <w:t xml:space="preserve">thick</w:t>
      </w:r>
      <w:r>
        <w:rPr>
          <w:rFonts w:ascii="Calibri" w:cs="Calibri" w:eastAsia="Calibri" w:hAnsi="Calibri"/>
          <w:sz w:val="22"/>
          <w:szCs w:val="22"/>
        </w:rPr>
        <w:t xml:space="preserve"> relationships—intimate, mutually responsive bonds that carry obligations—and use both physical and emotional intimacy as cues to them: they expect saliva sharing to occur within close relationships (Thomas et al., 2022), infer closeness from consolation and affective touch (Woo et al., 2025; Yu et al., 2025), treat accurate mind-reading as a cue to closeness (Woo, Yu, &amp; Thomas, 2025), and treat the disclosure of sad emotions as a marker of close bonds (Richardson &amp; Thomas, 2025). On the particular side, children track the actual relationships around them: they recognize that their parents are closer to their own parents than to their in-laws (Steele &amp; Thomas, 2025). Others have found that children treat privileged knowledge as confined to close relationships, finding it strange when a stranger knows personal information like a favorite food (Chuey, Jara-Ettinger, &amp; Gweon, 2026).</w:t>
      </w:r>
    </w:p>
    <w:p>
      <w:pPr>
        <w:spacing w:after="160" w:line="276"/>
        <w:jc w:val="left"/>
      </w:pPr>
      <w:r>
        <w:rPr>
          <w:rFonts w:ascii="Calibri" w:cs="Calibri" w:eastAsia="Calibri" w:hAnsi="Calibri"/>
          <w:b/>
          <w:bCs/>
          <w:sz w:val="22"/>
          <w:szCs w:val="22"/>
        </w:rPr>
        <w:t xml:space="preserve">Hypotheses. </w:t>
      </w:r>
      <w:r>
        <w:rPr>
          <w:rFonts w:ascii="Calibri" w:cs="Calibri" w:eastAsia="Calibri" w:hAnsi="Calibri"/>
          <w:sz w:val="22"/>
          <w:szCs w:val="22"/>
        </w:rPr>
        <w:t xml:space="preserve">These findings, however, come almost entirely from non-autistic children with human or human-like partners. Whether autistic children detect the same cues, and whether they track the particular relationships in their own lives, remains unknown. A second gap is newer: children increasingly interact with artificial companions that can produce the outward signals of a close relationship—attentive understanding, memory of past conversations, responsiveness to distress—without any shared history behind them. I have two central hypotheses, one for each gap. First, contrary to deficit accounts of autistic social cognition, I hypothesize that autistic children recognize thick relationships and their obligations just as non-autistic children do, with any group differences appearing in how specific cues are weighted rather than in the underlying representation of relationships. Second, although AI companions produce the very cues children use to detect real relationships, I hypothesize that children are sensitive to the fact that an AI’s understanding is not grounded in shared, lived experience, leading them to reason differently about relationships with AI. These hypotheses intersect: because human partners often fail to read autistic children accurately, an AI companion that reliably shows signs of understanding may lead autistic children to view AI companions more favorably than non-autistic children do. This knowledge may inform whether autistic children could use AI to practice social interactions in a low-stakes environment, ultimately supporting their relationship formation with humans.</w:t>
      </w:r>
    </w:p>
    <w:p>
      <w:pPr>
        <w:spacing w:after="120"/>
      </w:pPr>
      <w:r>
        <w:rPr>
          <w:rFonts w:ascii="Calibri" w:cs="Calibri" w:eastAsia="Calibri" w:hAnsi="Calibri"/>
          <w:b/>
          <w:bCs/>
          <w:sz w:val="22"/>
          <w:szCs w:val="22"/>
        </w:rPr>
        <w:t xml:space="preserve">Research questions</w:t>
      </w:r>
    </w:p>
    <w:p>
      <w:pPr>
        <w:spacing w:after="160" w:line="276"/>
        <w:jc w:val="left"/>
      </w:pPr>
      <w:r>
        <w:rPr>
          <w:rFonts w:ascii="Calibri" w:cs="Calibri" w:eastAsia="Calibri" w:hAnsi="Calibri"/>
          <w:sz w:val="22"/>
          <w:szCs w:val="22"/>
        </w:rPr>
        <w:t xml:space="preserve">The project has two connected aims, addressed across five studies. Studies 1–3 characterize how autistic and non-autistic children represent social intimacy: whether both groups use physical and emotional intimacy cues to infer close relationships, and whether they have similar knowledge of the particular relationships in their own social environments (e.g., between parents and the child’s grandparents). Study 4 asks whether children reason differently when one social partner is an AI companion, and how this relates to their own interactions with AI. Study 5 formalizes the accounts computationally.</w:t>
      </w:r>
    </w:p>
    <w:p>
      <w:pPr>
        <w:pStyle w:val="ListParagraph"/>
        <w:numPr>
          <w:ilvl w:val="0"/>
          <w:numId w:val="2"/>
        </w:numPr>
        <w:spacing w:after="120" w:line="276"/>
      </w:pPr>
      <w:r>
        <w:rPr>
          <w:rFonts w:ascii="Calibri" w:cs="Calibri" w:eastAsia="Calibri" w:hAnsi="Calibri"/>
          <w:b/>
          <w:bCs/>
          <w:sz w:val="22"/>
          <w:szCs w:val="22"/>
        </w:rPr>
        <w:t xml:space="preserve">Physical intimacy. </w:t>
      </w:r>
      <w:r>
        <w:rPr>
          <w:rFonts w:ascii="Calibri" w:cs="Calibri" w:eastAsia="Calibri" w:hAnsi="Calibri"/>
          <w:sz w:val="22"/>
          <w:szCs w:val="22"/>
        </w:rPr>
        <w:t xml:space="preserve">Do autistic and non-autistic children infer closer relationships from physical intimacy—saliva sharing and affective touch? Do they expect physically intimate partners to be obligated to respond to one another’s distress?</w:t>
      </w:r>
    </w:p>
    <w:p>
      <w:pPr>
        <w:pStyle w:val="ListParagraph"/>
        <w:numPr>
          <w:ilvl w:val="0"/>
          <w:numId w:val="2"/>
        </w:numPr>
        <w:spacing w:after="120" w:line="276"/>
      </w:pPr>
      <w:r>
        <w:rPr>
          <w:rFonts w:ascii="Calibri" w:cs="Calibri" w:eastAsia="Calibri" w:hAnsi="Calibri"/>
          <w:b/>
          <w:bCs/>
          <w:sz w:val="22"/>
          <w:szCs w:val="22"/>
        </w:rPr>
        <w:t xml:space="preserve">Emotional intimacy. </w:t>
      </w:r>
      <w:r>
        <w:rPr>
          <w:rFonts w:ascii="Calibri" w:cs="Calibri" w:eastAsia="Calibri" w:hAnsi="Calibri"/>
          <w:sz w:val="22"/>
          <w:szCs w:val="22"/>
        </w:rPr>
        <w:t xml:space="preserve">Do autistic and non-autistic children infer closeness from emotional intimacy, including a partner’s accurate reading of a person’s mind and people’s choices to disclose emotions to one another? Do they expect emotionally intimate partners to be obligated to respond to one another’s distress?</w:t>
      </w:r>
    </w:p>
    <w:p>
      <w:pPr>
        <w:pStyle w:val="ListParagraph"/>
        <w:numPr>
          <w:ilvl w:val="0"/>
          <w:numId w:val="2"/>
        </w:numPr>
        <w:spacing w:after="120" w:line="276"/>
      </w:pPr>
      <w:r>
        <w:rPr>
          <w:rFonts w:ascii="Calibri" w:cs="Calibri" w:eastAsia="Calibri" w:hAnsi="Calibri"/>
          <w:b/>
          <w:bCs/>
          <w:sz w:val="22"/>
          <w:szCs w:val="22"/>
        </w:rPr>
        <w:t xml:space="preserve">Particular representations. </w:t>
      </w:r>
      <w:r>
        <w:rPr>
          <w:rFonts w:ascii="Calibri" w:cs="Calibri" w:eastAsia="Calibri" w:hAnsi="Calibri"/>
          <w:sz w:val="22"/>
          <w:szCs w:val="22"/>
        </w:rPr>
        <w:t xml:space="preserve">Do children in both groups represent the particular structure of their own family and school networks—both who is close to whom, and who knows what?</w:t>
      </w:r>
    </w:p>
    <w:p>
      <w:pPr>
        <w:pStyle w:val="ListParagraph"/>
        <w:numPr>
          <w:ilvl w:val="0"/>
          <w:numId w:val="2"/>
        </w:numPr>
        <w:spacing w:after="120" w:line="276"/>
      </w:pPr>
      <w:r>
        <w:rPr>
          <w:rFonts w:ascii="Calibri" w:cs="Calibri" w:eastAsia="Calibri" w:hAnsi="Calibri"/>
          <w:b/>
          <w:bCs/>
          <w:sz w:val="22"/>
          <w:szCs w:val="22"/>
        </w:rPr>
        <w:t xml:space="preserve">Artificial partners. </w:t>
      </w:r>
      <w:r>
        <w:rPr>
          <w:rFonts w:ascii="Calibri" w:cs="Calibri" w:eastAsia="Calibri" w:hAnsi="Calibri"/>
          <w:sz w:val="22"/>
          <w:szCs w:val="22"/>
        </w:rPr>
        <w:t xml:space="preserve">Do autistic and non-autistic children infer closeness from emotional intimacy—accurate mind-reading and emotional disclosure—when a partner is an AI companion? Do children recognize that an AI companion cannot itself feel the emotions disclosed to it, and could not have come to know a person through experience? How do autistic and non-autistic children differ in their inferences about AI companions? And how do children’s inferences about AI companions relate to their own first-person interactions with them?</w:t>
      </w:r>
    </w:p>
    <w:p>
      <w:pPr>
        <w:spacing w:after="160" w:line="276"/>
        <w:jc w:val="left"/>
      </w:pPr>
      <w:r>
        <w:rPr>
          <w:rFonts w:ascii="Calibri" w:cs="Calibri" w:eastAsia="Calibri" w:hAnsi="Calibri"/>
          <w:b/>
          <w:bCs/>
          <w:sz w:val="22"/>
          <w:szCs w:val="22"/>
        </w:rPr>
        <w:t xml:space="preserve">Relevance to fellowship themes. </w:t>
      </w:r>
      <w:r>
        <w:rPr>
          <w:rFonts w:ascii="Calibri" w:cs="Calibri" w:eastAsia="Calibri" w:hAnsi="Calibri"/>
          <w:sz w:val="22"/>
          <w:szCs w:val="22"/>
        </w:rPr>
        <w:t xml:space="preserve">This project addresses two of the Foundation’s priorities—the inclusion and wellbeing of neurodivergent children, and children’s development in an AI-enabled world. The first three studies use validated paradigms to characterize how autistic children represent intimate relationships, both in others and in their own families. The fourth builds directly on that foundation, asking whether autistic and non-autistic children make similar inferences when an AI companion produces cues of emotional intimacy, or whether they understand that the ability to share experiences may make relationships more meaningful (Rubin, 2026; Xu et al., 2025). Recent survey data indicate that the AI question is not hypothetical: 35% of UK children aged 9–17 who use chatbots report that it feels like talking to a friend, rising to 50% among children identified as vulnerable, some of whom report using chatbots because they wanted a friend or had no one else to talk to (Internet Matters, 2025).</w:t>
      </w:r>
    </w:p>
    <w:p>
      <w:pPr>
        <w:spacing w:after="160" w:line="276"/>
        <w:jc w:val="left"/>
      </w:pPr>
      <w:r>
        <w:rPr>
          <w:rFonts w:ascii="Calibri" w:cs="Calibri" w:eastAsia="Calibri" w:hAnsi="Calibri"/>
          <w:b/>
          <w:bCs/>
          <w:sz w:val="22"/>
          <w:szCs w:val="22"/>
        </w:rPr>
        <w:t xml:space="preserve">Original contribution. </w:t>
      </w:r>
      <w:r>
        <w:rPr>
          <w:rFonts w:ascii="Calibri" w:cs="Calibri" w:eastAsia="Calibri" w:hAnsi="Calibri"/>
          <w:sz w:val="22"/>
          <w:szCs w:val="22"/>
        </w:rPr>
        <w:t xml:space="preserve">Two contributions follow. The first concerns autism research. Existing comparisons of autistic and non-autistic social cognition have focused on theory of mind, friendship self-report, and social status; none has asked how autistic children perceive cues of social relationships, including physical and emotional intimacy, whether they treat intimacy as carrying an obligation to respond, or whether they represent the particular structure of their own relationships. Characterizing where the two groups converge and differ is valuable to developmental science, to autism research, and to the wider cross-disciplinary study of relationships, independent of any question about technology. The second concerns how children understand relationships with AI. Existing research on children and AI companions measures outcomes such as loneliness or screen time; it has no model of what a child takes an AI companion to be. By establishing which cues children treat as evidence of a real relationship, and then asking how children reason about an AI companion that shows those cues, we can build that model—and test whether it predicts how children interact with AI companions themselves.</w:t>
      </w:r>
    </w:p>
    <w:p>
      <w:pPr>
        <w:spacing w:after="160" w:line="276"/>
        <w:jc w:val="left"/>
      </w:pPr>
      <w:r>
        <w:rPr>
          <w:rFonts w:ascii="Calibri" w:cs="Calibri" w:eastAsia="Calibri" w:hAnsi="Calibri"/>
          <w:sz w:val="22"/>
          <w:szCs w:val="22"/>
        </w:rPr>
        <w:t xml:space="preserve">These findings will be practically applicable. For the practitioners, clinicians, and educators who support autistic children, and for those who design technology for them, the work identifies which cues children respond to, and at what age; where autistic and non-autistic children differ, these findings can point to concrete ways of bridging the divide. For policymakers concerned with children’s online safety and the governance of AI, understanding how children respond to the cues AI companions deploy will help identify whether an AI companion presents itself as a kind of relationship it cannot sustain. For the AI studies, we collect both third-party inferences and children’s own interactions with an AI companion, letting us ask whether children’s judgments about others’ AI relationships track how they engage with AI themselves. The project treats the question of when and for whom AI companions help as genuinely open: AI partners may support connection for some autistic children, for instance by offering low-pressure opportunities to practice interaction. Centering autistic children’s and autistic adults’ own accounts of connection, rather than measuring them against a non-autistic standard, is intended to make this possible.</w:t>
      </w:r>
    </w:p>
    <w:p>
      <w:pPr>
        <w:spacing w:after="160" w:line="276"/>
        <w:jc w:val="left"/>
      </w:pPr>
      <w:r>
        <w:rPr>
          <w:rFonts w:ascii="Calibri" w:cs="Calibri" w:eastAsia="Calibri" w:hAnsi="Calibri"/>
          <w:b/>
          <w:bCs/>
          <w:sz w:val="22"/>
          <w:szCs w:val="22"/>
        </w:rPr>
        <w:t xml:space="preserve">Methods. </w:t>
      </w:r>
      <w:r>
        <w:rPr>
          <w:rFonts w:ascii="Calibri" w:cs="Calibri" w:eastAsia="Calibri" w:hAnsi="Calibri"/>
          <w:sz w:val="22"/>
          <w:szCs w:val="22"/>
        </w:rPr>
        <w:t xml:space="preserve">The first three studies each adapt paradigms my lab has validated in non-autistic children and run them with both non-autistic children and children with confirmed autism diagnoses, using the same stimuli. The studies rely on prediction and forced choice rather than the open-ended responses that may bias group comparisons. Across studies, measures are reviewed and adapted with a paid autistic advisory board (autistic adults and, separately, autistic young people) before data collection, and autistic participants are recruited through community and clinical partners with confirmed diagnoses. Participants will also complete the PPVT, a standardized vocabulary measure, allowing us to match groups on age and, in separate analyses, on vocabulary.</w:t>
      </w:r>
    </w:p>
    <w:p>
      <w:pPr>
        <w:spacing w:after="160" w:line="276"/>
        <w:jc w:val="left"/>
      </w:pPr>
      <w:r>
        <w:rPr>
          <w:rFonts w:ascii="Calibri" w:cs="Calibri" w:eastAsia="Calibri" w:hAnsi="Calibri"/>
          <w:b/>
          <w:bCs/>
          <w:sz w:val="22"/>
          <w:szCs w:val="22"/>
        </w:rPr>
        <w:t xml:space="preserve">Study 1: Physical intimacy as a cue to closeness. </w:t>
      </w:r>
      <w:r>
        <w:rPr>
          <w:rFonts w:ascii="Calibri" w:cs="Calibri" w:eastAsia="Calibri" w:hAnsi="Calibri"/>
          <w:sz w:val="22"/>
          <w:szCs w:val="22"/>
        </w:rPr>
        <w:t xml:space="preserve">Two of my lab’s findings show that children use physical intimacy to infer closeness: infants and children expect saliva sharing (e.g., drinking from one straw, sharing a single ice cream cone) to occur within close, family-like relationships (Thomas et al., 2022), and children expect those who show affective touch (touching while interacting, rather than interacting without touching) to be closer (Woo et al., 2025). We run these paradigms with autistic and non-autistic children and extend the relationship contrasts to finer distinctions the lab has used in other studies: a best friend versus a friend, and one’s own mother versus a friend’s mother. We ask whether children in both groups expect physical intimacy to occur in closer relationships. Study 1 also adds a measure of obligation. Thomas et al. (2022) found that infants expect those who share saliva to respond to one another’s distress; we ask not only whether children expect a response but whether they treat its absence as a moral violation. Rather than asking whether a partner “should” respond—a normative term whose interpretation is confounded with age and may differ across neurotypes (Marshall et al., 2022)—we show a physically intimate partner failing to respond to distress and ask children to evaluate the action, separating what children expect from what they think a social partner should have done.</w:t>
      </w:r>
    </w:p>
    <w:p>
      <w:pPr>
        <w:spacing w:after="160" w:line="276"/>
        <w:jc w:val="left"/>
      </w:pPr>
      <w:r>
        <w:rPr>
          <w:rFonts w:ascii="Calibri" w:cs="Calibri" w:eastAsia="Calibri" w:hAnsi="Calibri"/>
          <w:b/>
          <w:bCs/>
          <w:sz w:val="22"/>
          <w:szCs w:val="22"/>
        </w:rPr>
        <w:t xml:space="preserve">Study 2: Emotional intimacy as a cue to closeness. </w:t>
      </w:r>
      <w:r>
        <w:rPr>
          <w:rFonts w:ascii="Calibri" w:cs="Calibri" w:eastAsia="Calibri" w:hAnsi="Calibri"/>
          <w:sz w:val="22"/>
          <w:szCs w:val="22"/>
        </w:rPr>
        <w:t xml:space="preserve">Closeness is also marked by emotional intimacy: being accurately understood, and disclosing one’s inner life. My lab has shown that by 6 to 9 years, children treat accurate mind-reading as a cue to social closeness—a character who correctly reads a protagonist’s goals or emotions is judged closer and more likely to be told a secret (Woo, Yu, &amp; Thomas, 2025)—and that children treat the disclosure of sad emotions as a marker of a close relationship, expecting it within best friendships and toward one’s own mother but not a friend’s mother (Richardson &amp; Thomas, 2025). We run both paradigms with autistic and non-autistic children, again adding the obligation measure described above, here asking whether children believe emotionally intimate partners are obligated to respond, compared to physically intimate partners. Because being understood, and understanding another, is central to the double empathy account of autistic social experience, and because emotional intimacy is the capacity an AI companion most directly simulates, Study 2 is the foundation for Study 4.</w:t>
      </w:r>
    </w:p>
    <w:p>
      <w:pPr>
        <w:spacing w:after="160" w:line="276"/>
        <w:jc w:val="left"/>
      </w:pPr>
      <w:r>
        <w:rPr>
          <w:rFonts w:ascii="Calibri" w:cs="Calibri" w:eastAsia="Calibri" w:hAnsi="Calibri"/>
          <w:b/>
          <w:bCs/>
          <w:sz w:val="22"/>
          <w:szCs w:val="22"/>
        </w:rPr>
        <w:t xml:space="preserve">Study 3: Particular representations of a child’s own social network. </w:t>
      </w:r>
      <w:r>
        <w:rPr>
          <w:rFonts w:ascii="Calibri" w:cs="Calibri" w:eastAsia="Calibri" w:hAnsi="Calibri"/>
          <w:sz w:val="22"/>
          <w:szCs w:val="22"/>
        </w:rPr>
        <w:t xml:space="preserve">The first two studies ask children to make predictions and evaluations about novel individuals; Study 3 investigates particular representations of specific relationships. In a paradigm run with non-autistic children (Steele &amp; Thomas, 2025), children expected a parent to want consolation from their own parent rather than an in-law. Here we ask about both social closeness (which family member the child’s parent would seek a hug from when sad) and knowledge (whom that parent would approach for particular information). This study investigates whether children represent the particular relationships in their environments and use them to predict behavior and who knows what. We run this with autistic and non-autistic children, asking whether autistic children likewise represent the particular structure of their own networks—a basic question about their social world that, to our knowledge, has not been examined.</w:t>
      </w:r>
    </w:p>
    <w:p>
      <w:pPr>
        <w:spacing w:after="160" w:line="276"/>
        <w:jc w:val="left"/>
      </w:pPr>
      <w:r>
        <w:rPr>
          <w:rFonts w:ascii="Calibri" w:cs="Calibri" w:eastAsia="Calibri" w:hAnsi="Calibri"/>
          <w:b/>
          <w:bCs/>
          <w:sz w:val="22"/>
          <w:szCs w:val="22"/>
        </w:rPr>
        <w:t xml:space="preserve">Study 4: Artificial partners. </w:t>
      </w:r>
      <w:r>
        <w:rPr>
          <w:rFonts w:ascii="Calibri" w:cs="Calibri" w:eastAsia="Calibri" w:hAnsi="Calibri"/>
          <w:sz w:val="22"/>
          <w:szCs w:val="22"/>
        </w:rPr>
        <w:t xml:space="preserve">Building on Study 2, Study 4 asks whether an AI that produces cues of emotional intimacy—accurately reading a person’s goals and feelings—leads children to infer a genuine relationship, or whether they believe that AI companions cannot know someone. Children see a person interacting with either a human partner or an AI companion that accurately reads the person’s goals and feelings; we measure inferences and predictions in both autistic and non-autistic children. We predict that younger children infer closeness from accurate understanding regardless of its source, while older children distinguish an AI companion, which could not have learned what it knows through experience. We also ask whether autistic children are more likely to infer a genuine relationship with an AI, because it reliably produces the understanding their human partners often miss. Because these are third-party judgments, we additionally collect a measure of each child’s own behavior with AI, letting us ask whether the inferences children make about others’ AI relationships track how they engage with AI themselves.</w:t>
      </w:r>
    </w:p>
    <w:p>
      <w:pPr>
        <w:spacing w:after="160" w:line="276"/>
        <w:jc w:val="left"/>
      </w:pPr>
      <w:r>
        <w:rPr>
          <w:rFonts w:ascii="Calibri" w:cs="Calibri" w:eastAsia="Calibri" w:hAnsi="Calibri"/>
          <w:b/>
          <w:bCs/>
          <w:sz w:val="22"/>
          <w:szCs w:val="22"/>
        </w:rPr>
        <w:t xml:space="preserve">Study 5: A computational account of how children infer relationships. </w:t>
      </w:r>
      <w:r>
        <w:rPr>
          <w:rFonts w:ascii="Calibri" w:cs="Calibri" w:eastAsia="Calibri" w:hAnsi="Calibri"/>
          <w:sz w:val="22"/>
          <w:szCs w:val="22"/>
        </w:rPr>
        <w:t xml:space="preserve">Study 5 uses a computational model to formalize both populations’ intuitions. I have been involved in developing a social inverse-planning model in which a relationship’s intimacy lowers the cost of actions that expose one person to another—sharing saliva, touching, disclosing—so that observers recover the relationship from the actions people are willing to take (Chen, Thomas, Tenenbaum, &amp; Saxe, 2026). Study 5 iterates on this model to probe children’s judgments from Studies 1, 2, and 4, asking whether a single generative model captures both autistic and non-autistic children—with any differences appearing as graded parameter shifts—or whether the two populations’ data require qualitatively different models. We extend the model to Study 4: because an AI produces the cue of understanding without the shared history that normally generates it, the model treats that understanding as supplied rather than experienced, yielding quantitative predictions about the contexts in which children’s inferences should diverge between human and AI partners. Formalizing the account turns the group and partner comparisons into estimated parameters rather than qualitative contrasts.</w:t>
      </w:r>
    </w:p>
    <w:p>
      <w:pPr>
        <w:spacing w:after="160" w:line="276"/>
        <w:jc w:val="left"/>
      </w:pPr>
      <w:r>
        <w:rPr>
          <w:rFonts w:ascii="Calibri" w:cs="Calibri" w:eastAsia="Calibri" w:hAnsi="Calibri"/>
          <w:b/>
          <w:bCs/>
          <w:sz w:val="22"/>
          <w:szCs w:val="22"/>
        </w:rPr>
        <w:t xml:space="preserve">Analysis and reliability. </w:t>
      </w:r>
      <w:r>
        <w:rPr>
          <w:rFonts w:ascii="Calibri" w:cs="Calibri" w:eastAsia="Calibri" w:hAnsi="Calibri"/>
          <w:sz w:val="22"/>
          <w:szCs w:val="22"/>
        </w:rPr>
        <w:t xml:space="preserve">All studies will be preregistered on the Open Science Framework, with stimuli, data, and code made public, consistent with my lab’s practice. We will use Bayesian mixed-effects models with random effects for participants and items, reporting Bayes factors—the approach used in the paradigms these studies adapt, and appropriate where an informative result is the absence of a difference, including cases where autistic and non-autistic children respond equivalently.</w:t>
      </w:r>
    </w:p>
    <w:p>
      <w:pPr>
        <w:spacing w:after="160" w:line="276"/>
        <w:jc w:val="left"/>
      </w:pPr>
      <w:r>
        <w:rPr>
          <w:rFonts w:ascii="Calibri" w:cs="Calibri" w:eastAsia="Calibri" w:hAnsi="Calibri"/>
          <w:b/>
          <w:bCs/>
          <w:sz w:val="22"/>
          <w:szCs w:val="22"/>
        </w:rPr>
        <w:t xml:space="preserve">Ethics. </w:t>
      </w:r>
      <w:r>
        <w:rPr>
          <w:rFonts w:ascii="Calibri" w:cs="Calibri" w:eastAsia="Calibri" w:hAnsi="Calibri"/>
          <w:sz w:val="22"/>
          <w:szCs w:val="22"/>
        </w:rPr>
        <w:t xml:space="preserve">Approval will be obtained from the Harvard University-Area IRB before any data collection, with amendments for each study; the online protocols extend procedures already approved for our platforms. Children will provide assent alongside parental consent, checked again at each session. Autistic participants will be recruited through community and clinical partners, with sensory and communication accommodations provided as a default.</w:t>
      </w:r>
    </w:p>
    <w:p>
      <w:pPr>
        <w:spacing w:after="160" w:line="276"/>
        <w:jc w:val="left"/>
      </w:pPr>
      <w:r>
        <w:rPr>
          <w:rFonts w:ascii="Calibri" w:cs="Calibri" w:eastAsia="Calibri" w:hAnsi="Calibri"/>
          <w:b/>
          <w:bCs/>
          <w:sz w:val="22"/>
          <w:szCs w:val="22"/>
        </w:rPr>
        <w:t xml:space="preserve">Timeline. </w:t>
      </w:r>
      <w:r>
        <w:rPr>
          <w:rFonts w:ascii="Calibri" w:cs="Calibri" w:eastAsia="Calibri" w:hAnsi="Calibri"/>
          <w:sz w:val="22"/>
          <w:szCs w:val="22"/>
        </w:rPr>
        <w:t xml:space="preserve">In Year 1 we will obtain IRB approval, convene the advisory board, build partnerships for autistic recruitment, and run Studies 1 and 2 in both groups. In Year 2 we will run Study 3, launch Study 4, and begin replications. In Year 3 we will complete Study 4, finalize the modeling, and disseminate findings to practitioner and developer audiences alongside academic publication.</w:t>
      </w:r>
    </w:p>
    <w:p>
      <w:pPr>
        <w:spacing w:after="160" w:line="276"/>
        <w:jc w:val="left"/>
      </w:pPr>
      <w:r>
        <w:rPr>
          <w:rFonts w:ascii="Calibri" w:cs="Calibri" w:eastAsia="Calibri" w:hAnsi="Calibri"/>
          <w:b/>
          <w:bCs/>
          <w:sz w:val="22"/>
          <w:szCs w:val="22"/>
        </w:rPr>
        <w:t xml:space="preserve">Feasibility. </w:t>
      </w:r>
      <w:r>
        <w:rPr>
          <w:rFonts w:ascii="Calibri" w:cs="Calibri" w:eastAsia="Calibri" w:hAnsi="Calibri"/>
          <w:sz w:val="22"/>
          <w:szCs w:val="22"/>
        </w:rPr>
        <w:t xml:space="preserve">Recruitment of diagnosed autistic participants is addressed through SPARK (Simons Foundation Powering Autism Research), a large autism research cohort in the United States. Its Research Match service lets approved researchers recruit participants with professional autism diagnoses, nationwide and online, which matches the online design of these studies and supplies the sample sizes needed to power the neurotype comparison and its replication. The paid autistic advisory board is convened from the start to adapt measures, and community partners extend recruitment if needed. Because the studies use paradigms already validated in non-autistic children, the remaining scientific risk is concentrated in the population extension and the AI manipulation, not in untested methods. The studies rely on prediction and forced choice rather than on children’s descriptions of their own feelings, which makes the measures more robust across neurotypes, not merely more child-friendly. We address ecological validity by grounding scripts in transcripts of real interactions between children and chatbots, by collecting each child’s own behavior with an AI companion alongside their third-party judgments, and by being explicit about the limits of the comparison. Regardless of outcome, the studies will be informative: if autistic children make the same inferences as non-autistic children from physical and emotional intimacy, that convergence is itself valuable, telling practitioners and policymakers to direct support toward other sources of autistic children’s social difficulties.</w:t>
      </w:r>
    </w:p>
    <w:p>
      <w:pPr>
        <w:spacing w:after="160" w:line="276"/>
        <w:jc w:val="left"/>
      </w:pPr>
      <w:r>
        <w:rPr>
          <w:rFonts w:ascii="Calibri" w:cs="Calibri" w:eastAsia="Calibri" w:hAnsi="Calibri"/>
          <w:b/>
          <w:bCs/>
          <w:sz w:val="22"/>
          <w:szCs w:val="22"/>
        </w:rPr>
        <w:t xml:space="preserve">Work to date. </w:t>
      </w:r>
      <w:r>
        <w:rPr>
          <w:rFonts w:ascii="Calibri" w:cs="Calibri" w:eastAsia="Calibri" w:hAnsi="Calibri"/>
          <w:sz w:val="22"/>
          <w:szCs w:val="22"/>
        </w:rPr>
        <w:t xml:space="preserve">Each study extends a study completed in my lab. Thomas et al. (2022, </w:t>
      </w:r>
      <w:r>
        <w:rPr>
          <w:rFonts w:ascii="Calibri" w:cs="Calibri" w:eastAsia="Calibri" w:hAnsi="Calibri"/>
          <w:i/>
          <w:iCs/>
          <w:sz w:val="22"/>
          <w:szCs w:val="22"/>
        </w:rPr>
        <w:t xml:space="preserve">Science</w:t>
      </w:r>
      <w:r>
        <w:rPr>
          <w:rFonts w:ascii="Calibri" w:cs="Calibri" w:eastAsia="Calibri" w:hAnsi="Calibri"/>
          <w:sz w:val="22"/>
          <w:szCs w:val="22"/>
        </w:rPr>
        <w:t xml:space="preserve">) showed that infants, toddlers, and children use saliva sharing to infer thick relationships and expect people in thick relationships to respond to one another’s distress; this finding has since been independently replicated (Ciftci, Kominsky, &amp; Csibra, 2025) and, together with the affective-touch findings of Woo et al. (2025), forms the basis of Study 1. Woo, Yu, &amp; Thomas (2025) established that children treat accurate mind-reading as a cue to closeness, and Richardson &amp; Thomas (2025) established that children treat emotional disclosure as a marker of closeness, forming the basis of Studies 2 and 4. Steele &amp; Thomas (2025) established the family-network paradigm of Study 3, showing that children represent closeness and knowledge within their own families rather than merely tracking who spends time together. I have also written several theoretical pieces, including a </w:t>
      </w:r>
      <w:r>
        <w:rPr>
          <w:rFonts w:ascii="Calibri" w:cs="Calibri" w:eastAsia="Calibri" w:hAnsi="Calibri"/>
          <w:i/>
          <w:iCs/>
          <w:sz w:val="22"/>
          <w:szCs w:val="22"/>
        </w:rPr>
        <w:t xml:space="preserve">Behavioral and Brain Sciences</w:t>
      </w:r>
      <w:r>
        <w:rPr>
          <w:rFonts w:ascii="Calibri" w:cs="Calibri" w:eastAsia="Calibri" w:hAnsi="Calibri"/>
          <w:sz w:val="22"/>
          <w:szCs w:val="22"/>
        </w:rPr>
        <w:t xml:space="preserve"> target article on how children come to represent social relationships and their origins in infancy (Thomas, 2026), a </w:t>
      </w:r>
      <w:r>
        <w:rPr>
          <w:rFonts w:ascii="Calibri" w:cs="Calibri" w:eastAsia="Calibri" w:hAnsi="Calibri"/>
          <w:i/>
          <w:iCs/>
          <w:sz w:val="22"/>
          <w:szCs w:val="22"/>
        </w:rPr>
        <w:t xml:space="preserve">Daedalus</w:t>
      </w:r>
      <w:r>
        <w:rPr>
          <w:rFonts w:ascii="Calibri" w:cs="Calibri" w:eastAsia="Calibri" w:hAnsi="Calibri"/>
          <w:sz w:val="22"/>
          <w:szCs w:val="22"/>
        </w:rPr>
        <w:t xml:space="preserve"> piece on how humans think about caregiving (Thomas et al., 2025), and a developmental synthesis of how humans think about family (Steele &amp; Thomas, 2024). The lab runs both online (2,000 children a year, geographically distributed) and in-person developmental studies, and has the infrastructure for high-volume output.</w:t>
      </w:r>
    </w:p>
    <w:p>
      <w:pPr>
        <w:spacing w:after="160" w:line="276"/>
        <w:jc w:val="left"/>
      </w:pPr>
      <w:r>
        <w:rPr>
          <w:rFonts w:ascii="Calibri" w:cs="Calibri" w:eastAsia="Calibri" w:hAnsi="Calibri"/>
          <w:b/>
          <w:bCs/>
          <w:sz w:val="22"/>
          <w:szCs w:val="22"/>
        </w:rPr>
        <w:t xml:space="preserve">Why this fellowship. </w:t>
      </w:r>
      <w:r>
        <w:rPr>
          <w:rFonts w:ascii="Calibri" w:cs="Calibri" w:eastAsia="Calibri" w:hAnsi="Calibri"/>
          <w:sz w:val="22"/>
          <w:szCs w:val="22"/>
        </w:rPr>
        <w:t xml:space="preserve">Relationships have long been a central focus across the social sciences: sociology on how disclosure and network ties mark closeness, anthropology on kinship and relational structure, philosophy on what it means to know a person rather than to know about them. Yet far less attention has been paid to the cognition of relationships—especially in children, and, to my knowledge, not at all in autistic children. Understanding this cognition is urgent: children are forming relationships with AI systems, and we know little about what social inferences they are making about them. This project is a cross-disciplinary study of relationships: it extends validated developmental paradigms to a new population, pairs that extension with an investigation of how children think about artificial partners, and uses a computational model to specify developmental trends and cross-population differences. The fellowship’s cross-disciplinary cohort is what the project most needs: colleagues in sociology, anthropology, and philosophy who have long studied relationships can sharpen its theory, and the Foundation’s practitioner networks can help ensure the findings reach the clinicians, educators, and designers who need them.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2026-07-28T18:03:30.928Z</dcterms:created>
  <dcterms:modified xsi:type="dcterms:W3CDTF">2026-07-28T18:03:30.928Z</dcterms:modified>
</cp:coreProperties>
</file>

<file path=docProps/custom.xml><?xml version="1.0" encoding="utf-8"?>
<Properties xmlns="http://schemas.openxmlformats.org/officeDocument/2006/custom-properties" xmlns:vt="http://schemas.openxmlformats.org/officeDocument/2006/docPropsVTypes"/>
</file>