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81A1C" w14:textId="10E1A88C" w:rsidR="00E00B0A" w:rsidRPr="00E00B0A" w:rsidRDefault="00E00B0A" w:rsidP="00E00B0A">
      <w:pPr>
        <w:rPr>
          <w:rFonts w:ascii="Times New Roman" w:hAnsi="Times New Roman" w:cs="Times New Roman"/>
          <w:b/>
          <w:bCs/>
        </w:rPr>
      </w:pPr>
      <w:r w:rsidRPr="00E00B0A">
        <w:rPr>
          <w:rFonts w:ascii="Times New Roman" w:hAnsi="Times New Roman" w:cs="Times New Roman"/>
          <w:b/>
          <w:bCs/>
        </w:rPr>
        <w:t>Table S1</w:t>
      </w:r>
      <w:r>
        <w:rPr>
          <w:rFonts w:ascii="Times New Roman" w:hAnsi="Times New Roman" w:cs="Times New Roman"/>
          <w:b/>
          <w:bCs/>
        </w:rPr>
        <w:t xml:space="preserve">. </w:t>
      </w:r>
      <w:r w:rsidRPr="00E00B0A">
        <w:rPr>
          <w:rFonts w:ascii="Times New Roman" w:hAnsi="Times New Roman" w:cs="Times New Roman"/>
          <w:color w:val="000000"/>
        </w:rPr>
        <w:t>Drivers of microbial alpha diversity with the random effect of sampling location (Indiana county) to account for potential spatial patterns. Test statistics and p values reported only for  parameters with significant influence on one of the four microbial groups tested either in the 0-5 cm soil depth or 5-10 cm soil depth. Marginal R</w:t>
      </w:r>
      <w:r w:rsidRPr="00E00B0A">
        <w:rPr>
          <w:rFonts w:ascii="Times New Roman" w:hAnsi="Times New Roman" w:cs="Times New Roman"/>
          <w:color w:val="000000"/>
          <w:vertAlign w:val="superscript"/>
        </w:rPr>
        <w:t>2</w:t>
      </w:r>
      <w:r w:rsidRPr="00E00B0A">
        <w:rPr>
          <w:rFonts w:ascii="Times New Roman" w:hAnsi="Times New Roman" w:cs="Times New Roman"/>
          <w:color w:val="000000"/>
        </w:rPr>
        <w:t xml:space="preserve"> indicates the model fit including  fixed effects only; conditional R</w:t>
      </w:r>
      <w:r w:rsidRPr="00E00B0A">
        <w:rPr>
          <w:rFonts w:ascii="Times New Roman" w:hAnsi="Times New Roman" w:cs="Times New Roman"/>
          <w:color w:val="000000"/>
          <w:sz w:val="14"/>
          <w:szCs w:val="14"/>
          <w:vertAlign w:val="superscript"/>
        </w:rPr>
        <w:t xml:space="preserve">2  </w:t>
      </w:r>
      <w:r w:rsidRPr="00E00B0A">
        <w:rPr>
          <w:rFonts w:ascii="Times New Roman" w:hAnsi="Times New Roman" w:cs="Times New Roman"/>
          <w:color w:val="000000"/>
        </w:rPr>
        <w:t xml:space="preserve">additionally includes the random effect of county. ICC=Intraclass correlation coefficient. </w:t>
      </w:r>
    </w:p>
    <w:p w14:paraId="2E79CD5B" w14:textId="062E783F" w:rsidR="00E00B0A" w:rsidRDefault="00E00B0A"/>
    <w:tbl>
      <w:tblPr>
        <w:tblW w:w="0" w:type="auto"/>
        <w:tblCellMar>
          <w:left w:w="0" w:type="dxa"/>
          <w:right w:w="0" w:type="dxa"/>
        </w:tblCellMar>
        <w:tblLook w:val="04A0" w:firstRow="1" w:lastRow="0" w:firstColumn="1" w:lastColumn="0" w:noHBand="0" w:noVBand="1"/>
      </w:tblPr>
      <w:tblGrid>
        <w:gridCol w:w="1430"/>
        <w:gridCol w:w="957"/>
        <w:gridCol w:w="939"/>
        <w:gridCol w:w="945"/>
        <w:gridCol w:w="1064"/>
        <w:gridCol w:w="939"/>
        <w:gridCol w:w="939"/>
        <w:gridCol w:w="1007"/>
        <w:gridCol w:w="1127"/>
      </w:tblGrid>
      <w:tr w:rsidR="00E00B0A" w:rsidRPr="00E00B0A" w14:paraId="107C53DC" w14:textId="77777777" w:rsidTr="00FD0915">
        <w:trPr>
          <w:trHeight w:val="225"/>
        </w:trPr>
        <w:tc>
          <w:tcPr>
            <w:tcW w:w="1589" w:type="dxa"/>
            <w:vMerge w:val="restart"/>
            <w:tcBorders>
              <w:top w:val="single" w:sz="4" w:space="0" w:color="auto"/>
              <w:left w:val="single" w:sz="4" w:space="0" w:color="auto"/>
              <w:bottom w:val="single" w:sz="4" w:space="0" w:color="auto"/>
              <w:right w:val="single" w:sz="4" w:space="0" w:color="auto"/>
            </w:tcBorders>
            <w:shd w:val="clear" w:color="auto" w:fill="auto"/>
          </w:tcPr>
          <w:p w14:paraId="1D15A0DB" w14:textId="77777777" w:rsidR="00E00B0A" w:rsidRPr="00E00B0A" w:rsidRDefault="00E00B0A" w:rsidP="00FD0915">
            <w:pPr>
              <w:rPr>
                <w:rFonts w:ascii="Times New Roman" w:hAnsi="Times New Roman" w:cs="Times New Roman"/>
                <w:b/>
                <w:bCs/>
                <w:sz w:val="20"/>
                <w:szCs w:val="20"/>
              </w:rPr>
            </w:pPr>
          </w:p>
        </w:tc>
        <w:tc>
          <w:tcPr>
            <w:tcW w:w="4436" w:type="dxa"/>
            <w:gridSpan w:val="4"/>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60" w:type="dxa"/>
              <w:right w:w="60" w:type="dxa"/>
            </w:tcMar>
            <w:hideMark/>
          </w:tcPr>
          <w:p w14:paraId="61C8B42B"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b/>
                <w:bCs/>
                <w:color w:val="000000"/>
                <w:sz w:val="20"/>
                <w:szCs w:val="20"/>
              </w:rPr>
              <w:t>0-5 cm</w:t>
            </w:r>
          </w:p>
        </w:tc>
        <w:tc>
          <w:tcPr>
            <w:tcW w:w="4590"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B4C1D1"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b/>
                <w:bCs/>
                <w:color w:val="000000"/>
                <w:sz w:val="20"/>
                <w:szCs w:val="20"/>
              </w:rPr>
              <w:t>5-10 cm</w:t>
            </w:r>
          </w:p>
        </w:tc>
      </w:tr>
      <w:tr w:rsidR="00E00B0A" w:rsidRPr="00E00B0A" w14:paraId="55D2EED4" w14:textId="77777777" w:rsidTr="00FD0915">
        <w:trPr>
          <w:trHeight w:val="165"/>
        </w:trPr>
        <w:tc>
          <w:tcPr>
            <w:tcW w:w="1589" w:type="dxa"/>
            <w:vMerge/>
            <w:tcBorders>
              <w:top w:val="single" w:sz="4" w:space="0" w:color="auto"/>
              <w:left w:val="single" w:sz="4" w:space="0" w:color="auto"/>
              <w:bottom w:val="single" w:sz="4" w:space="0" w:color="auto"/>
              <w:right w:val="single" w:sz="4" w:space="0" w:color="auto"/>
            </w:tcBorders>
            <w:shd w:val="clear" w:color="auto" w:fill="auto"/>
          </w:tcPr>
          <w:p w14:paraId="0CA9C5D0" w14:textId="77777777" w:rsidR="00E00B0A" w:rsidRPr="00E00B0A" w:rsidRDefault="00E00B0A" w:rsidP="00FD0915">
            <w:pPr>
              <w:jc w:val="center"/>
              <w:rPr>
                <w:rFonts w:ascii="Times New Roman" w:hAnsi="Times New Roman" w:cs="Times New Roman"/>
                <w:sz w:val="20"/>
                <w:szCs w:val="20"/>
              </w:rPr>
            </w:pPr>
          </w:p>
        </w:tc>
        <w:tc>
          <w:tcPr>
            <w:tcW w:w="1106" w:type="dxa"/>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60" w:type="dxa"/>
              <w:right w:w="60" w:type="dxa"/>
            </w:tcMar>
            <w:hideMark/>
          </w:tcPr>
          <w:p w14:paraId="68167A73"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b/>
                <w:bCs/>
                <w:color w:val="000000"/>
                <w:sz w:val="20"/>
                <w:szCs w:val="20"/>
              </w:rPr>
              <w:t>AM Fungi</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648F54"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b/>
                <w:bCs/>
                <w:color w:val="000000"/>
                <w:sz w:val="20"/>
                <w:szCs w:val="20"/>
              </w:rPr>
              <w:t>EM Fungi</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DB6587"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b/>
                <w:bCs/>
                <w:color w:val="000000"/>
                <w:sz w:val="20"/>
                <w:szCs w:val="20"/>
              </w:rPr>
              <w:t>Bacteria</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D2C7FC"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b/>
                <w:bCs/>
                <w:color w:val="000000"/>
                <w:sz w:val="20"/>
                <w:szCs w:val="20"/>
              </w:rPr>
              <w:t>Total Fungi</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4EBD27"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b/>
                <w:bCs/>
                <w:color w:val="000000"/>
                <w:sz w:val="20"/>
                <w:szCs w:val="20"/>
              </w:rPr>
              <w:t>AM Fungi</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BB5A43"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b/>
                <w:bCs/>
                <w:color w:val="000000"/>
                <w:sz w:val="20"/>
                <w:szCs w:val="20"/>
              </w:rPr>
              <w:t>EM Fungi</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827A32"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b/>
                <w:bCs/>
                <w:color w:val="000000"/>
                <w:sz w:val="20"/>
                <w:szCs w:val="20"/>
              </w:rPr>
              <w:t>Bacteria</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9694B0"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b/>
                <w:bCs/>
                <w:color w:val="000000"/>
                <w:sz w:val="20"/>
                <w:szCs w:val="20"/>
              </w:rPr>
              <w:t>Total Fungi</w:t>
            </w:r>
          </w:p>
        </w:tc>
      </w:tr>
      <w:tr w:rsidR="00E00B0A" w:rsidRPr="00E00B0A" w14:paraId="70CC92C6" w14:textId="77777777" w:rsidTr="00FD0915">
        <w:trPr>
          <w:trHeight w:val="165"/>
        </w:trPr>
        <w:tc>
          <w:tcPr>
            <w:tcW w:w="1589" w:type="dxa"/>
            <w:tcBorders>
              <w:top w:val="single" w:sz="4"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2116C5" w14:textId="77777777" w:rsidR="00E00B0A" w:rsidRPr="00E00B0A" w:rsidRDefault="00E00B0A" w:rsidP="00FD0915">
            <w:pPr>
              <w:rPr>
                <w:rFonts w:ascii="Times New Roman" w:hAnsi="Times New Roman" w:cs="Times New Roman"/>
                <w:sz w:val="20"/>
                <w:szCs w:val="20"/>
              </w:rPr>
            </w:pPr>
            <w:r w:rsidRPr="00E00B0A">
              <w:rPr>
                <w:rFonts w:ascii="Times New Roman" w:hAnsi="Times New Roman" w:cs="Times New Roman"/>
                <w:color w:val="000000"/>
                <w:sz w:val="20"/>
                <w:szCs w:val="20"/>
              </w:rPr>
              <w:t>Total tree richness</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87333F8"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9D97F9"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DBEDFE"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460E81"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A72D8E"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88B4707"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3091FE"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C5D6FF7"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sym w:font="Symbol" w:char="F062"/>
            </w:r>
            <w:r w:rsidRPr="00E00B0A">
              <w:rPr>
                <w:rFonts w:ascii="Times New Roman" w:hAnsi="Times New Roman" w:cs="Times New Roman"/>
                <w:sz w:val="20"/>
                <w:szCs w:val="20"/>
              </w:rPr>
              <w:t>= -0.23</w:t>
            </w:r>
          </w:p>
          <w:p w14:paraId="479D18C8"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p= 0.042</w:t>
            </w:r>
          </w:p>
        </w:tc>
      </w:tr>
      <w:tr w:rsidR="00E00B0A" w:rsidRPr="00E00B0A" w14:paraId="688CFAC1" w14:textId="77777777" w:rsidTr="00FD0915">
        <w:trPr>
          <w:trHeight w:val="165"/>
        </w:trPr>
        <w:tc>
          <w:tcPr>
            <w:tcW w:w="1589"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73279D7A" w14:textId="77777777" w:rsidR="00E00B0A" w:rsidRPr="00E00B0A" w:rsidRDefault="00E00B0A" w:rsidP="00FD0915">
            <w:pPr>
              <w:rPr>
                <w:rFonts w:ascii="Times New Roman" w:hAnsi="Times New Roman" w:cs="Times New Roman"/>
                <w:sz w:val="20"/>
                <w:szCs w:val="20"/>
              </w:rPr>
            </w:pPr>
            <w:r w:rsidRPr="00E00B0A">
              <w:rPr>
                <w:rFonts w:ascii="Times New Roman" w:hAnsi="Times New Roman" w:cs="Times New Roman"/>
                <w:color w:val="000000"/>
                <w:sz w:val="20"/>
                <w:szCs w:val="20"/>
              </w:rPr>
              <w:t>AM dominance</w:t>
            </w:r>
          </w:p>
        </w:tc>
        <w:tc>
          <w:tcPr>
            <w:tcW w:w="1106"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51D152B9"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665F515B"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9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71C0FB34"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26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1371F05B"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151E8D48"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501EBBCD"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46178D9A"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35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10A01687"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r>
      <w:tr w:rsidR="00E00B0A" w:rsidRPr="00E00B0A" w14:paraId="473A57D2" w14:textId="77777777" w:rsidTr="00FD0915">
        <w:trPr>
          <w:trHeight w:val="180"/>
        </w:trPr>
        <w:tc>
          <w:tcPr>
            <w:tcW w:w="1589"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037CA36C" w14:textId="77777777" w:rsidR="00E00B0A" w:rsidRPr="00E00B0A" w:rsidRDefault="00E00B0A" w:rsidP="00FD0915">
            <w:pPr>
              <w:rPr>
                <w:rFonts w:ascii="Times New Roman" w:hAnsi="Times New Roman" w:cs="Times New Roman"/>
                <w:sz w:val="20"/>
                <w:szCs w:val="20"/>
              </w:rPr>
            </w:pPr>
            <w:r w:rsidRPr="00E00B0A">
              <w:rPr>
                <w:rFonts w:ascii="Times New Roman" w:hAnsi="Times New Roman" w:cs="Times New Roman"/>
                <w:color w:val="000000"/>
                <w:sz w:val="20"/>
                <w:szCs w:val="20"/>
              </w:rPr>
              <w:t>Stand age </w:t>
            </w:r>
          </w:p>
        </w:tc>
        <w:tc>
          <w:tcPr>
            <w:tcW w:w="1106"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5F960986" w14:textId="77777777" w:rsidR="00E00B0A" w:rsidRPr="00E00B0A" w:rsidRDefault="00E00B0A" w:rsidP="00FD0915">
            <w:pPr>
              <w:jc w:val="center"/>
              <w:rPr>
                <w:rFonts w:ascii="Times New Roman" w:hAnsi="Times New Roman" w:cs="Times New Roman"/>
                <w:sz w:val="20"/>
                <w:szCs w:val="20"/>
              </w:rPr>
            </w:pPr>
          </w:p>
          <w:p w14:paraId="19F848BA"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650AC263"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sym w:font="Symbol" w:char="F062"/>
            </w:r>
            <w:r w:rsidRPr="00E00B0A">
              <w:rPr>
                <w:rFonts w:ascii="Times New Roman" w:hAnsi="Times New Roman" w:cs="Times New Roman"/>
                <w:sz w:val="20"/>
                <w:szCs w:val="20"/>
              </w:rPr>
              <w:t>= 0.57</w:t>
            </w:r>
          </w:p>
          <w:p w14:paraId="68D0405B"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p= 0.027</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1841CE95" w14:textId="77777777" w:rsidR="00E00B0A" w:rsidRPr="00E00B0A" w:rsidRDefault="00E00B0A" w:rsidP="00FD0915">
            <w:pPr>
              <w:jc w:val="center"/>
              <w:rPr>
                <w:rFonts w:ascii="Times New Roman" w:hAnsi="Times New Roman" w:cs="Times New Roman"/>
                <w:sz w:val="20"/>
                <w:szCs w:val="20"/>
              </w:rPr>
            </w:pPr>
          </w:p>
          <w:p w14:paraId="2F9EF6B5"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26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006B49A9" w14:textId="77777777" w:rsidR="00E00B0A" w:rsidRPr="00E00B0A" w:rsidRDefault="00E00B0A" w:rsidP="00FD0915">
            <w:pPr>
              <w:jc w:val="center"/>
              <w:rPr>
                <w:rFonts w:ascii="Times New Roman" w:hAnsi="Times New Roman" w:cs="Times New Roman"/>
                <w:sz w:val="20"/>
                <w:szCs w:val="20"/>
              </w:rPr>
            </w:pPr>
          </w:p>
          <w:p w14:paraId="2EF58BF2"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1D069B8F" w14:textId="77777777" w:rsidR="00E00B0A" w:rsidRPr="00E00B0A" w:rsidRDefault="00E00B0A" w:rsidP="00FD0915">
            <w:pPr>
              <w:jc w:val="center"/>
              <w:rPr>
                <w:rFonts w:ascii="Times New Roman" w:hAnsi="Times New Roman" w:cs="Times New Roman"/>
                <w:sz w:val="20"/>
                <w:szCs w:val="20"/>
              </w:rPr>
            </w:pPr>
          </w:p>
          <w:p w14:paraId="218A775C"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5811BB4E" w14:textId="77777777" w:rsidR="00E00B0A" w:rsidRPr="00E00B0A" w:rsidRDefault="00E00B0A" w:rsidP="00FD0915">
            <w:pPr>
              <w:jc w:val="center"/>
              <w:rPr>
                <w:rFonts w:ascii="Times New Roman" w:hAnsi="Times New Roman" w:cs="Times New Roman"/>
                <w:sz w:val="20"/>
                <w:szCs w:val="20"/>
              </w:rPr>
            </w:pPr>
          </w:p>
          <w:p w14:paraId="3B4B8E58"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5CA09072" w14:textId="77777777" w:rsidR="00E00B0A" w:rsidRPr="00E00B0A" w:rsidRDefault="00E00B0A" w:rsidP="00FD0915">
            <w:pPr>
              <w:jc w:val="center"/>
              <w:rPr>
                <w:rFonts w:ascii="Times New Roman" w:hAnsi="Times New Roman" w:cs="Times New Roman"/>
                <w:sz w:val="20"/>
                <w:szCs w:val="20"/>
              </w:rPr>
            </w:pPr>
          </w:p>
          <w:p w14:paraId="16D25463"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1DFC0DD1" w14:textId="77777777" w:rsidR="00E00B0A" w:rsidRPr="00E00B0A" w:rsidRDefault="00E00B0A" w:rsidP="00FD0915">
            <w:pPr>
              <w:jc w:val="center"/>
              <w:rPr>
                <w:rFonts w:ascii="Times New Roman" w:hAnsi="Times New Roman" w:cs="Times New Roman"/>
                <w:sz w:val="20"/>
                <w:szCs w:val="20"/>
              </w:rPr>
            </w:pPr>
          </w:p>
          <w:p w14:paraId="69AAD913"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p w14:paraId="5A56990C" w14:textId="77777777" w:rsidR="00E00B0A" w:rsidRPr="00E00B0A" w:rsidRDefault="00E00B0A" w:rsidP="00FD0915">
            <w:pPr>
              <w:jc w:val="center"/>
              <w:rPr>
                <w:rFonts w:ascii="Times New Roman" w:hAnsi="Times New Roman" w:cs="Times New Roman"/>
                <w:sz w:val="20"/>
                <w:szCs w:val="20"/>
              </w:rPr>
            </w:pPr>
          </w:p>
        </w:tc>
      </w:tr>
      <w:tr w:rsidR="00E00B0A" w:rsidRPr="00E00B0A" w14:paraId="27CEC703" w14:textId="77777777" w:rsidTr="00FD0915">
        <w:trPr>
          <w:trHeight w:val="34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47F3CC" w14:textId="77777777" w:rsidR="00E00B0A" w:rsidRPr="00E00B0A" w:rsidRDefault="00E00B0A" w:rsidP="00FD0915">
            <w:pPr>
              <w:rPr>
                <w:rFonts w:ascii="Times New Roman" w:hAnsi="Times New Roman" w:cs="Times New Roman"/>
                <w:sz w:val="20"/>
                <w:szCs w:val="20"/>
              </w:rPr>
            </w:pPr>
            <w:r w:rsidRPr="00E00B0A">
              <w:rPr>
                <w:rFonts w:ascii="Times New Roman" w:hAnsi="Times New Roman" w:cs="Times New Roman"/>
                <w:color w:val="000000"/>
                <w:sz w:val="20"/>
                <w:szCs w:val="20"/>
              </w:rPr>
              <w:t>Basal Area Increment</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60B126" w14:textId="77777777" w:rsidR="00E00B0A" w:rsidRPr="00E00B0A" w:rsidRDefault="00E00B0A" w:rsidP="00FD0915">
            <w:pPr>
              <w:jc w:val="center"/>
              <w:rPr>
                <w:rFonts w:ascii="Times New Roman" w:hAnsi="Times New Roman" w:cs="Times New Roman"/>
                <w:sz w:val="20"/>
                <w:szCs w:val="20"/>
              </w:rPr>
            </w:pPr>
          </w:p>
          <w:p w14:paraId="5378E90D"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918770" w14:textId="77777777" w:rsidR="00E00B0A" w:rsidRPr="00E00B0A" w:rsidRDefault="00E00B0A" w:rsidP="00FD0915">
            <w:pPr>
              <w:jc w:val="center"/>
              <w:rPr>
                <w:rFonts w:ascii="Times New Roman" w:hAnsi="Times New Roman" w:cs="Times New Roman"/>
                <w:sz w:val="20"/>
                <w:szCs w:val="20"/>
              </w:rPr>
            </w:pPr>
          </w:p>
          <w:p w14:paraId="4A05CD39"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9ECF02" w14:textId="77777777" w:rsidR="00E00B0A" w:rsidRPr="00E00B0A" w:rsidRDefault="00E00B0A" w:rsidP="00FD0915">
            <w:pPr>
              <w:jc w:val="center"/>
              <w:rPr>
                <w:rFonts w:ascii="Times New Roman" w:hAnsi="Times New Roman" w:cs="Times New Roman"/>
                <w:sz w:val="20"/>
                <w:szCs w:val="20"/>
              </w:rPr>
            </w:pPr>
          </w:p>
          <w:p w14:paraId="76786E9E"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389D03" w14:textId="77777777" w:rsidR="00E00B0A" w:rsidRPr="00E00B0A" w:rsidRDefault="00E00B0A" w:rsidP="00FD0915">
            <w:pPr>
              <w:jc w:val="center"/>
              <w:rPr>
                <w:rFonts w:ascii="Times New Roman" w:hAnsi="Times New Roman" w:cs="Times New Roman"/>
                <w:sz w:val="20"/>
                <w:szCs w:val="20"/>
              </w:rPr>
            </w:pPr>
          </w:p>
          <w:p w14:paraId="67EC2812"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CA2C47" w14:textId="77777777" w:rsidR="00E00B0A" w:rsidRPr="00E00B0A" w:rsidRDefault="00E00B0A" w:rsidP="00FD0915">
            <w:pPr>
              <w:jc w:val="center"/>
              <w:rPr>
                <w:rFonts w:ascii="Times New Roman" w:hAnsi="Times New Roman" w:cs="Times New Roman"/>
                <w:sz w:val="20"/>
                <w:szCs w:val="20"/>
              </w:rPr>
            </w:pPr>
          </w:p>
          <w:p w14:paraId="0C1195A9"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A71D28" w14:textId="77777777" w:rsidR="00E00B0A" w:rsidRPr="00E00B0A" w:rsidRDefault="00E00B0A" w:rsidP="00FD0915">
            <w:pPr>
              <w:jc w:val="center"/>
              <w:rPr>
                <w:rFonts w:ascii="Times New Roman" w:hAnsi="Times New Roman" w:cs="Times New Roman"/>
                <w:sz w:val="20"/>
                <w:szCs w:val="20"/>
              </w:rPr>
            </w:pPr>
          </w:p>
          <w:p w14:paraId="3B165A2E"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8E5799" w14:textId="77777777" w:rsidR="00E00B0A" w:rsidRPr="00E00B0A" w:rsidRDefault="00E00B0A" w:rsidP="00FD0915">
            <w:pPr>
              <w:jc w:val="center"/>
              <w:rPr>
                <w:rFonts w:ascii="Times New Roman" w:hAnsi="Times New Roman" w:cs="Times New Roman"/>
                <w:sz w:val="20"/>
                <w:szCs w:val="20"/>
              </w:rPr>
            </w:pPr>
          </w:p>
          <w:p w14:paraId="66C36DF5"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5E46FD"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sym w:font="Symbol" w:char="F062"/>
            </w:r>
            <w:r w:rsidRPr="00E00B0A">
              <w:rPr>
                <w:rFonts w:ascii="Times New Roman" w:hAnsi="Times New Roman" w:cs="Times New Roman"/>
                <w:sz w:val="20"/>
                <w:szCs w:val="20"/>
              </w:rPr>
              <w:t>= 0.37</w:t>
            </w:r>
          </w:p>
          <w:p w14:paraId="25D642D6"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p= 0.014</w:t>
            </w:r>
          </w:p>
        </w:tc>
      </w:tr>
      <w:tr w:rsidR="00E00B0A" w:rsidRPr="00E00B0A" w14:paraId="718081BD" w14:textId="77777777" w:rsidTr="00FD0915">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B58B91" w14:textId="77777777" w:rsidR="00E00B0A" w:rsidRPr="00E00B0A" w:rsidRDefault="00E00B0A" w:rsidP="00FD0915">
            <w:pPr>
              <w:rPr>
                <w:rFonts w:ascii="Times New Roman" w:hAnsi="Times New Roman" w:cs="Times New Roman"/>
                <w:sz w:val="20"/>
                <w:szCs w:val="20"/>
              </w:rPr>
            </w:pPr>
            <w:proofErr w:type="spellStart"/>
            <w:r w:rsidRPr="00E00B0A">
              <w:rPr>
                <w:rFonts w:ascii="Times New Roman" w:hAnsi="Times New Roman" w:cs="Times New Roman"/>
                <w:color w:val="000000"/>
                <w:sz w:val="20"/>
                <w:szCs w:val="20"/>
              </w:rPr>
              <w:t>VertSD</w:t>
            </w:r>
            <w:proofErr w:type="spellEnd"/>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B80C79"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C34CC8"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6571CB"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CB4A1F"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E744C8"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D466500"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9DA19F"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4E1B78"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r>
      <w:tr w:rsidR="00E00B0A" w:rsidRPr="00E00B0A" w14:paraId="79AE07E4" w14:textId="77777777" w:rsidTr="00FD0915">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FE23DF" w14:textId="77777777" w:rsidR="00E00B0A" w:rsidRPr="00E00B0A" w:rsidRDefault="00E00B0A" w:rsidP="00FD0915">
            <w:pPr>
              <w:rPr>
                <w:rFonts w:ascii="Times New Roman" w:hAnsi="Times New Roman" w:cs="Times New Roman"/>
                <w:sz w:val="20"/>
                <w:szCs w:val="20"/>
              </w:rPr>
            </w:pPr>
            <w:r w:rsidRPr="00E00B0A">
              <w:rPr>
                <w:rFonts w:ascii="Times New Roman" w:hAnsi="Times New Roman" w:cs="Times New Roman"/>
                <w:color w:val="000000"/>
                <w:sz w:val="20"/>
                <w:szCs w:val="20"/>
              </w:rPr>
              <w:t>VAI</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B317B9" w14:textId="77777777" w:rsidR="00E00B0A" w:rsidRPr="00E00B0A" w:rsidRDefault="00E00B0A" w:rsidP="00FD0915">
            <w:pPr>
              <w:jc w:val="center"/>
              <w:rPr>
                <w:rFonts w:ascii="Times New Roman" w:hAnsi="Times New Roman" w:cs="Times New Roman"/>
                <w:sz w:val="20"/>
                <w:szCs w:val="20"/>
              </w:rPr>
            </w:pPr>
          </w:p>
          <w:p w14:paraId="52A1FBC2"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B441C5E"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sym w:font="Symbol" w:char="F062"/>
            </w:r>
            <w:r w:rsidRPr="00E00B0A">
              <w:rPr>
                <w:rFonts w:ascii="Times New Roman" w:hAnsi="Times New Roman" w:cs="Times New Roman"/>
                <w:sz w:val="20"/>
                <w:szCs w:val="20"/>
              </w:rPr>
              <w:t>= 0.43</w:t>
            </w:r>
          </w:p>
          <w:p w14:paraId="6F010249"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p= 0.025</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4C196F2" w14:textId="77777777" w:rsidR="00E00B0A" w:rsidRPr="00E00B0A" w:rsidRDefault="00E00B0A" w:rsidP="00FD0915">
            <w:pPr>
              <w:jc w:val="center"/>
              <w:rPr>
                <w:rFonts w:ascii="Times New Roman" w:hAnsi="Times New Roman" w:cs="Times New Roman"/>
                <w:sz w:val="20"/>
                <w:szCs w:val="20"/>
              </w:rPr>
            </w:pPr>
          </w:p>
          <w:p w14:paraId="61C86F18"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5AD9DD" w14:textId="77777777" w:rsidR="00E00B0A" w:rsidRPr="00E00B0A" w:rsidRDefault="00E00B0A" w:rsidP="00FD0915">
            <w:pPr>
              <w:jc w:val="center"/>
              <w:rPr>
                <w:rFonts w:ascii="Times New Roman" w:hAnsi="Times New Roman" w:cs="Times New Roman"/>
                <w:sz w:val="20"/>
                <w:szCs w:val="20"/>
              </w:rPr>
            </w:pPr>
          </w:p>
          <w:p w14:paraId="7564CD92"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2F5586" w14:textId="77777777" w:rsidR="00E00B0A" w:rsidRPr="00E00B0A" w:rsidRDefault="00E00B0A" w:rsidP="00FD0915">
            <w:pPr>
              <w:jc w:val="center"/>
              <w:rPr>
                <w:rFonts w:ascii="Times New Roman" w:hAnsi="Times New Roman" w:cs="Times New Roman"/>
                <w:sz w:val="20"/>
                <w:szCs w:val="20"/>
              </w:rPr>
            </w:pPr>
          </w:p>
          <w:p w14:paraId="2DF0B658"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901E72" w14:textId="77777777" w:rsidR="00E00B0A" w:rsidRPr="00E00B0A" w:rsidRDefault="00E00B0A" w:rsidP="00FD0915">
            <w:pPr>
              <w:jc w:val="center"/>
              <w:rPr>
                <w:rFonts w:ascii="Times New Roman" w:hAnsi="Times New Roman" w:cs="Times New Roman"/>
                <w:sz w:val="20"/>
                <w:szCs w:val="20"/>
              </w:rPr>
            </w:pPr>
          </w:p>
          <w:p w14:paraId="61ECB209"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76ED11" w14:textId="77777777" w:rsidR="00E00B0A" w:rsidRPr="00E00B0A" w:rsidRDefault="00E00B0A" w:rsidP="00FD0915">
            <w:pPr>
              <w:jc w:val="center"/>
              <w:rPr>
                <w:rFonts w:ascii="Times New Roman" w:hAnsi="Times New Roman" w:cs="Times New Roman"/>
                <w:sz w:val="20"/>
                <w:szCs w:val="20"/>
              </w:rPr>
            </w:pPr>
          </w:p>
          <w:p w14:paraId="7D71914B"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DFEE93" w14:textId="77777777" w:rsidR="00E00B0A" w:rsidRPr="00E00B0A" w:rsidRDefault="00E00B0A" w:rsidP="00FD0915">
            <w:pPr>
              <w:jc w:val="center"/>
              <w:rPr>
                <w:rFonts w:ascii="Times New Roman" w:hAnsi="Times New Roman" w:cs="Times New Roman"/>
                <w:sz w:val="20"/>
                <w:szCs w:val="20"/>
              </w:rPr>
            </w:pPr>
          </w:p>
          <w:p w14:paraId="11D0287D"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r>
      <w:tr w:rsidR="00E00B0A" w:rsidRPr="00E00B0A" w14:paraId="20502957" w14:textId="77777777" w:rsidTr="00FD0915">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71B6C8" w14:textId="77777777" w:rsidR="00E00B0A" w:rsidRPr="00E00B0A" w:rsidRDefault="00E00B0A" w:rsidP="00FD0915">
            <w:pPr>
              <w:rPr>
                <w:rFonts w:ascii="Times New Roman" w:hAnsi="Times New Roman" w:cs="Times New Roman"/>
                <w:sz w:val="20"/>
                <w:szCs w:val="20"/>
              </w:rPr>
            </w:pPr>
            <w:r w:rsidRPr="00E00B0A">
              <w:rPr>
                <w:rFonts w:ascii="Times New Roman" w:hAnsi="Times New Roman" w:cs="Times New Roman"/>
                <w:color w:val="000000"/>
                <w:sz w:val="20"/>
                <w:szCs w:val="20"/>
              </w:rPr>
              <w:t>VCI</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7DE15C"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3B63EF"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7595AC"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FBDD1F"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5ECED8"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832138E"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24F552"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E41040"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r>
      <w:tr w:rsidR="00E00B0A" w:rsidRPr="00E00B0A" w14:paraId="5FC00A37" w14:textId="77777777" w:rsidTr="00FD0915">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4EAA06" w14:textId="77777777" w:rsidR="00E00B0A" w:rsidRPr="00E00B0A" w:rsidRDefault="00E00B0A" w:rsidP="00FD0915">
            <w:pPr>
              <w:rPr>
                <w:rFonts w:ascii="Times New Roman" w:hAnsi="Times New Roman" w:cs="Times New Roman"/>
                <w:sz w:val="20"/>
                <w:szCs w:val="20"/>
              </w:rPr>
            </w:pPr>
            <w:r w:rsidRPr="00E00B0A">
              <w:rPr>
                <w:rFonts w:ascii="Times New Roman" w:hAnsi="Times New Roman" w:cs="Times New Roman"/>
                <w:color w:val="000000"/>
                <w:sz w:val="20"/>
                <w:szCs w:val="20"/>
              </w:rPr>
              <w:t>C:N</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DD8397"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0E28C6"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3F0393"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7921D4"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138C92"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048C9E"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933921"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037583"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r>
      <w:tr w:rsidR="00E00B0A" w:rsidRPr="00E00B0A" w14:paraId="0CE8C0D9" w14:textId="77777777" w:rsidTr="00FD0915">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54C1D6" w14:textId="77777777" w:rsidR="00E00B0A" w:rsidRPr="00E00B0A" w:rsidRDefault="00E00B0A" w:rsidP="00FD0915">
            <w:pPr>
              <w:rPr>
                <w:rFonts w:ascii="Times New Roman" w:hAnsi="Times New Roman" w:cs="Times New Roman"/>
                <w:sz w:val="20"/>
                <w:szCs w:val="20"/>
              </w:rPr>
            </w:pPr>
            <w:r w:rsidRPr="00E00B0A">
              <w:rPr>
                <w:rFonts w:ascii="Times New Roman" w:hAnsi="Times New Roman" w:cs="Times New Roman"/>
                <w:color w:val="000000"/>
                <w:sz w:val="20"/>
                <w:szCs w:val="20"/>
              </w:rPr>
              <w:t>pH</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F9D111F"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sym w:font="Symbol" w:char="F062"/>
            </w:r>
            <w:r w:rsidRPr="00E00B0A">
              <w:rPr>
                <w:rFonts w:ascii="Times New Roman" w:hAnsi="Times New Roman" w:cs="Times New Roman"/>
                <w:sz w:val="20"/>
                <w:szCs w:val="20"/>
              </w:rPr>
              <w:t>= 0.43</w:t>
            </w:r>
          </w:p>
          <w:p w14:paraId="47A6BF0F"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p= 0.04</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FC7265" w14:textId="77777777" w:rsidR="00E00B0A" w:rsidRPr="00E00B0A" w:rsidRDefault="00E00B0A" w:rsidP="00FD0915">
            <w:pPr>
              <w:jc w:val="center"/>
              <w:rPr>
                <w:rFonts w:ascii="Times New Roman" w:hAnsi="Times New Roman" w:cs="Times New Roman"/>
                <w:sz w:val="20"/>
                <w:szCs w:val="20"/>
              </w:rPr>
            </w:pPr>
          </w:p>
          <w:p w14:paraId="09BD85A1"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BC2B68"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sym w:font="Symbol" w:char="F062"/>
            </w:r>
            <w:r w:rsidRPr="00E00B0A">
              <w:rPr>
                <w:rFonts w:ascii="Times New Roman" w:hAnsi="Times New Roman" w:cs="Times New Roman"/>
                <w:sz w:val="20"/>
                <w:szCs w:val="20"/>
              </w:rPr>
              <w:t>= 0.59</w:t>
            </w:r>
          </w:p>
          <w:p w14:paraId="3BDA1E48"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p= 0.002</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C88068" w14:textId="77777777" w:rsidR="00E00B0A" w:rsidRPr="00E00B0A" w:rsidRDefault="00E00B0A" w:rsidP="00FD0915">
            <w:pPr>
              <w:jc w:val="center"/>
              <w:rPr>
                <w:rFonts w:ascii="Times New Roman" w:hAnsi="Times New Roman" w:cs="Times New Roman"/>
                <w:sz w:val="20"/>
                <w:szCs w:val="20"/>
              </w:rPr>
            </w:pPr>
          </w:p>
          <w:p w14:paraId="5BF2DDDC"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F363716" w14:textId="77777777" w:rsidR="00E00B0A" w:rsidRPr="00E00B0A" w:rsidRDefault="00E00B0A" w:rsidP="00FD0915">
            <w:pPr>
              <w:jc w:val="center"/>
              <w:rPr>
                <w:rFonts w:ascii="Times New Roman" w:hAnsi="Times New Roman" w:cs="Times New Roman"/>
                <w:sz w:val="20"/>
                <w:szCs w:val="20"/>
              </w:rPr>
            </w:pPr>
          </w:p>
          <w:p w14:paraId="2DEC0BA1"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386E1A6" w14:textId="77777777" w:rsidR="00E00B0A" w:rsidRPr="00E00B0A" w:rsidRDefault="00E00B0A" w:rsidP="00FD0915">
            <w:pPr>
              <w:jc w:val="center"/>
              <w:rPr>
                <w:rFonts w:ascii="Times New Roman" w:hAnsi="Times New Roman" w:cs="Times New Roman"/>
                <w:sz w:val="20"/>
                <w:szCs w:val="20"/>
              </w:rPr>
            </w:pPr>
          </w:p>
          <w:p w14:paraId="788B860D"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A29E61"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sym w:font="Symbol" w:char="F062"/>
            </w:r>
            <w:r w:rsidRPr="00E00B0A">
              <w:rPr>
                <w:rFonts w:ascii="Times New Roman" w:hAnsi="Times New Roman" w:cs="Times New Roman"/>
                <w:sz w:val="20"/>
                <w:szCs w:val="20"/>
              </w:rPr>
              <w:t>= 0.63</w:t>
            </w:r>
          </w:p>
          <w:p w14:paraId="48A2BA3E"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p= 0.013</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CFAF8C" w14:textId="77777777" w:rsidR="00E00B0A" w:rsidRPr="00E00B0A" w:rsidRDefault="00E00B0A" w:rsidP="00FD0915">
            <w:pPr>
              <w:jc w:val="center"/>
              <w:rPr>
                <w:rFonts w:ascii="Times New Roman" w:hAnsi="Times New Roman" w:cs="Times New Roman"/>
                <w:sz w:val="20"/>
                <w:szCs w:val="20"/>
              </w:rPr>
            </w:pPr>
          </w:p>
          <w:p w14:paraId="2B8E4B3A"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r>
      <w:tr w:rsidR="00E00B0A" w:rsidRPr="00E00B0A" w14:paraId="781F9E8C" w14:textId="77777777" w:rsidTr="00FD0915">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3AF0F7" w14:textId="77777777" w:rsidR="00E00B0A" w:rsidRPr="00E00B0A" w:rsidRDefault="00E00B0A" w:rsidP="00FD0915">
            <w:pPr>
              <w:rPr>
                <w:rFonts w:ascii="Times New Roman" w:hAnsi="Times New Roman" w:cs="Times New Roman"/>
                <w:sz w:val="20"/>
                <w:szCs w:val="20"/>
              </w:rPr>
            </w:pPr>
            <w:proofErr w:type="spellStart"/>
            <w:r w:rsidRPr="00E00B0A">
              <w:rPr>
                <w:rFonts w:ascii="Times New Roman" w:hAnsi="Times New Roman" w:cs="Times New Roman"/>
                <w:color w:val="000000"/>
                <w:sz w:val="20"/>
                <w:szCs w:val="20"/>
              </w:rPr>
              <w:t>Fe</w:t>
            </w:r>
            <w:r w:rsidRPr="00E00B0A">
              <w:rPr>
                <w:rFonts w:ascii="Times New Roman" w:hAnsi="Times New Roman" w:cs="Times New Roman"/>
                <w:color w:val="000000"/>
                <w:sz w:val="20"/>
                <w:szCs w:val="20"/>
                <w:vertAlign w:val="subscript"/>
              </w:rPr>
              <w:t>Ox</w:t>
            </w:r>
            <w:proofErr w:type="spellEnd"/>
            <w:r w:rsidRPr="00E00B0A">
              <w:rPr>
                <w:rFonts w:ascii="Times New Roman" w:hAnsi="Times New Roman" w:cs="Times New Roman"/>
                <w:color w:val="000000"/>
                <w:sz w:val="20"/>
                <w:szCs w:val="20"/>
              </w:rPr>
              <w:t xml:space="preserve"> (percent)</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83B0D0B"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704C9E"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381946"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2E5E08"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DA3D4F"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6EE8D4"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E6BA7F"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8D7DCB"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r>
      <w:tr w:rsidR="00E00B0A" w:rsidRPr="00E00B0A" w14:paraId="1B07C937" w14:textId="77777777" w:rsidTr="00FD0915">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125DD6" w14:textId="77777777" w:rsidR="00E00B0A" w:rsidRPr="00E00B0A" w:rsidRDefault="00E00B0A" w:rsidP="00FD0915">
            <w:pPr>
              <w:rPr>
                <w:rFonts w:ascii="Times New Roman" w:hAnsi="Times New Roman" w:cs="Times New Roman"/>
                <w:b/>
                <w:bCs/>
                <w:color w:val="000000"/>
                <w:sz w:val="20"/>
                <w:szCs w:val="20"/>
              </w:rPr>
            </w:pPr>
            <w:r w:rsidRPr="00E00B0A">
              <w:rPr>
                <w:rFonts w:ascii="Times New Roman" w:hAnsi="Times New Roman" w:cs="Times New Roman"/>
                <w:b/>
                <w:bCs/>
                <w:color w:val="000000"/>
                <w:sz w:val="20"/>
                <w:szCs w:val="20"/>
              </w:rPr>
              <w:t>Random Effects</w:t>
            </w:r>
          </w:p>
        </w:tc>
        <w:tc>
          <w:tcPr>
            <w:tcW w:w="9026" w:type="dxa"/>
            <w:gridSpan w:val="8"/>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BA6DA0D" w14:textId="77777777" w:rsidR="00E00B0A" w:rsidRPr="00E00B0A" w:rsidRDefault="00E00B0A" w:rsidP="00FD0915">
            <w:pPr>
              <w:jc w:val="center"/>
              <w:rPr>
                <w:rFonts w:ascii="Times New Roman" w:hAnsi="Times New Roman" w:cs="Times New Roman"/>
                <w:sz w:val="20"/>
                <w:szCs w:val="20"/>
              </w:rPr>
            </w:pPr>
          </w:p>
        </w:tc>
      </w:tr>
      <w:tr w:rsidR="00E00B0A" w:rsidRPr="00E00B0A" w14:paraId="44E7DCDD" w14:textId="77777777" w:rsidTr="00FD0915">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BF0811" w14:textId="77777777" w:rsidR="00E00B0A" w:rsidRPr="00E00B0A" w:rsidRDefault="00E00B0A" w:rsidP="00FD0915">
            <w:pPr>
              <w:rPr>
                <w:rFonts w:ascii="Times New Roman" w:hAnsi="Times New Roman" w:cs="Times New Roman"/>
                <w:color w:val="000000"/>
                <w:sz w:val="20"/>
                <w:szCs w:val="20"/>
              </w:rPr>
            </w:pPr>
            <w:r w:rsidRPr="00E00B0A">
              <w:rPr>
                <w:rFonts w:ascii="Times New Roman" w:hAnsi="Times New Roman" w:cs="Times New Roman"/>
                <w:color w:val="000000"/>
                <w:sz w:val="20"/>
                <w:szCs w:val="20"/>
              </w:rPr>
              <w:t>ICC</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A539C8"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0.00</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0A6A40C"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0.03</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3F0138A"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0.00</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C2A4AEE"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0.00</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D8981D5"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0.02</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F46CA3B"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0.00</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C90B07"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0.00</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0B90454"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0.00</w:t>
            </w:r>
          </w:p>
        </w:tc>
      </w:tr>
      <w:tr w:rsidR="00E00B0A" w:rsidRPr="00E00B0A" w14:paraId="13C7E0C1" w14:textId="77777777" w:rsidTr="00FD0915">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E10D5AB" w14:textId="77777777" w:rsidR="00E00B0A" w:rsidRPr="00E00B0A" w:rsidRDefault="00E00B0A" w:rsidP="00FD0915">
            <w:pPr>
              <w:rPr>
                <w:rFonts w:ascii="Times New Roman" w:hAnsi="Times New Roman" w:cs="Times New Roman"/>
                <w:color w:val="000000"/>
                <w:sz w:val="20"/>
                <w:szCs w:val="20"/>
                <w:vertAlign w:val="superscript"/>
              </w:rPr>
            </w:pPr>
            <w:r w:rsidRPr="00E00B0A">
              <w:rPr>
                <w:rFonts w:ascii="Times New Roman" w:hAnsi="Times New Roman" w:cs="Times New Roman"/>
                <w:color w:val="000000"/>
                <w:sz w:val="20"/>
                <w:szCs w:val="20"/>
              </w:rPr>
              <w:t>Marginal R</w:t>
            </w:r>
            <w:r w:rsidRPr="00E00B0A">
              <w:rPr>
                <w:rFonts w:ascii="Times New Roman" w:hAnsi="Times New Roman" w:cs="Times New Roman"/>
                <w:color w:val="000000"/>
                <w:sz w:val="20"/>
                <w:szCs w:val="20"/>
                <w:vertAlign w:val="superscript"/>
              </w:rPr>
              <w:t>2</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E1AA42"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0.447</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A4D751B"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0.434</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8923917"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0.589</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CA50E9A"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0.333</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32E35AF"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0.277</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CE71A2"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0.203</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0EA45BE"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0.427</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6826775"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0.764</w:t>
            </w:r>
          </w:p>
        </w:tc>
      </w:tr>
      <w:tr w:rsidR="00E00B0A" w:rsidRPr="00E00B0A" w14:paraId="2554EFE4" w14:textId="77777777" w:rsidTr="00FD0915">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05F924" w14:textId="77777777" w:rsidR="00E00B0A" w:rsidRPr="00E00B0A" w:rsidRDefault="00E00B0A" w:rsidP="00FD0915">
            <w:pPr>
              <w:rPr>
                <w:rFonts w:ascii="Times New Roman" w:hAnsi="Times New Roman" w:cs="Times New Roman"/>
                <w:color w:val="000000"/>
                <w:sz w:val="20"/>
                <w:szCs w:val="20"/>
                <w:vertAlign w:val="superscript"/>
              </w:rPr>
            </w:pPr>
            <w:r w:rsidRPr="00E00B0A">
              <w:rPr>
                <w:rFonts w:ascii="Times New Roman" w:hAnsi="Times New Roman" w:cs="Times New Roman"/>
                <w:color w:val="000000"/>
                <w:sz w:val="20"/>
                <w:szCs w:val="20"/>
              </w:rPr>
              <w:t>Conditional R</w:t>
            </w:r>
            <w:r w:rsidRPr="00E00B0A">
              <w:rPr>
                <w:rFonts w:ascii="Times New Roman" w:hAnsi="Times New Roman" w:cs="Times New Roman"/>
                <w:color w:val="000000"/>
                <w:sz w:val="20"/>
                <w:szCs w:val="20"/>
                <w:vertAlign w:val="superscript"/>
              </w:rPr>
              <w:t>2</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33E0A6"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0.447</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73E22D7"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0.452</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CB401C"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0.589</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167603F"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0.333</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5E3FDEB"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0.294</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910094"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0.203</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3D0104D"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0.427</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00E07FB"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0.764</w:t>
            </w:r>
          </w:p>
        </w:tc>
      </w:tr>
    </w:tbl>
    <w:p w14:paraId="3FC7B4B8" w14:textId="4683D126" w:rsidR="00E00B0A" w:rsidRDefault="00E00B0A"/>
    <w:p w14:paraId="678FB352" w14:textId="77777777" w:rsidR="00E00B0A" w:rsidRDefault="00E00B0A" w:rsidP="00E00B0A"/>
    <w:p w14:paraId="25617268" w14:textId="77777777" w:rsidR="00E00B0A" w:rsidRDefault="00E00B0A" w:rsidP="00E00B0A"/>
    <w:p w14:paraId="05579DAC" w14:textId="77777777" w:rsidR="00E00B0A" w:rsidRDefault="00E00B0A" w:rsidP="00E00B0A"/>
    <w:p w14:paraId="087ADF20" w14:textId="266ED7C0" w:rsidR="00E00B0A" w:rsidRPr="00E00B0A" w:rsidRDefault="00E00B0A" w:rsidP="00E00B0A">
      <w:pPr>
        <w:rPr>
          <w:rFonts w:ascii="Times New Roman" w:hAnsi="Times New Roman" w:cs="Times New Roman"/>
        </w:rPr>
      </w:pPr>
      <w:r w:rsidRPr="00E00B0A">
        <w:rPr>
          <w:rFonts w:ascii="Times New Roman" w:hAnsi="Times New Roman" w:cs="Times New Roman"/>
          <w:b/>
          <w:bCs/>
        </w:rPr>
        <w:lastRenderedPageBreak/>
        <w:t>Table S2.</w:t>
      </w:r>
      <w:r w:rsidRPr="00E00B0A">
        <w:rPr>
          <w:rFonts w:ascii="Times New Roman" w:hAnsi="Times New Roman" w:cs="Times New Roman"/>
        </w:rPr>
        <w:t xml:space="preserve"> </w:t>
      </w:r>
      <w:r w:rsidRPr="00E00B0A">
        <w:rPr>
          <w:rFonts w:ascii="Times New Roman" w:hAnsi="Times New Roman" w:cs="Times New Roman"/>
          <w:color w:val="000000"/>
        </w:rPr>
        <w:t>Relative variation in microbial community composition (beta diversity) explained by structural diversity and individual environmental predictors within variable groups presented in Figure 4. Values calculated using a distance-based redundancy analysis after accounting for spatial arrangement of study plots. X</w:t>
      </w:r>
      <w:r w:rsidRPr="00E00B0A">
        <w:rPr>
          <w:rFonts w:ascii="Times New Roman" w:hAnsi="Times New Roman" w:cs="Times New Roman"/>
          <w:color w:val="000000"/>
          <w:vertAlign w:val="superscript"/>
        </w:rPr>
        <w:t>2</w:t>
      </w:r>
      <w:r w:rsidRPr="00E00B0A">
        <w:rPr>
          <w:rFonts w:ascii="Times New Roman" w:hAnsi="Times New Roman" w:cs="Times New Roman"/>
          <w:color w:val="000000"/>
        </w:rPr>
        <w:t xml:space="preserve"> and p values are reported only for a predictor that explains significant variation in the community composition at α= 0.05.</w:t>
      </w:r>
    </w:p>
    <w:tbl>
      <w:tblPr>
        <w:tblpPr w:leftFromText="180" w:rightFromText="180" w:vertAnchor="page" w:horzAnchor="margin" w:tblpY="3152"/>
        <w:tblW w:w="10170" w:type="dxa"/>
        <w:tblLayout w:type="fixed"/>
        <w:tblCellMar>
          <w:left w:w="0" w:type="dxa"/>
          <w:right w:w="0" w:type="dxa"/>
        </w:tblCellMar>
        <w:tblLook w:val="04A0" w:firstRow="1" w:lastRow="0" w:firstColumn="1" w:lastColumn="0" w:noHBand="0" w:noVBand="1"/>
      </w:tblPr>
      <w:tblGrid>
        <w:gridCol w:w="810"/>
        <w:gridCol w:w="1260"/>
        <w:gridCol w:w="1080"/>
        <w:gridCol w:w="990"/>
        <w:gridCol w:w="990"/>
        <w:gridCol w:w="990"/>
        <w:gridCol w:w="1080"/>
        <w:gridCol w:w="990"/>
        <w:gridCol w:w="990"/>
        <w:gridCol w:w="990"/>
      </w:tblGrid>
      <w:tr w:rsidR="00E00B0A" w:rsidRPr="00841F89" w14:paraId="63B59440" w14:textId="77777777" w:rsidTr="00E00B0A">
        <w:trPr>
          <w:trHeight w:val="249"/>
        </w:trPr>
        <w:tc>
          <w:tcPr>
            <w:tcW w:w="81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E8601E5" w14:textId="77777777" w:rsidR="00E00B0A" w:rsidRPr="00841F89" w:rsidRDefault="00E00B0A" w:rsidP="00E00B0A">
            <w:pPr>
              <w:ind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Group</w:t>
            </w:r>
          </w:p>
        </w:tc>
        <w:tc>
          <w:tcPr>
            <w:tcW w:w="126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60364BD" w14:textId="77777777" w:rsidR="00E00B0A" w:rsidRPr="00841F89" w:rsidRDefault="00E00B0A" w:rsidP="00E00B0A">
            <w:pPr>
              <w:ind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Variable</w:t>
            </w:r>
          </w:p>
        </w:tc>
        <w:tc>
          <w:tcPr>
            <w:tcW w:w="4050" w:type="dxa"/>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B3C897E"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0-5 cm</w:t>
            </w:r>
          </w:p>
        </w:tc>
        <w:tc>
          <w:tcPr>
            <w:tcW w:w="4050" w:type="dxa"/>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C7370A7"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5-10 cm</w:t>
            </w:r>
          </w:p>
        </w:tc>
      </w:tr>
      <w:tr w:rsidR="00E00B0A" w:rsidRPr="00841F89" w14:paraId="440E0BC8" w14:textId="77777777" w:rsidTr="00E00B0A">
        <w:trPr>
          <w:trHeight w:val="455"/>
        </w:trPr>
        <w:tc>
          <w:tcPr>
            <w:tcW w:w="81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805566F" w14:textId="77777777" w:rsidR="00E00B0A" w:rsidRPr="00841F89" w:rsidRDefault="00E00B0A" w:rsidP="00E00B0A">
            <w:pPr>
              <w:rPr>
                <w:rFonts w:ascii="Times New Roman" w:eastAsia="Times New Roman" w:hAnsi="Times New Roman" w:cs="Times New Roman"/>
                <w:sz w:val="20"/>
                <w:szCs w:val="20"/>
              </w:rPr>
            </w:pPr>
          </w:p>
        </w:tc>
        <w:tc>
          <w:tcPr>
            <w:tcW w:w="126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FD1AB7B" w14:textId="77777777" w:rsidR="00E00B0A" w:rsidRPr="00841F89" w:rsidRDefault="00E00B0A" w:rsidP="00E00B0A">
            <w:pPr>
              <w:rPr>
                <w:rFonts w:ascii="Times New Roman" w:eastAsia="Times New Roman" w:hAnsi="Times New Roman" w:cs="Times New Roman"/>
                <w:sz w:val="20"/>
                <w:szCs w:val="20"/>
              </w:rPr>
            </w:pP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9AC4846"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Bacteria</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15DA747" w14:textId="77777777" w:rsidR="00E00B0A" w:rsidRPr="00841F89" w:rsidRDefault="00E00B0A" w:rsidP="00E00B0A">
            <w:pPr>
              <w:ind w:left="140" w:right="140"/>
              <w:jc w:val="center"/>
              <w:rPr>
                <w:rFonts w:ascii="Times New Roman" w:eastAsia="Times New Roman" w:hAnsi="Times New Roman" w:cs="Times New Roman"/>
                <w:b/>
                <w:bCs/>
                <w:color w:val="000000"/>
                <w:sz w:val="20"/>
                <w:szCs w:val="20"/>
              </w:rPr>
            </w:pPr>
            <w:r w:rsidRPr="00841F89">
              <w:rPr>
                <w:rFonts w:ascii="Times New Roman" w:eastAsia="Times New Roman" w:hAnsi="Times New Roman" w:cs="Times New Roman"/>
                <w:b/>
                <w:bCs/>
                <w:color w:val="000000"/>
                <w:sz w:val="20"/>
                <w:szCs w:val="20"/>
              </w:rPr>
              <w:t>Total</w:t>
            </w:r>
          </w:p>
          <w:p w14:paraId="60E746C0"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Fungi</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3922C89"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AMF</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9C3561E"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EMF</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5CB8847"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Bacteria</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C37DB4B"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Total Fungi</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5E49B5F"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AMF</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E295E28"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EMF</w:t>
            </w:r>
          </w:p>
        </w:tc>
      </w:tr>
      <w:tr w:rsidR="00E00B0A" w:rsidRPr="00841F89" w14:paraId="1705F729" w14:textId="77777777" w:rsidTr="00E00B0A">
        <w:trPr>
          <w:trHeight w:val="690"/>
        </w:trPr>
        <w:tc>
          <w:tcPr>
            <w:tcW w:w="81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extDirection w:val="btLr"/>
            <w:hideMark/>
          </w:tcPr>
          <w:p w14:paraId="69E6DD2F"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Structural diversity</w:t>
            </w: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8C032A2" w14:textId="77777777" w:rsidR="00E00B0A" w:rsidRPr="00841F89" w:rsidRDefault="00E00B0A" w:rsidP="00E00B0A">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Vert SD</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0635388"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D886AB6"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572ADF2"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B87F0FC"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12.2</w:t>
            </w:r>
          </w:p>
          <w:p w14:paraId="1934C5BF"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892EDD5"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7BAB5C1"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0DBA1DA"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4DD01E2"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33.2</w:t>
            </w:r>
          </w:p>
          <w:p w14:paraId="5D9E2533"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r>
      <w:tr w:rsidR="00E00B0A" w:rsidRPr="00841F89" w14:paraId="0EE85FF9" w14:textId="77777777" w:rsidTr="00E00B0A">
        <w:trPr>
          <w:trHeight w:val="564"/>
        </w:trPr>
        <w:tc>
          <w:tcPr>
            <w:tcW w:w="81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extDirection w:val="btLr"/>
            <w:hideMark/>
          </w:tcPr>
          <w:p w14:paraId="5AE7AD5E" w14:textId="77777777" w:rsidR="00E00B0A" w:rsidRPr="00841F89" w:rsidRDefault="00E00B0A" w:rsidP="00E00B0A">
            <w:pPr>
              <w:ind w:left="113" w:right="113"/>
              <w:jc w:val="center"/>
              <w:rPr>
                <w:rFonts w:ascii="Times New Roman" w:eastAsia="Times New Roman" w:hAnsi="Times New Roman" w:cs="Times New Roman"/>
                <w:sz w:val="20"/>
                <w:szCs w:val="20"/>
              </w:rPr>
            </w:pP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4F2E850" w14:textId="77777777" w:rsidR="00E00B0A" w:rsidRPr="00841F89" w:rsidRDefault="00E00B0A" w:rsidP="00E00B0A">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VAI</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5C6ED85"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B930AD0"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312C560"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22AB870" w14:textId="77777777" w:rsidR="00E00B0A" w:rsidRPr="00841F89" w:rsidRDefault="00E00B0A" w:rsidP="00E00B0A">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27.4</w:t>
            </w:r>
          </w:p>
          <w:p w14:paraId="3BF25BE2"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BBBCA9B"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E5888E1"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5880125"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DA0C760"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37.6</w:t>
            </w:r>
          </w:p>
          <w:p w14:paraId="5C0D8D08"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r>
      <w:tr w:rsidR="00E00B0A" w:rsidRPr="00841F89" w14:paraId="54BD24BD" w14:textId="77777777" w:rsidTr="00E00B0A">
        <w:trPr>
          <w:trHeight w:val="556"/>
        </w:trPr>
        <w:tc>
          <w:tcPr>
            <w:tcW w:w="81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extDirection w:val="btLr"/>
            <w:hideMark/>
          </w:tcPr>
          <w:p w14:paraId="03B694CC" w14:textId="77777777" w:rsidR="00E00B0A" w:rsidRPr="00841F89" w:rsidRDefault="00E00B0A" w:rsidP="00E00B0A">
            <w:pPr>
              <w:ind w:left="113" w:right="113"/>
              <w:jc w:val="center"/>
              <w:rPr>
                <w:rFonts w:ascii="Times New Roman" w:eastAsia="Times New Roman" w:hAnsi="Times New Roman" w:cs="Times New Roman"/>
                <w:sz w:val="20"/>
                <w:szCs w:val="20"/>
              </w:rPr>
            </w:pP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E771893" w14:textId="77777777" w:rsidR="00E00B0A" w:rsidRPr="00841F89" w:rsidRDefault="00E00B0A" w:rsidP="00E00B0A">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VCI</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9F6774D"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F4B8BC7"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11.2</w:t>
            </w:r>
          </w:p>
          <w:p w14:paraId="203E4416"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FC6BDF6"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6724229"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860F6C8"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AE85955"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EB7E353"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F98D1FF"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r>
      <w:tr w:rsidR="00E00B0A" w:rsidRPr="00841F89" w14:paraId="4ECD8BB7" w14:textId="77777777" w:rsidTr="00E00B0A">
        <w:trPr>
          <w:trHeight w:val="636"/>
        </w:trPr>
        <w:tc>
          <w:tcPr>
            <w:tcW w:w="81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extDirection w:val="btLr"/>
            <w:hideMark/>
          </w:tcPr>
          <w:p w14:paraId="77373F4C"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Tree diversity</w:t>
            </w: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D84423E" w14:textId="77777777" w:rsidR="00E00B0A" w:rsidRPr="00841F89" w:rsidRDefault="00E00B0A" w:rsidP="00E00B0A">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Tree richness</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5EE1345"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9663A99"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1E2D539"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61ADD26"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49.4</w:t>
            </w:r>
          </w:p>
          <w:p w14:paraId="6FA2D4F1"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4D00F18"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CDFFB23"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7B24B60"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E027DAA"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56.6</w:t>
            </w:r>
          </w:p>
          <w:p w14:paraId="609BA9CA"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r>
      <w:tr w:rsidR="00E00B0A" w:rsidRPr="00841F89" w14:paraId="4E02A284" w14:textId="77777777" w:rsidTr="00E00B0A">
        <w:trPr>
          <w:trHeight w:val="799"/>
        </w:trPr>
        <w:tc>
          <w:tcPr>
            <w:tcW w:w="81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extDirection w:val="btLr"/>
            <w:hideMark/>
          </w:tcPr>
          <w:p w14:paraId="3E75C372" w14:textId="77777777" w:rsidR="00E00B0A" w:rsidRPr="00841F89" w:rsidRDefault="00E00B0A" w:rsidP="00E00B0A">
            <w:pPr>
              <w:ind w:left="113" w:right="113"/>
              <w:jc w:val="center"/>
              <w:rPr>
                <w:rFonts w:ascii="Times New Roman" w:eastAsia="Times New Roman" w:hAnsi="Times New Roman" w:cs="Times New Roman"/>
                <w:sz w:val="20"/>
                <w:szCs w:val="20"/>
              </w:rPr>
            </w:pP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6D7CFB2" w14:textId="77777777" w:rsidR="00E00B0A" w:rsidRPr="00841F89" w:rsidRDefault="00E00B0A" w:rsidP="00E00B0A">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AM dominance</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047ACFD"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12.1</w:t>
            </w:r>
          </w:p>
          <w:p w14:paraId="38C45122"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E695C6B"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15.5</w:t>
            </w:r>
          </w:p>
          <w:p w14:paraId="0B0B5143"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C392964"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7F5C80E"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29.5</w:t>
            </w:r>
          </w:p>
          <w:p w14:paraId="3B089C0D"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45765D4"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17.2</w:t>
            </w:r>
          </w:p>
          <w:p w14:paraId="37EA5E51"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5311D46"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14.7</w:t>
            </w:r>
          </w:p>
          <w:p w14:paraId="383CC3B9"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E2D5A04"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22.7</w:t>
            </w:r>
          </w:p>
          <w:p w14:paraId="7CE2FBB4"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ADF27B2"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r>
      <w:tr w:rsidR="00E00B0A" w:rsidRPr="00841F89" w14:paraId="0B4F7E41" w14:textId="77777777" w:rsidTr="00E00B0A">
        <w:trPr>
          <w:trHeight w:val="960"/>
        </w:trPr>
        <w:tc>
          <w:tcPr>
            <w:tcW w:w="81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extDirection w:val="btLr"/>
            <w:hideMark/>
          </w:tcPr>
          <w:p w14:paraId="56218D66" w14:textId="77777777" w:rsidR="00E00B0A" w:rsidRPr="00841F89" w:rsidRDefault="00E00B0A" w:rsidP="00E00B0A">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Stand properties</w:t>
            </w: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03A6E06" w14:textId="77777777" w:rsidR="00E00B0A" w:rsidRPr="00841F89" w:rsidRDefault="00E00B0A" w:rsidP="00E00B0A">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BAI</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C9BD291"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0E9DE37"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6FEC024"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61E0EF3"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A30735E"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FC6B6FE"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566D995"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5B60284" w14:textId="77777777" w:rsidR="00E00B0A" w:rsidRPr="00841F89" w:rsidRDefault="00E00B0A" w:rsidP="00E00B0A">
            <w:pPr>
              <w:ind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89.5</w:t>
            </w:r>
          </w:p>
          <w:p w14:paraId="128B768B"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r>
      <w:tr w:rsidR="00E00B0A" w:rsidRPr="00841F89" w14:paraId="330AFD3C" w14:textId="77777777" w:rsidTr="00E00B0A">
        <w:trPr>
          <w:trHeight w:val="690"/>
        </w:trPr>
        <w:tc>
          <w:tcPr>
            <w:tcW w:w="81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extDirection w:val="btLr"/>
            <w:hideMark/>
          </w:tcPr>
          <w:p w14:paraId="03AB293B" w14:textId="77777777" w:rsidR="00E00B0A" w:rsidRPr="00841F89" w:rsidRDefault="00E00B0A" w:rsidP="00E00B0A">
            <w:pPr>
              <w:ind w:left="113" w:right="113"/>
              <w:jc w:val="center"/>
              <w:rPr>
                <w:rFonts w:ascii="Times New Roman" w:eastAsia="Times New Roman" w:hAnsi="Times New Roman" w:cs="Times New Roman"/>
                <w:sz w:val="20"/>
                <w:szCs w:val="20"/>
              </w:rPr>
            </w:pP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85976F4" w14:textId="77777777" w:rsidR="00E00B0A" w:rsidRPr="00841F89" w:rsidRDefault="00E00B0A" w:rsidP="00E00B0A">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Stand age</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B354328"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55E518A"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E6AE649"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6115F79"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13.5</w:t>
            </w:r>
          </w:p>
          <w:p w14:paraId="1388A6D0"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C7424CB"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EB47889"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C80CBC1"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12.9</w:t>
            </w:r>
          </w:p>
          <w:p w14:paraId="3415767E"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66F8F46"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24.6</w:t>
            </w:r>
          </w:p>
          <w:p w14:paraId="70D83F8D"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r>
      <w:tr w:rsidR="00E00B0A" w:rsidRPr="00841F89" w14:paraId="3AAF04D8" w14:textId="77777777" w:rsidTr="00E00B0A">
        <w:trPr>
          <w:trHeight w:val="690"/>
        </w:trPr>
        <w:tc>
          <w:tcPr>
            <w:tcW w:w="81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extDirection w:val="btLr"/>
            <w:hideMark/>
          </w:tcPr>
          <w:p w14:paraId="47A1A7C2"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Soil properties</w:t>
            </w: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FADA9D3" w14:textId="77777777" w:rsidR="00E00B0A" w:rsidRPr="00841F89" w:rsidRDefault="00E00B0A" w:rsidP="00E00B0A">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C:N</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458D027"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:7.81</w:t>
            </w:r>
          </w:p>
          <w:p w14:paraId="3E365377"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p=0.005</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52CDA44"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52.0</w:t>
            </w:r>
          </w:p>
          <w:p w14:paraId="64BE3AF7"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0E914E2"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14.6</w:t>
            </w:r>
          </w:p>
          <w:p w14:paraId="38D3054F"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27F6E0F"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333</w:t>
            </w:r>
          </w:p>
          <w:p w14:paraId="3DADFE6E"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70698A7" w14:textId="77777777" w:rsidR="00E00B0A" w:rsidRPr="00841F89" w:rsidRDefault="00E00B0A" w:rsidP="00E00B0A">
            <w:pPr>
              <w:ind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38.9</w:t>
            </w:r>
          </w:p>
          <w:p w14:paraId="331B1E94"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270DA6D"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84.2</w:t>
            </w:r>
          </w:p>
          <w:p w14:paraId="2E784617"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725A690"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76.3</w:t>
            </w:r>
          </w:p>
          <w:p w14:paraId="5A73C3B8"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62848C8"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188</w:t>
            </w:r>
          </w:p>
          <w:p w14:paraId="727CD973"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r>
      <w:tr w:rsidR="00E00B0A" w:rsidRPr="00841F89" w14:paraId="6BB06724" w14:textId="77777777" w:rsidTr="00E00B0A">
        <w:trPr>
          <w:trHeight w:val="663"/>
        </w:trPr>
        <w:tc>
          <w:tcPr>
            <w:tcW w:w="81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75993E1" w14:textId="77777777" w:rsidR="00E00B0A" w:rsidRPr="00841F89" w:rsidRDefault="00E00B0A" w:rsidP="00E00B0A">
            <w:pPr>
              <w:rPr>
                <w:rFonts w:ascii="Times New Roman" w:eastAsia="Times New Roman" w:hAnsi="Times New Roman" w:cs="Times New Roman"/>
                <w:sz w:val="20"/>
                <w:szCs w:val="20"/>
              </w:rPr>
            </w:pP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28B0E87" w14:textId="77777777" w:rsidR="00E00B0A" w:rsidRPr="00841F89" w:rsidRDefault="00E00B0A" w:rsidP="00E00B0A">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pH</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BB9518B"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143</w:t>
            </w:r>
          </w:p>
          <w:p w14:paraId="6F7A2F1D"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D6E61C6" w14:textId="77777777" w:rsidR="00E00B0A" w:rsidRPr="00841F89" w:rsidRDefault="00E00B0A" w:rsidP="00E00B0A">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9.27</w:t>
            </w:r>
          </w:p>
          <w:p w14:paraId="4EA9B4AE"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p=0.002</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F85698D"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166</w:t>
            </w:r>
          </w:p>
          <w:p w14:paraId="1C2F271C"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7FC0B54"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214</w:t>
            </w:r>
          </w:p>
          <w:p w14:paraId="7B4B6B28"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75ACEFA"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132</w:t>
            </w:r>
          </w:p>
          <w:p w14:paraId="11C30099"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0FAB4C5"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61.3</w:t>
            </w:r>
          </w:p>
          <w:p w14:paraId="2CF58C1C"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30CDDE5"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309</w:t>
            </w:r>
          </w:p>
          <w:p w14:paraId="7FA989B8"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615532D"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81.6</w:t>
            </w:r>
          </w:p>
          <w:p w14:paraId="1B24BE97"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r>
      <w:tr w:rsidR="00E00B0A" w:rsidRPr="00841F89" w14:paraId="0D591273" w14:textId="77777777" w:rsidTr="00E00B0A">
        <w:trPr>
          <w:trHeight w:val="600"/>
        </w:trPr>
        <w:tc>
          <w:tcPr>
            <w:tcW w:w="81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971CA6F" w14:textId="77777777" w:rsidR="00E00B0A" w:rsidRPr="00841F89" w:rsidRDefault="00E00B0A" w:rsidP="00E00B0A">
            <w:pPr>
              <w:rPr>
                <w:rFonts w:ascii="Times New Roman" w:eastAsia="Times New Roman" w:hAnsi="Times New Roman" w:cs="Times New Roman"/>
                <w:sz w:val="20"/>
                <w:szCs w:val="20"/>
              </w:rPr>
            </w:pP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D6FF5FD" w14:textId="77777777" w:rsidR="00E00B0A" w:rsidRPr="00841F89" w:rsidRDefault="00E00B0A" w:rsidP="00E00B0A">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 Fe</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B3CD9CD"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87C8715"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9.01</w:t>
            </w:r>
          </w:p>
          <w:p w14:paraId="6C5702E6"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p=0.028</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1171C53"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EA69636"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53.8</w:t>
            </w:r>
          </w:p>
          <w:p w14:paraId="67DD6B55"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46B944A"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E24B0C1"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27.2</w:t>
            </w:r>
          </w:p>
          <w:p w14:paraId="009D95BD"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8861AEC"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BC3B079"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155</w:t>
            </w:r>
          </w:p>
          <w:p w14:paraId="6D55BDA3"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r>
      <w:tr w:rsidR="00E00B0A" w:rsidRPr="00841F89" w14:paraId="5D133959" w14:textId="77777777" w:rsidTr="00E00B0A">
        <w:trPr>
          <w:trHeight w:val="530"/>
        </w:trPr>
        <w:tc>
          <w:tcPr>
            <w:tcW w:w="2070"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D257F8C" w14:textId="77777777" w:rsidR="00E00B0A" w:rsidRPr="00841F89" w:rsidRDefault="00E00B0A" w:rsidP="00E00B0A">
            <w:pPr>
              <w:ind w:left="140" w:right="140"/>
              <w:rPr>
                <w:rFonts w:ascii="Times New Roman" w:eastAsia="Times New Roman" w:hAnsi="Times New Roman" w:cs="Times New Roman"/>
                <w:sz w:val="20"/>
                <w:szCs w:val="20"/>
              </w:rPr>
            </w:pPr>
            <w:proofErr w:type="spellStart"/>
            <w:r w:rsidRPr="00841F89">
              <w:rPr>
                <w:rFonts w:ascii="Times New Roman" w:eastAsia="Times New Roman" w:hAnsi="Times New Roman" w:cs="Times New Roman"/>
                <w:color w:val="000000"/>
                <w:sz w:val="20"/>
                <w:szCs w:val="20"/>
              </w:rPr>
              <w:t>N</w:t>
            </w:r>
            <w:r w:rsidRPr="00841F89">
              <w:rPr>
                <w:rFonts w:ascii="Times New Roman" w:eastAsia="Times New Roman" w:hAnsi="Times New Roman" w:cs="Times New Roman"/>
                <w:color w:val="000000"/>
                <w:sz w:val="20"/>
                <w:szCs w:val="20"/>
                <w:vertAlign w:val="subscript"/>
              </w:rPr>
              <w:t>plots</w:t>
            </w:r>
            <w:proofErr w:type="spellEnd"/>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29AF96D"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36</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E5F7CB9"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37</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040B2E8"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38</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D1C1EC3"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36</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AD4E652"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34</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494BC92"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36</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912EC47"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36</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5FF4551"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36</w:t>
            </w:r>
          </w:p>
        </w:tc>
      </w:tr>
    </w:tbl>
    <w:p w14:paraId="5E457574" w14:textId="6CCE968E" w:rsidR="00E00B0A" w:rsidRDefault="00E00B0A"/>
    <w:p w14:paraId="4C72ADD0" w14:textId="63FDBC3D" w:rsidR="00E00B0A" w:rsidRDefault="00E00B0A"/>
    <w:p w14:paraId="182B5850" w14:textId="51E7BAF8" w:rsidR="00962E9A" w:rsidRDefault="00962E9A"/>
    <w:p w14:paraId="41FCA7FE" w14:textId="3A2B519A" w:rsidR="00962E9A" w:rsidRDefault="00962E9A">
      <w:r>
        <w:rPr>
          <w:rFonts w:ascii="Times New Roman" w:eastAsia="Times New Roman" w:hAnsi="Times New Roman" w:cs="Times New Roman"/>
          <w:noProof/>
        </w:rPr>
        <w:lastRenderedPageBreak/>
        <w:drawing>
          <wp:inline distT="114300" distB="114300" distL="114300" distR="114300" wp14:anchorId="7872682C" wp14:editId="7D4A2BB2">
            <wp:extent cx="5943600" cy="61595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
                    <a:srcRect/>
                    <a:stretch>
                      <a:fillRect/>
                    </a:stretch>
                  </pic:blipFill>
                  <pic:spPr>
                    <a:xfrm>
                      <a:off x="0" y="0"/>
                      <a:ext cx="5943600" cy="6159500"/>
                    </a:xfrm>
                    <a:prstGeom prst="rect">
                      <a:avLst/>
                    </a:prstGeom>
                    <a:ln/>
                  </pic:spPr>
                </pic:pic>
              </a:graphicData>
            </a:graphic>
          </wp:inline>
        </w:drawing>
      </w:r>
    </w:p>
    <w:p w14:paraId="2AE65D69" w14:textId="629A3E2A" w:rsidR="00962E9A" w:rsidRDefault="00962E9A"/>
    <w:p w14:paraId="56B4009F" w14:textId="77777777" w:rsidR="00962E9A" w:rsidRDefault="00962E9A" w:rsidP="00962E9A">
      <w:pPr>
        <w:rPr>
          <w:rFonts w:ascii="Times New Roman" w:eastAsia="Times New Roman" w:hAnsi="Times New Roman" w:cs="Times New Roman"/>
        </w:rPr>
      </w:pPr>
      <w:r>
        <w:rPr>
          <w:rFonts w:ascii="Times New Roman" w:eastAsia="Times New Roman" w:hAnsi="Times New Roman" w:cs="Times New Roman"/>
          <w:b/>
        </w:rPr>
        <w:t>Figure S1.</w:t>
      </w:r>
      <w:r>
        <w:rPr>
          <w:rFonts w:ascii="Times New Roman" w:eastAsia="Times New Roman" w:hAnsi="Times New Roman" w:cs="Times New Roman"/>
        </w:rPr>
        <w:t xml:space="preserve"> Correlations among structural diversity and environmental predictors. </w:t>
      </w:r>
    </w:p>
    <w:p w14:paraId="524FB3DD" w14:textId="3A73E310" w:rsidR="00962E9A" w:rsidRDefault="00962E9A"/>
    <w:p w14:paraId="0ADA9D08" w14:textId="7FC6E291" w:rsidR="00962E9A" w:rsidRDefault="00962E9A"/>
    <w:p w14:paraId="62D71F97" w14:textId="77777777" w:rsidR="00962E9A" w:rsidRDefault="00962E9A" w:rsidP="00962E9A">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DED2A01" wp14:editId="0E7165A6">
            <wp:extent cx="5943600" cy="2489200"/>
            <wp:effectExtent l="0" t="0" r="0" b="0"/>
            <wp:docPr id="11"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2.png" descr="Chart, scatter chart&#10;&#10;Description automatically generated"/>
                    <pic:cNvPicPr preferRelativeResize="0"/>
                  </pic:nvPicPr>
                  <pic:blipFill>
                    <a:blip r:embed="rId5"/>
                    <a:srcRect/>
                    <a:stretch>
                      <a:fillRect/>
                    </a:stretch>
                  </pic:blipFill>
                  <pic:spPr>
                    <a:xfrm>
                      <a:off x="0" y="0"/>
                      <a:ext cx="5943600" cy="2489200"/>
                    </a:xfrm>
                    <a:prstGeom prst="rect">
                      <a:avLst/>
                    </a:prstGeom>
                    <a:ln/>
                  </pic:spPr>
                </pic:pic>
              </a:graphicData>
            </a:graphic>
          </wp:inline>
        </w:drawing>
      </w:r>
    </w:p>
    <w:p w14:paraId="71E3C5B6" w14:textId="77777777" w:rsidR="00962E9A" w:rsidRDefault="00962E9A" w:rsidP="00962E9A">
      <w:pPr>
        <w:rPr>
          <w:rFonts w:ascii="Times New Roman" w:eastAsia="Times New Roman" w:hAnsi="Times New Roman" w:cs="Times New Roman"/>
        </w:rPr>
      </w:pPr>
    </w:p>
    <w:p w14:paraId="4A24B97F" w14:textId="5CF8BB54" w:rsidR="00962E9A" w:rsidRDefault="00962E9A" w:rsidP="00962E9A">
      <w:pPr>
        <w:rPr>
          <w:rFonts w:ascii="Times New Roman" w:eastAsia="Times New Roman" w:hAnsi="Times New Roman" w:cs="Times New Roman"/>
        </w:rPr>
      </w:pPr>
      <w:r>
        <w:rPr>
          <w:rFonts w:ascii="Times New Roman" w:eastAsia="Times New Roman" w:hAnsi="Times New Roman" w:cs="Times New Roman"/>
          <w:b/>
        </w:rPr>
        <w:t>Figure S2.</w:t>
      </w:r>
      <w:r>
        <w:rPr>
          <w:rFonts w:ascii="Times New Roman" w:eastAsia="Times New Roman" w:hAnsi="Times New Roman" w:cs="Times New Roman"/>
        </w:rPr>
        <w:t xml:space="preserve"> Relationships between the richness of a) AM tree species and AM fungal taxa, and b) EM tree species and EM fungal taxa from soil samples collected at 0-5 cm depth and 5-10 cm depth in plots within the Indiana CFI network. </w:t>
      </w:r>
    </w:p>
    <w:p w14:paraId="4D377801" w14:textId="77777777" w:rsidR="00962E9A" w:rsidRDefault="00962E9A" w:rsidP="00962E9A">
      <w:pPr>
        <w:rPr>
          <w:rFonts w:ascii="Times New Roman" w:eastAsia="Times New Roman" w:hAnsi="Times New Roman" w:cs="Times New Roman"/>
        </w:rPr>
      </w:pPr>
    </w:p>
    <w:p w14:paraId="0BEECA64" w14:textId="7241BF1C" w:rsidR="00962E9A" w:rsidRDefault="00962E9A"/>
    <w:p w14:paraId="5F4D9526" w14:textId="3E5FB5EF" w:rsidR="00962E9A" w:rsidRDefault="00962E9A"/>
    <w:p w14:paraId="78D37793" w14:textId="56E2192B" w:rsidR="00962E9A" w:rsidRDefault="00962E9A">
      <w:r>
        <w:rPr>
          <w:rFonts w:ascii="Times New Roman" w:eastAsia="Times New Roman" w:hAnsi="Times New Roman" w:cs="Times New Roman"/>
          <w:noProof/>
        </w:rPr>
        <w:lastRenderedPageBreak/>
        <w:drawing>
          <wp:inline distT="114300" distB="114300" distL="114300" distR="114300" wp14:anchorId="3AEC585E" wp14:editId="1806EE82">
            <wp:extent cx="5624513" cy="4260317"/>
            <wp:effectExtent l="0" t="0" r="0" b="0"/>
            <wp:docPr id="10" name="image7.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7.png" descr="Chart, scatter chart&#10;&#10;Description automatically generated"/>
                    <pic:cNvPicPr preferRelativeResize="0"/>
                  </pic:nvPicPr>
                  <pic:blipFill>
                    <a:blip r:embed="rId6"/>
                    <a:srcRect/>
                    <a:stretch>
                      <a:fillRect/>
                    </a:stretch>
                  </pic:blipFill>
                  <pic:spPr>
                    <a:xfrm>
                      <a:off x="0" y="0"/>
                      <a:ext cx="5624513" cy="4260317"/>
                    </a:xfrm>
                    <a:prstGeom prst="rect">
                      <a:avLst/>
                    </a:prstGeom>
                    <a:ln/>
                  </pic:spPr>
                </pic:pic>
              </a:graphicData>
            </a:graphic>
          </wp:inline>
        </w:drawing>
      </w:r>
    </w:p>
    <w:p w14:paraId="1FF1D609" w14:textId="77777777" w:rsidR="00962E9A" w:rsidRDefault="00962E9A" w:rsidP="00962E9A">
      <w:pPr>
        <w:rPr>
          <w:rFonts w:ascii="Times New Roman" w:eastAsia="Times New Roman" w:hAnsi="Times New Roman" w:cs="Times New Roman"/>
        </w:rPr>
      </w:pPr>
      <w:r>
        <w:rPr>
          <w:rFonts w:ascii="Times New Roman" w:eastAsia="Times New Roman" w:hAnsi="Times New Roman" w:cs="Times New Roman"/>
          <w:b/>
        </w:rPr>
        <w:t>Figure. S3.</w:t>
      </w:r>
      <w:r>
        <w:rPr>
          <w:rFonts w:ascii="Times New Roman" w:eastAsia="Times New Roman" w:hAnsi="Times New Roman" w:cs="Times New Roman"/>
        </w:rPr>
        <w:t xml:space="preserve"> Effects of soil pH on the alpha diversity of a) soil bacteria, b) total fungi, and c) AM and d) EM fungi, calculated with the inverse Simpson’s index. Points represent measured values of microbial richness and soil pH at 0-5 cm and 5-10 cm depth in forest soils collected across Indiana; lines represent the marginal effects of soil pH independent of the effects of other soil and vegetation factors, and are plotted only where significant. Significance determined at α=0.05.</w:t>
      </w:r>
    </w:p>
    <w:p w14:paraId="6DE25C0A" w14:textId="77777777" w:rsidR="00962E9A" w:rsidRDefault="00962E9A"/>
    <w:sectPr w:rsidR="00962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B0A"/>
    <w:rsid w:val="00962E9A"/>
    <w:rsid w:val="00E00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31F844"/>
  <w15:chartTrackingRefBased/>
  <w15:docId w15:val="{7E83DA53-75A7-A043-B2A7-26EA0DB6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B0A"/>
    <w:pPr>
      <w:spacing w:after="8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 Ashley</dc:creator>
  <cp:keywords/>
  <dc:description/>
  <cp:lastModifiedBy>Lang, Ashley</cp:lastModifiedBy>
  <cp:revision>2</cp:revision>
  <dcterms:created xsi:type="dcterms:W3CDTF">2022-11-01T17:43:00Z</dcterms:created>
  <dcterms:modified xsi:type="dcterms:W3CDTF">2022-11-01T17:43:00Z</dcterms:modified>
</cp:coreProperties>
</file>