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F25B5" w14:textId="59380BA8" w:rsidR="00081FAF" w:rsidRDefault="00081FAF">
      <w:r>
        <w:rPr>
          <w:noProof/>
        </w:rPr>
        <w:drawing>
          <wp:inline distT="0" distB="0" distL="0" distR="0" wp14:anchorId="3B6284A6" wp14:editId="65D937A1">
            <wp:extent cx="5943600" cy="6339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562402A6" w14:textId="6875A5E3" w:rsidR="00081FAF" w:rsidRDefault="00081FAF"/>
    <w:p w14:paraId="53CEE03A" w14:textId="77777777" w:rsidR="00081FAF" w:rsidRDefault="00081FAF" w:rsidP="00081FAF">
      <w:pPr>
        <w:spacing w:line="360" w:lineRule="auto"/>
        <w:rPr>
          <w:rFonts w:ascii="Times New Roman" w:eastAsia="Times New Roman" w:hAnsi="Times New Roman" w:cs="Times New Roman"/>
        </w:rPr>
      </w:pPr>
      <w:r>
        <w:rPr>
          <w:rFonts w:ascii="Times New Roman" w:eastAsia="Times New Roman" w:hAnsi="Times New Roman" w:cs="Times New Roman"/>
          <w:b/>
        </w:rPr>
        <w:t>Figure 1</w:t>
      </w:r>
      <w:r>
        <w:rPr>
          <w:rFonts w:ascii="Times New Roman" w:eastAsia="Times New Roman" w:hAnsi="Times New Roman" w:cs="Times New Roman"/>
        </w:rPr>
        <w:t>. Forest structural diversity may influence soil microbial diversity through several pathways. A less structurally diverse forest (A) may support lower soil microbial diversity due to lower productivity and belowground carbon allocation, less coarse woody debris, and less complex rooting architecture relative to that of a more structurally diverse stand (B). Shapes indicate different microbial taxa.</w:t>
      </w:r>
    </w:p>
    <w:p w14:paraId="0469EB7B" w14:textId="77777777" w:rsidR="00081FAF" w:rsidRDefault="00081FAF"/>
    <w:p w14:paraId="3FCA5904" w14:textId="77777777" w:rsidR="00081FAF" w:rsidRDefault="00081FAF" w:rsidP="00081FAF">
      <w:pPr>
        <w:spacing w:line="360" w:lineRule="auto"/>
        <w:rPr>
          <w:rFonts w:ascii="Times New Roman" w:eastAsia="Times New Roman" w:hAnsi="Times New Roman" w:cs="Times New Roman"/>
          <w:b/>
        </w:rPr>
      </w:pPr>
      <w:r>
        <w:rPr>
          <w:noProof/>
        </w:rPr>
        <w:lastRenderedPageBreak/>
        <w:drawing>
          <wp:inline distT="0" distB="0" distL="0" distR="0" wp14:anchorId="6B7FCEFB" wp14:editId="7477CBEB">
            <wp:extent cx="2184400" cy="3454400"/>
            <wp:effectExtent l="0" t="0" r="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84400" cy="3454400"/>
                    </a:xfrm>
                    <a:prstGeom prst="rect">
                      <a:avLst/>
                    </a:prstGeom>
                  </pic:spPr>
                </pic:pic>
              </a:graphicData>
            </a:graphic>
          </wp:inline>
        </w:drawing>
      </w:r>
      <w:r w:rsidRPr="00081FAF">
        <w:rPr>
          <w:rFonts w:ascii="Times New Roman" w:eastAsia="Times New Roman" w:hAnsi="Times New Roman" w:cs="Times New Roman"/>
          <w:b/>
        </w:rPr>
        <w:t xml:space="preserve"> </w:t>
      </w:r>
    </w:p>
    <w:p w14:paraId="4C51918F" w14:textId="77777777" w:rsidR="00081FAF" w:rsidRDefault="00081FAF" w:rsidP="00081FAF">
      <w:pPr>
        <w:spacing w:line="360" w:lineRule="auto"/>
        <w:rPr>
          <w:rFonts w:ascii="Times New Roman" w:eastAsia="Times New Roman" w:hAnsi="Times New Roman" w:cs="Times New Roman"/>
          <w:b/>
        </w:rPr>
      </w:pPr>
    </w:p>
    <w:p w14:paraId="6843F7AC" w14:textId="50C5B8DB" w:rsidR="00081FAF" w:rsidRDefault="00081FAF" w:rsidP="00081FAF">
      <w:pPr>
        <w:spacing w:line="360" w:lineRule="auto"/>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Location of study sites within the central hardwood region of Indiana, USA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Plots</w:t>
      </w:r>
      <w:proofErr w:type="spellEnd"/>
      <w:r>
        <w:rPr>
          <w:rFonts w:ascii="Times New Roman" w:eastAsia="Times New Roman" w:hAnsi="Times New Roman" w:cs="Times New Roman"/>
        </w:rPr>
        <w:t xml:space="preserve"> = 38). </w:t>
      </w:r>
    </w:p>
    <w:p w14:paraId="4E4BFB35" w14:textId="77777777" w:rsidR="00081FAF" w:rsidRDefault="00081FAF">
      <w:r>
        <w:rPr>
          <w:noProof/>
        </w:rPr>
        <w:lastRenderedPageBreak/>
        <w:drawing>
          <wp:inline distT="0" distB="0" distL="0" distR="0" wp14:anchorId="7D73E04D" wp14:editId="64C11CB2">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11B80D8" w14:textId="77777777" w:rsidR="00081FAF" w:rsidRDefault="00081FAF"/>
    <w:p w14:paraId="3D8B9942" w14:textId="77777777" w:rsidR="00081FAF" w:rsidRDefault="00081FAF"/>
    <w:p w14:paraId="46EF5503" w14:textId="77777777" w:rsidR="00081FAF" w:rsidRDefault="00081FAF" w:rsidP="00081FAF">
      <w:pPr>
        <w:spacing w:line="360" w:lineRule="auto"/>
        <w:rPr>
          <w:rFonts w:ascii="Times New Roman" w:eastAsia="Times New Roman" w:hAnsi="Times New Roman" w:cs="Times New Roman"/>
        </w:rPr>
      </w:pPr>
      <w:r>
        <w:rPr>
          <w:rFonts w:ascii="Times New Roman" w:eastAsia="Times New Roman" w:hAnsi="Times New Roman" w:cs="Times New Roman"/>
          <w:b/>
        </w:rPr>
        <w:t>Figure 3.</w:t>
      </w:r>
      <w:r>
        <w:rPr>
          <w:rFonts w:ascii="Times New Roman" w:eastAsia="Times New Roman" w:hAnsi="Times New Roman" w:cs="Times New Roman"/>
        </w:rPr>
        <w:t xml:space="preserve"> Relationship between vegetation area index (VAI) and alpha diversity of EM fungi, AM fungi, all bacteria, and all fungi, calculated with the inverse Simpson’s index. Points represent measured values of microbial richness at 0-5 cm and 5-10 cm soil depths and VAI of plots in forests across Indiana; solid line represents the marginal effect of VAI independent of the effects of other structural diversity variables, and is plotted only for soil depths where the relationship was significant (α=0.05; Table 2).</w:t>
      </w:r>
    </w:p>
    <w:p w14:paraId="5C85A82A" w14:textId="77777777" w:rsidR="00081FAF" w:rsidRDefault="00081FAF"/>
    <w:p w14:paraId="75394A32" w14:textId="77777777" w:rsidR="00081FAF" w:rsidRDefault="00081FAF"/>
    <w:p w14:paraId="069616A4" w14:textId="77777777" w:rsidR="00081FAF" w:rsidRDefault="00081FAF"/>
    <w:p w14:paraId="31A9CD7C" w14:textId="669D4036" w:rsidR="00081FAF" w:rsidRDefault="00081FAF">
      <w:r>
        <w:rPr>
          <w:noProof/>
        </w:rPr>
        <w:lastRenderedPageBreak/>
        <w:drawing>
          <wp:inline distT="0" distB="0" distL="0" distR="0" wp14:anchorId="29AB74E4" wp14:editId="4C1B108E">
            <wp:extent cx="5943600" cy="3060700"/>
            <wp:effectExtent l="0" t="0" r="0" b="0"/>
            <wp:docPr id="4" name="Picture 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venn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39B53594" w14:textId="71D60782" w:rsidR="00081FAF" w:rsidRDefault="00081FAF"/>
    <w:p w14:paraId="31CFEF53" w14:textId="7EC1764D" w:rsidR="00081FAF" w:rsidRPr="005652EF" w:rsidRDefault="00081FAF" w:rsidP="00081FAF">
      <w:pPr>
        <w:spacing w:line="360" w:lineRule="auto"/>
        <w:rPr>
          <w:rFonts w:ascii="Times New Roman" w:eastAsia="Times New Roman" w:hAnsi="Times New Roman" w:cs="Times New Roman"/>
          <w:color w:val="1C1D1E"/>
        </w:rPr>
      </w:pPr>
      <w:r>
        <w:rPr>
          <w:rFonts w:ascii="Times New Roman" w:eastAsia="Times New Roman" w:hAnsi="Times New Roman" w:cs="Times New Roman"/>
          <w:b/>
        </w:rPr>
        <w:t xml:space="preserve">Figure 4. </w:t>
      </w:r>
      <w:r>
        <w:rPr>
          <w:rFonts w:ascii="Times New Roman" w:eastAsia="Times New Roman" w:hAnsi="Times New Roman" w:cs="Times New Roman"/>
        </w:rPr>
        <w:t xml:space="preserve">Variance explained by each category of predictors </w:t>
      </w:r>
      <w:r>
        <w:rPr>
          <w:rFonts w:ascii="Times New Roman" w:eastAsia="Times New Roman" w:hAnsi="Times New Roman" w:cs="Times New Roman"/>
          <w:color w:val="1C1D1E"/>
        </w:rPr>
        <w:t xml:space="preserve">that were indicated significant (p &lt; 0.05) in the </w:t>
      </w:r>
      <w:proofErr w:type="spellStart"/>
      <w:r>
        <w:rPr>
          <w:rFonts w:ascii="Times New Roman" w:eastAsia="Times New Roman" w:hAnsi="Times New Roman" w:cs="Times New Roman"/>
          <w:color w:val="1C1D1E"/>
        </w:rPr>
        <w:t>dbRDA</w:t>
      </w:r>
      <w:proofErr w:type="spellEnd"/>
      <w:r>
        <w:rPr>
          <w:rFonts w:ascii="Times New Roman" w:eastAsia="Times New Roman" w:hAnsi="Times New Roman" w:cs="Times New Roman"/>
          <w:color w:val="1C1D1E"/>
        </w:rPr>
        <w:t xml:space="preserve"> model at 0-5 cm </w:t>
      </w:r>
      <w:r w:rsidRPr="00C65385">
        <w:rPr>
          <w:rFonts w:ascii="Times New Roman" w:eastAsia="Times New Roman" w:hAnsi="Times New Roman" w:cs="Times New Roman"/>
          <w:b/>
          <w:bCs/>
          <w:color w:val="1C1D1E"/>
        </w:rPr>
        <w:t>(a-d)</w:t>
      </w:r>
      <w:r>
        <w:rPr>
          <w:rFonts w:ascii="Times New Roman" w:eastAsia="Times New Roman" w:hAnsi="Times New Roman" w:cs="Times New Roman"/>
          <w:color w:val="1C1D1E"/>
        </w:rPr>
        <w:t xml:space="preserve"> and 5-10 cm </w:t>
      </w:r>
      <w:r w:rsidRPr="00C65385">
        <w:rPr>
          <w:rFonts w:ascii="Times New Roman" w:eastAsia="Times New Roman" w:hAnsi="Times New Roman" w:cs="Times New Roman"/>
          <w:b/>
          <w:bCs/>
          <w:color w:val="1C1D1E"/>
        </w:rPr>
        <w:t>(e-h)</w:t>
      </w:r>
      <w:r>
        <w:rPr>
          <w:rFonts w:ascii="Times New Roman" w:eastAsia="Times New Roman" w:hAnsi="Times New Roman" w:cs="Times New Roman"/>
          <w:color w:val="1C1D1E"/>
        </w:rPr>
        <w:t xml:space="preserve"> soil depths for bacterial community </w:t>
      </w:r>
      <w:r w:rsidRPr="00C65385">
        <w:rPr>
          <w:rFonts w:ascii="Times New Roman" w:eastAsia="Times New Roman" w:hAnsi="Times New Roman" w:cs="Times New Roman"/>
          <w:b/>
          <w:bCs/>
          <w:color w:val="1C1D1E"/>
        </w:rPr>
        <w:t>(</w:t>
      </w:r>
      <w:proofErr w:type="spellStart"/>
      <w:r w:rsidRPr="00C65385">
        <w:rPr>
          <w:rFonts w:ascii="Times New Roman" w:eastAsia="Times New Roman" w:hAnsi="Times New Roman" w:cs="Times New Roman"/>
          <w:b/>
          <w:bCs/>
          <w:color w:val="1C1D1E"/>
        </w:rPr>
        <w:t>a</w:t>
      </w:r>
      <w:r w:rsidR="00C65385"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b/>
          <w:bCs/>
          <w:color w:val="1C1D1E"/>
        </w:rPr>
        <w:t>e</w:t>
      </w:r>
      <w:proofErr w:type="spellEnd"/>
      <w:r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color w:val="1C1D1E"/>
        </w:rPr>
        <w:t>,</w:t>
      </w:r>
      <w:r>
        <w:rPr>
          <w:rFonts w:ascii="Times New Roman" w:eastAsia="Times New Roman" w:hAnsi="Times New Roman" w:cs="Times New Roman"/>
          <w:color w:val="1C1D1E"/>
        </w:rPr>
        <w:t xml:space="preserve"> total fungal community </w:t>
      </w:r>
      <w:r w:rsidRPr="00C65385">
        <w:rPr>
          <w:rFonts w:ascii="Times New Roman" w:eastAsia="Times New Roman" w:hAnsi="Times New Roman" w:cs="Times New Roman"/>
          <w:b/>
          <w:bCs/>
          <w:color w:val="1C1D1E"/>
        </w:rPr>
        <w:t>(</w:t>
      </w:r>
      <w:proofErr w:type="spellStart"/>
      <w:r w:rsidRPr="00C65385">
        <w:rPr>
          <w:rFonts w:ascii="Times New Roman" w:eastAsia="Times New Roman" w:hAnsi="Times New Roman" w:cs="Times New Roman"/>
          <w:b/>
          <w:bCs/>
          <w:color w:val="1C1D1E"/>
        </w:rPr>
        <w:t>b</w:t>
      </w:r>
      <w:r w:rsidR="00C65385">
        <w:rPr>
          <w:rFonts w:ascii="Times New Roman" w:eastAsia="Times New Roman" w:hAnsi="Times New Roman" w:cs="Times New Roman"/>
          <w:b/>
          <w:bCs/>
          <w:color w:val="1C1D1E"/>
        </w:rPr>
        <w:t>,</w:t>
      </w:r>
      <w:r w:rsidRPr="00C65385">
        <w:rPr>
          <w:rFonts w:ascii="Times New Roman" w:eastAsia="Times New Roman" w:hAnsi="Times New Roman" w:cs="Times New Roman"/>
          <w:b/>
          <w:bCs/>
          <w:color w:val="1C1D1E"/>
        </w:rPr>
        <w:t>f</w:t>
      </w:r>
      <w:proofErr w:type="spellEnd"/>
      <w:r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color w:val="1C1D1E"/>
        </w:rPr>
        <w:t>,</w:t>
      </w:r>
      <w:r>
        <w:rPr>
          <w:rFonts w:ascii="Times New Roman" w:eastAsia="Times New Roman" w:hAnsi="Times New Roman" w:cs="Times New Roman"/>
          <w:color w:val="1C1D1E"/>
        </w:rPr>
        <w:t xml:space="preserve"> AMF community </w:t>
      </w:r>
      <w:r w:rsidRPr="00C65385">
        <w:rPr>
          <w:rFonts w:ascii="Times New Roman" w:eastAsia="Times New Roman" w:hAnsi="Times New Roman" w:cs="Times New Roman"/>
          <w:b/>
          <w:bCs/>
          <w:color w:val="1C1D1E"/>
        </w:rPr>
        <w:t>(</w:t>
      </w:r>
      <w:proofErr w:type="spellStart"/>
      <w:r w:rsidRPr="00C65385">
        <w:rPr>
          <w:rFonts w:ascii="Times New Roman" w:eastAsia="Times New Roman" w:hAnsi="Times New Roman" w:cs="Times New Roman"/>
          <w:b/>
          <w:bCs/>
          <w:color w:val="1C1D1E"/>
        </w:rPr>
        <w:t>c</w:t>
      </w:r>
      <w:r w:rsidR="00C65385">
        <w:rPr>
          <w:rFonts w:ascii="Times New Roman" w:eastAsia="Times New Roman" w:hAnsi="Times New Roman" w:cs="Times New Roman"/>
          <w:b/>
          <w:bCs/>
          <w:color w:val="1C1D1E"/>
        </w:rPr>
        <w:t>,</w:t>
      </w:r>
      <w:r w:rsidRPr="00C65385">
        <w:rPr>
          <w:rFonts w:ascii="Times New Roman" w:eastAsia="Times New Roman" w:hAnsi="Times New Roman" w:cs="Times New Roman"/>
          <w:b/>
          <w:bCs/>
          <w:color w:val="1C1D1E"/>
        </w:rPr>
        <w:t>g</w:t>
      </w:r>
      <w:proofErr w:type="spellEnd"/>
      <w:r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color w:val="1C1D1E"/>
        </w:rPr>
        <w:t>,</w:t>
      </w:r>
      <w:r>
        <w:rPr>
          <w:rFonts w:ascii="Times New Roman" w:eastAsia="Times New Roman" w:hAnsi="Times New Roman" w:cs="Times New Roman"/>
          <w:color w:val="1C1D1E"/>
        </w:rPr>
        <w:t xml:space="preserve"> and EMF community </w:t>
      </w:r>
      <w:r w:rsidRPr="00C65385">
        <w:rPr>
          <w:rFonts w:ascii="Times New Roman" w:eastAsia="Times New Roman" w:hAnsi="Times New Roman" w:cs="Times New Roman"/>
          <w:b/>
          <w:bCs/>
          <w:color w:val="1C1D1E"/>
        </w:rPr>
        <w:t>(</w:t>
      </w:r>
      <w:proofErr w:type="spellStart"/>
      <w:r w:rsidRPr="00C65385">
        <w:rPr>
          <w:rFonts w:ascii="Times New Roman" w:eastAsia="Times New Roman" w:hAnsi="Times New Roman" w:cs="Times New Roman"/>
          <w:b/>
          <w:bCs/>
          <w:color w:val="1C1D1E"/>
        </w:rPr>
        <w:t>d</w:t>
      </w:r>
      <w:r w:rsidR="00C65385"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b/>
          <w:bCs/>
          <w:color w:val="1C1D1E"/>
        </w:rPr>
        <w:t>h</w:t>
      </w:r>
      <w:proofErr w:type="spellEnd"/>
      <w:r w:rsidRPr="00C65385">
        <w:rPr>
          <w:rFonts w:ascii="Times New Roman" w:eastAsia="Times New Roman" w:hAnsi="Times New Roman" w:cs="Times New Roman"/>
          <w:b/>
          <w:bCs/>
          <w:color w:val="1C1D1E"/>
        </w:rPr>
        <w:t>)</w:t>
      </w:r>
      <w:r w:rsidRPr="00C65385">
        <w:rPr>
          <w:rFonts w:ascii="Times New Roman" w:eastAsia="Times New Roman" w:hAnsi="Times New Roman" w:cs="Times New Roman"/>
          <w:color w:val="1C1D1E"/>
        </w:rPr>
        <w:t>.</w:t>
      </w:r>
      <w:r w:rsidRPr="00C65385">
        <w:rPr>
          <w:rFonts w:ascii="Times New Roman" w:eastAsia="Times New Roman" w:hAnsi="Times New Roman" w:cs="Times New Roman"/>
          <w:b/>
          <w:bCs/>
          <w:color w:val="1C1D1E"/>
        </w:rPr>
        <w:t xml:space="preserve"> </w:t>
      </w:r>
      <w:r>
        <w:rPr>
          <w:rFonts w:ascii="Times New Roman" w:eastAsia="Times New Roman" w:hAnsi="Times New Roman" w:cs="Times New Roman"/>
        </w:rPr>
        <w:t>See Table S2 for model X</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p-values for each significant predictor category. </w:t>
      </w:r>
    </w:p>
    <w:p w14:paraId="3AEB0A53" w14:textId="77777777" w:rsidR="00081FAF" w:rsidRDefault="00081FAF"/>
    <w:sectPr w:rsidR="00081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AF"/>
    <w:rsid w:val="00081FAF"/>
    <w:rsid w:val="00C65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375C8D"/>
  <w15:chartTrackingRefBased/>
  <w15:docId w15:val="{773D8F32-F308-064D-B5AF-381F8EA5C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210</Words>
  <Characters>1197</Characters>
  <Application>Microsoft Office Word</Application>
  <DocSecurity>0</DocSecurity>
  <Lines>9</Lines>
  <Paragraphs>2</Paragraphs>
  <ScaleCrop>false</ScaleCrop>
  <Company/>
  <LinksUpToDate>false</LinksUpToDate>
  <CharactersWithSpaces>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Ashley</dc:creator>
  <cp:keywords/>
  <dc:description/>
  <cp:lastModifiedBy>Lang, Ashley</cp:lastModifiedBy>
  <cp:revision>2</cp:revision>
  <dcterms:created xsi:type="dcterms:W3CDTF">2022-06-28T17:40:00Z</dcterms:created>
  <dcterms:modified xsi:type="dcterms:W3CDTF">2022-06-28T17:44:00Z</dcterms:modified>
</cp:coreProperties>
</file>