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t>UNIVERSITY OF MINES AND TECHNOLOGY (UMaT), TARKWA</w:t>
      </w:r>
    </w:p>
    <w:p>
      <w:pPr/>
      <w:r>
        <w:t>SCHOOL OF RAILWAY AND INFRASTRUCTURAL DEVELOPMENT, ESSIKADO CAMPUS</w:t>
      </w:r>
    </w:p>
    <w:p>
      <w:pPr/>
      <w:r>
        <w:t>DEPARTMENT OF COMPUTING AND DATA ANALYTICS</w:t>
      </w:r>
    </w:p>
    <w:p>
      <w:pPr/>
      <w:r>
        <w:t>(COMPUTER SCIENCE AND ENGINEERING PROGRAMME)</w:t>
      </w:r>
    </w:p>
    <w:p>
      <w:pPr/>
      <w:r>
        <w:t>A PROJECT REPORT ENTITLED</w:t>
      </w:r>
    </w:p>
    <w:p>
      <w:pPr/>
      <w:r>
        <w:t>AN AI FRAMEWORK FOR PERSONALISED AND EXPLAINABLE</w:t>
      </w:r>
    </w:p>
    <w:p>
      <w:pPr/>
      <w:r>
        <w:t>PALLIATIVE CARE SYSTEMS</w:t>
      </w:r>
    </w:p>
    <w:p>
      <w:pPr/>
      <w:r>
        <w:t>BY</w:t>
      </w:r>
    </w:p>
    <w:p>
      <w:pPr/>
      <w:r>
        <w:t>PAUL SMITH QUAIDOO</w:t>
      </w:r>
    </w:p>
    <w:p>
      <w:pPr/>
      <w:r>
        <w:t>SRI.41.008.131.22</w:t>
      </w:r>
    </w:p>
    <w:p>
      <w:pPr/>
      <w:r>
        <w:t>ABDUL-BASIT ISSAH</w:t>
      </w:r>
    </w:p>
    <w:p>
      <w:pPr/>
      <w:r>
        <w:t>SRI.41.008.098.22</w:t>
      </w:r>
    </w:p>
    <w:p>
      <w:pPr/>
      <w:r>
        <w:t>ALHASSAN HINA AHMED</w:t>
      </w:r>
    </w:p>
    <w:p>
      <w:pPr/>
      <w:r>
        <w:t>SRI.41.008.023.22</w:t>
      </w:r>
    </w:p>
    <w:p>
      <w:pPr/>
      <w:r>
        <w:t>PROJECT REPORT SUBMITTED IN PARTIAL FULFILMENT OF THE REQUIREMENT FOR THE</w:t>
      </w:r>
    </w:p>
    <w:p>
      <w:pPr/>
      <w:r>
        <w:t>AWARD OF THE DEGREE OF BACHELOR OF SCIENCE IN COMPUTER SCIENCE AND ENGINEERING</w:t>
      </w:r>
    </w:p>
    <w:p>
      <w:pPr/>
      <w:r>
        <w:t>PROJECT SUPERVISOR</w:t>
      </w:r>
    </w:p>
    <w:p>
      <w:pPr/>
      <w:r>
        <w:t>…………………………………………………………..</w:t>
      </w:r>
    </w:p>
    <w:p>
      <w:pPr/>
      <w:r>
        <w:t>DR ALFRED ADUTWUM AMPONSAH</w:t>
      </w:r>
    </w:p>
    <w:p>
      <w:pPr/>
      <w:r>
        <w:t>SEKONDI-TAKORADI, GHANA</w:t>
      </w:r>
    </w:p>
    <w:p>
      <w:pPr/>
      <w:r>
        <w:t>MARCH, 2026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We hereby declare that this project work is our own work. It is being submitted for the degree</w:t>
      </w:r>
    </w:p>
    <w:p>
      <w:pPr/>
      <w:r>
        <w:t>of Bachelor of Science in Computer Science and Engineering in the University of Mines and</w:t>
      </w:r>
    </w:p>
    <w:p>
      <w:pPr/>
      <w:r>
        <w:t>Technology (UMaT), School of Railway and Infrastructural Development (SRID), Essikado.</w:t>
      </w:r>
    </w:p>
    <w:p>
      <w:pPr/>
      <w:r>
        <w:t>It has not been submitted for any degree or examination in any other University.</w:t>
      </w:r>
    </w:p>
    <w:p>
      <w:pPr/>
      <w:r>
        <w:t>…………………………………………………………</w:t>
      </w:r>
    </w:p>
    <w:p>
      <w:pPr/>
      <w:r>
        <w:t>PAUL SMITH QUAIDOO (SRI.41.008.131.22)</w:t>
      </w:r>
    </w:p>
    <w:p>
      <w:pPr/>
      <w:r>
        <w:t>…………………………………………………………</w:t>
      </w:r>
    </w:p>
    <w:p>
      <w:pPr/>
      <w:r>
        <w:t>ABDUL-BASIT ISSAH (SRI.41.008.098.22)</w:t>
      </w:r>
    </w:p>
    <w:p>
      <w:pPr/>
      <w:r>
        <w:t>…………………………………………………………</w:t>
      </w:r>
    </w:p>
    <w:p>
      <w:pPr/>
      <w:r>
        <w:t>ALHASSAN HINA AHMED (SRI.41.008.023.22)</w:t>
      </w:r>
    </w:p>
    <w:p>
      <w:pPr/>
      <w:r>
        <w:t>…………… day of ……………………………………………… (year) ………………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This project builds and tests an explainable, AI-powered framework designed to address</w:t>
      </w:r>
    </w:p>
    <w:p>
      <w:pPr/>
      <w:r>
        <w:t>the coordination, continuity, and bereavement support gaps in palliative care, with</w:t>
      </w:r>
    </w:p>
    <w:p>
      <w:pPr/>
      <w:r>
        <w:t>particular focus on the Ghanaian context. The system has four components: an intelligent</w:t>
      </w:r>
    </w:p>
    <w:p>
      <w:pPr/>
      <w:r>
        <w:t>symptom-monitoring and care-management module; an explainable clinical decision-support</w:t>
      </w:r>
    </w:p>
    <w:p>
      <w:pPr/>
      <w:r>
        <w:t>module using SHAP-based risk models; a unified coordination dashboard linking patients,</w:t>
      </w:r>
    </w:p>
    <w:p>
      <w:pPr/>
      <w:r>
        <w:t>caregivers, and clinicians; and a structured post-bereavement support module absent from</w:t>
      </w:r>
    </w:p>
    <w:p>
      <w:pPr/>
      <w:r>
        <w:t>all existing platforms reviewed. A personalisation layer sits across all four parts, deriving</w:t>
      </w:r>
    </w:p>
    <w:p>
      <w:pPr/>
      <w:r>
        <w:t>each user's interface language, contrast, font size, and visible features from a short</w:t>
      </w:r>
    </w:p>
    <w:p>
      <w:pPr/>
      <w:r>
        <w:t>onboarding questionnaire. Development followed a Waterfall software life cycle. Eight</w:t>
      </w:r>
    </w:p>
    <w:p>
      <w:pPr/>
      <w:r>
        <w:t>XGBoost classifiers were trained on synthetic clinical data and evaluated through held-out</w:t>
      </w:r>
    </w:p>
    <w:p>
      <w:pPr/>
      <w:r>
        <w:t>testing and SHAP explanations. An API integration test and a manual walkthrough of all</w:t>
      </w:r>
    </w:p>
    <w:p>
      <w:pPr/>
      <w:r>
        <w:t>principal runtime flows confirmed that all three specific objectives were met. The choice of</w:t>
      </w:r>
    </w:p>
    <w:p>
      <w:pPr/>
      <w:r>
        <w:t>XGBoost over the Random Forest model originally proposed is recorded and justified. The</w:t>
      </w:r>
    </w:p>
    <w:p>
      <w:pPr/>
      <w:r>
        <w:t>evaluation is limited to synthetic data; no user study, accessibility audit, or security</w:t>
      </w:r>
    </w:p>
    <w:p>
      <w:pPr/>
      <w:r>
        <w:t>penetration test was conducted. These are recommended before any clinical deployment.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Our sincere gratitude goes to our supervisor, Dr. Alfred Adutwum Amponsah, for his</w:t>
      </w:r>
    </w:p>
    <w:p>
      <w:pPr/>
      <w:r>
        <w:t>guidance throughout this project. The four years of knowledge provided by the faculty of</w:t>
      </w:r>
    </w:p>
    <w:p>
      <w:pPr/>
      <w:r>
        <w:t>the Department of Computing and Data Analytics at UMaT were the foundation for the</w:t>
      </w:r>
    </w:p>
    <w:p>
      <w:pPr/>
      <w:r>
        <w:t>technical work reported here. We also acknowledge COMPASS Ghana and the Ghana</w:t>
      </w:r>
    </w:p>
    <w:p>
      <w:pPr/>
      <w:r>
        <w:t>Palliative Care Association for the data and statistics that grounded our problem statement.</w:t>
      </w:r>
    </w:p>
    <w:p>
      <w:pPr/>
      <w:r>
        <w:t>Our families, friends, and fellow students provided consistent support and we are grateful.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t>DECLARATION                                                         i</w:t>
      </w:r>
    </w:p>
    <w:p>
      <w:pPr/>
      <w:r>
        <w:t>ABSTRACT                                                            ii</w:t>
      </w:r>
    </w:p>
    <w:p>
      <w:pPr/>
      <w:r>
        <w:t>ACKNOWLEDGEMENTS                                                    iii</w:t>
      </w:r>
    </w:p>
    <w:p>
      <w:pPr/>
      <w:r>
        <w:t>TABLE OF CONTENTS                                                   iv</w:t>
      </w:r>
    </w:p>
    <w:p>
      <w:pPr/>
      <w:r>
        <w:t>LIST OF FIGURES                                                     vi</w:t>
      </w:r>
    </w:p>
    <w:p>
      <w:pPr/>
      <w:r>
        <w:t>LIST OF TABLES                                                      vii</w:t>
      </w:r>
    </w:p>
    <w:p>
      <w:pPr/>
      <w:r>
        <w:t>CHAPTER 1   INTRODUCTION                                            1</w:t>
      </w:r>
    </w:p>
    <w:p>
      <w:pPr/>
      <w:r>
        <w:t>1.1   Background to the Study                                     1</w:t>
      </w:r>
    </w:p>
    <w:p>
      <w:pPr/>
      <w:r>
        <w:t>1.2   Problem Statement                                           2</w:t>
      </w:r>
    </w:p>
    <w:p>
      <w:pPr/>
      <w:r>
        <w:t>1.3   Objectives of the Study                                     2</w:t>
      </w:r>
    </w:p>
    <w:p>
      <w:pPr/>
      <w:r>
        <w:t>1.4   Significance of the Study                                   3</w:t>
      </w:r>
    </w:p>
    <w:p>
      <w:pPr/>
      <w:r>
        <w:t>1.5   Scope of the Study                                          3</w:t>
      </w:r>
    </w:p>
    <w:p>
      <w:pPr/>
      <w:r>
        <w:t>1.6   Organisation of the Work                                    3</w:t>
      </w:r>
    </w:p>
    <w:p>
      <w:pPr/>
      <w:r>
        <w:t>CHAPTER 2   LITERATURE REVIEW                                       5</w:t>
      </w:r>
    </w:p>
    <w:p>
      <w:pPr/>
      <w:r>
        <w:t>2.1   Overview                                                    5</w:t>
      </w:r>
    </w:p>
    <w:p>
      <w:pPr/>
      <w:r>
        <w:t>2.2   Theoretical Review                                          5</w:t>
      </w:r>
    </w:p>
    <w:p>
      <w:pPr/>
      <w:r>
        <w:t>2.3   Empirical Review                                            8</w:t>
      </w:r>
    </w:p>
    <w:p>
      <w:pPr/>
      <w:r>
        <w:t>2.4   Summary of Related Works                                    9</w:t>
      </w:r>
    </w:p>
    <w:p>
      <w:pPr/>
      <w:r>
        <w:t>2.5   Research Gap                                               15</w:t>
      </w:r>
    </w:p>
    <w:p>
      <w:pPr/>
      <w:r>
        <w:t>2.6   Summary                                                    16</w:t>
      </w:r>
    </w:p>
    <w:p>
      <w:pPr/>
      <w:r>
        <w:t>CHAPTER 3   METHODOLOGY AND SYSTEM DESIGN                          17</w:t>
      </w:r>
    </w:p>
    <w:p>
      <w:pPr/>
      <w:r>
        <w:t>3.1   Introduction                                               17</w:t>
      </w:r>
    </w:p>
    <w:p>
      <w:pPr/>
      <w:r>
        <w:t>3.2   Research Approach                                          17</w:t>
      </w:r>
    </w:p>
    <w:p>
      <w:pPr/>
      <w:r>
        <w:t>3.3   Software Development Life Cycle                            17</w:t>
      </w:r>
    </w:p>
    <w:p>
      <w:pPr/>
      <w:r>
        <w:t>3.4   System Architecture                                        19</w:t>
      </w:r>
    </w:p>
    <w:p>
      <w:pPr/>
      <w:r>
        <w:t>3.5   Database Design                                            21</w:t>
      </w:r>
    </w:p>
    <w:p>
      <w:pPr/>
      <w:r>
        <w:t>3.6   AI Model Design and Explainability                         22</w:t>
      </w:r>
    </w:p>
    <w:p>
      <w:pPr/>
      <w:r>
        <w:t>3.7   Security and Privacy Architecture                          24</w:t>
      </w:r>
    </w:p>
    <w:p>
      <w:pPr/>
      <w:r>
        <w:t>3.8   Tools and Technologies                                     24</w:t>
      </w:r>
    </w:p>
    <w:p>
      <w:pPr/>
      <w:r>
        <w:t>3.9   System Process Flow                                        25</w:t>
      </w:r>
    </w:p>
    <w:p>
      <w:pPr/>
      <w:r>
        <w:t>3.10  Summary                                                    26</w:t>
      </w:r>
    </w:p>
    <w:p>
      <w:pPr/>
      <w:r>
        <w:t>CHAPTER 4   SYSTEM IMPLEMENTATION                                  27</w:t>
      </w:r>
    </w:p>
    <w:p>
      <w:pPr/>
      <w:r>
        <w:t>4.1   Introduction                                               27</w:t>
      </w:r>
    </w:p>
    <w:p>
      <w:pPr/>
      <w:r>
        <w:t>4.2   Development and Runtime Environment                        27</w:t>
      </w:r>
    </w:p>
    <w:p>
      <w:pPr/>
      <w:r>
        <w:t>4.3   Data Input Layer                                           28</w:t>
      </w:r>
    </w:p>
    <w:p>
      <w:pPr/>
      <w:r>
        <w:t>4.4   Intelligent Monitoring Core                                29</w:t>
      </w:r>
    </w:p>
    <w:p>
      <w:pPr/>
      <w:r>
        <w:t>4.5   Adaptive Care Guide                                        30</w:t>
      </w:r>
    </w:p>
    <w:p>
      <w:pPr/>
      <w:r>
        <w:t>4.6   Unified Care Dashboard                                     31</w:t>
      </w:r>
    </w:p>
    <w:p>
      <w:pPr/>
      <w:r>
        <w:t>4.7   Additional System Capabilities                             32</w:t>
      </w:r>
    </w:p>
    <w:p>
      <w:pPr/>
      <w:r>
        <w:t>4.7.1  Care Setting System                                     32</w:t>
      </w:r>
    </w:p>
    <w:p>
      <w:pPr/>
      <w:r>
        <w:t>4.7.2  AI Conversational Assistants                            32</w:t>
      </w:r>
    </w:p>
    <w:p>
      <w:pPr/>
      <w:r>
        <w:t>4.7.3  Community and Peer Support Hub                          33</w:t>
      </w:r>
    </w:p>
    <w:p>
      <w:pPr/>
      <w:r>
        <w:t>4.7.4  Push Notifications and PWA                              33</w:t>
      </w:r>
    </w:p>
    <w:p>
      <w:pPr/>
      <w:r>
        <w:t>4.7.5  HIPAA-Aligned Session Management                        33</w:t>
      </w:r>
    </w:p>
    <w:p>
      <w:pPr/>
      <w:r>
        <w:t>4.7.6  Guided Onboarding Tour                                  33</w:t>
      </w:r>
    </w:p>
    <w:p>
      <w:pPr/>
      <w:r>
        <w:t>4.7.7  Continuity Bridge                                       34</w:t>
      </w:r>
    </w:p>
    <w:p>
      <w:pPr/>
      <w:r>
        <w:t>4.8   Real-Time Communication                                    35</w:t>
      </w:r>
    </w:p>
    <w:p>
      <w:pPr/>
      <w:r>
        <w:t>4.9   Security Implementation                                    35</w:t>
      </w:r>
    </w:p>
    <w:p>
      <w:pPr/>
      <w:r>
        <w:t>4.10  Accessibility and Offline Implementation                   36</w:t>
      </w:r>
    </w:p>
    <w:p>
      <w:pPr/>
      <w:r>
        <w:t>4.11  Implementation Challenges and Resolutions                  36</w:t>
      </w:r>
    </w:p>
    <w:p>
      <w:pPr/>
      <w:r>
        <w:t>4.12  Summary                                                    38</w:t>
      </w:r>
    </w:p>
    <w:p>
      <w:pPr/>
      <w:r>
        <w:t>CHAPTER 5   RESULTS, TESTING AND EVALUATION                        36</w:t>
      </w:r>
    </w:p>
    <w:p>
      <w:pPr/>
      <w:r>
        <w:t>5.1   Introduction                                               36</w:t>
      </w:r>
    </w:p>
    <w:p>
      <w:pPr/>
      <w:r>
        <w:t>5.2   Testing Strategy                                           36</w:t>
      </w:r>
    </w:p>
    <w:p>
      <w:pPr/>
      <w:r>
        <w:t>5.3   API Integration Test Results                               36</w:t>
      </w:r>
    </w:p>
    <w:p>
      <w:pPr/>
      <w:r>
        <w:t>5.4   Machine Learning Model Results                             37</w:t>
      </w:r>
    </w:p>
    <w:p>
      <w:pPr/>
      <w:r>
        <w:t>5.5   Functional Verification of Runtime Flows                   38</w:t>
      </w:r>
    </w:p>
    <w:p>
      <w:pPr/>
      <w:r>
        <w:t>5.6   Evaluation Against the Objectives                          39</w:t>
      </w:r>
    </w:p>
    <w:p>
      <w:pPr/>
      <w:r>
        <w:t>5.7   Discussion of Results                                      40</w:t>
      </w:r>
    </w:p>
    <w:p>
      <w:pPr/>
      <w:r>
        <w:t>5.8   Limitations of the Evaluation                              40</w:t>
      </w:r>
    </w:p>
    <w:p>
      <w:pPr/>
      <w:r>
        <w:t>5.9   Summary                                                    41</w:t>
      </w:r>
    </w:p>
    <w:p>
      <w:pPr/>
      <w:r>
        <w:t>REFERENCES                                                         42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Figure   Title                                                          Page</w:t>
      </w:r>
    </w:p>
    <w:p>
      <w:pPr/>
      <w:r>
        <w:t>3.1      Waterfall Software Development Life Cycle                      18</w:t>
      </w:r>
    </w:p>
    <w:p>
      <w:pPr/>
      <w:r>
        <w:t>3.2      System Architecture Showing the Five Cooperating Layers        20</w:t>
      </w:r>
    </w:p>
    <w:p>
      <w:pPr/>
      <w:r>
        <w:t>3.3      Entity-Relationship Diagram of the System Database             22</w:t>
      </w:r>
    </w:p>
    <w:p>
      <w:pPr/>
      <w:r>
        <w:t>3.4      Explainable AI Pipeline from Input Features to SHAP-Based</w:t>
      </w:r>
    </w:p>
    <w:p>
      <w:pPr/>
      <w:r>
        <w:t>Clinician Output                                               23</w:t>
      </w:r>
    </w:p>
    <w:p>
      <w:pPr/>
      <w:r>
        <w:t>3.5      Security and Data Flow Architecture Showing Authentication</w:t>
      </w:r>
    </w:p>
    <w:p>
      <w:pPr/>
      <w:r>
        <w:t>and Access Control Boundaries                                  24</w:t>
      </w:r>
    </w:p>
    <w:p>
      <w:pPr/>
      <w:r>
        <w:t>3.6      End-to-End System Process Flow from Patient Data Entry to</w:t>
      </w:r>
    </w:p>
    <w:p>
      <w:pPr/>
      <w:r>
        <w:t>Bereavement Support                                            26</w:t>
      </w:r>
    </w:p>
    <w:p>
      <w:pPr/>
      <w:r>
        <w:t>4.1      Patient Symptom Tracking and Data Entry Screen                 29</w:t>
      </w:r>
    </w:p>
    <w:p>
      <w:pPr/>
      <w:r>
        <w:t>4.2      Clinician Risk-Prediction View with SHAP-Based Explanation     30</w:t>
      </w:r>
    </w:p>
    <w:p>
      <w:pPr/>
      <w:r>
        <w:t>4.3      Adaptive Care Guide Recommendation Screen                      31</w:t>
      </w:r>
    </w:p>
    <w:p>
      <w:pPr/>
      <w:r>
        <w:t>4.4      Unified Care Coordination Dashboard                            32</w:t>
      </w:r>
    </w:p>
    <w:p>
      <w:pPr/>
      <w:r>
        <w:t>4.5      Bereavement Support Module Screen                              35</w:t>
      </w:r>
    </w:p>
    <w:p>
      <w:pPr/>
      <w:r>
        <w:t>4.6      Login and Authentication Screen                                36</w:t>
      </w:r>
    </w:p>
    <w:p>
      <w:pPr/>
      <w:r>
        <w:t>5.1      SHAP Feature-Importance Summary Plot for the Risk Prediction</w:t>
      </w:r>
    </w:p>
    <w:p>
      <w:pPr/>
      <w:r>
        <w:t>Models                                                         38</w:t>
      </w:r>
    </w:p>
    <w:p>
      <w:pPr/>
      <w:r>
        <w:t>5.2      ROC Curves and Confusion Matrices for the Eight XGBoost</w:t>
      </w:r>
    </w:p>
    <w:p>
      <w:pPr/>
      <w:r>
        <w:t>Models                                                         38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Table    Title                                                          Page</w:t>
      </w:r>
    </w:p>
    <w:p>
      <w:pPr/>
      <w:r>
        <w:t>2.1      Summary of Related Works                                        9</w:t>
      </w:r>
    </w:p>
    <w:p>
      <w:pPr/>
      <w:r>
        <w:t>3.1      Held-out test performance of the eight XGBoost risk models     23</w:t>
      </w:r>
    </w:p>
    <w:p>
      <w:pPr/>
      <w:r>
        <w:t>3.2      Principal tools and technologies by architectural layer        25</w:t>
      </w:r>
    </w:p>
    <w:p>
      <w:pPr/>
      <w:r>
        <w:t>4.1      High-level composition of the Project AURA codebase           28</w:t>
      </w:r>
    </w:p>
    <w:p>
      <w:pPr/>
      <w:r>
        <w:t>4.2      Clinical weighting applied when combining the eight domain</w:t>
      </w:r>
    </w:p>
    <w:p>
      <w:pPr/>
      <w:r>
        <w:t>models                                                         30</w:t>
      </w:r>
    </w:p>
    <w:p>
      <w:pPr/>
      <w:r>
        <w:t>4.3      The six phases of the patient journey                          31</w:t>
      </w:r>
    </w:p>
    <w:p>
      <w:pPr/>
      <w:r>
        <w:t>4.4      Representative TanStack Query caching parameters               33</w:t>
      </w:r>
    </w:p>
    <w:p>
      <w:pPr/>
      <w:r>
        <w:t>5.1      Results of the API integration smoke test                      37</w:t>
      </w:r>
    </w:p>
    <w:p>
      <w:pPr/>
      <w:r>
        <w:t>5.2      Illustrative synthetic feature distributions                   38</w:t>
      </w:r>
    </w:p>
    <w:p>
      <w:pPr/>
      <w:r>
        <w:t>5.3      Manual verification outcomes for the principal runtime flows   39</w:t>
      </w:r>
    </w:p>
    <w:p>
      <w:pPr/>
      <w:r>
        <w:t>5.4      Achievement of the specific objectives set out in Chapter 1    41</w:t>
      </w:r>
    </w:p>
    <w:p>
      <w:r>
        <w:br w:type="page"/>
      </w:r>
    </w:p>
    <w:p>
      <w:pPr>
        <w:pStyle w:val="Heading1"/>
      </w:pPr>
      <w:r>
        <w:t>CHAPTER 1</w:t>
      </w:r>
    </w:p>
    <w:p>
      <w:pPr>
        <w:pStyle w:val="Heading1"/>
      </w:pPr>
      <w:r>
        <w:t>INTRODUCTION</w:t>
      </w:r>
    </w:p>
    <w:p>
      <w:pPr>
        <w:pStyle w:val="Heading2"/>
      </w:pPr>
      <w:r>
        <w:t>1.1  Background to the Study</w:t>
      </w:r>
    </w:p>
    <w:p>
      <w:pPr/>
      <w:r>
        <w:t>The World Health Organisation defines palliative care as "an approach that improves the</w:t>
      </w:r>
    </w:p>
    <w:p>
      <w:pPr/>
      <w:r>
        <w:t>quality of life of patients and their families facing the problems associated with</w:t>
      </w:r>
    </w:p>
    <w:p>
      <w:pPr/>
      <w:r>
        <w:t>life-threatening illness, through the prevention and relief of suffering by means of early</w:t>
      </w:r>
    </w:p>
    <w:p>
      <w:pPr/>
      <w:r>
        <w:t>identification and impeccable assessment and treatment of pain and other problems,</w:t>
      </w:r>
    </w:p>
    <w:p>
      <w:pPr/>
      <w:r>
        <w:t>physical, psychosocial and spiritual" (WHO, 2024). Palliative care covers anyone living</w:t>
      </w:r>
    </w:p>
    <w:p>
      <w:pPr/>
      <w:r>
        <w:t>with a life-threatening illness, not only those close to death. It should run alongside active</w:t>
      </w:r>
    </w:p>
    <w:p>
      <w:pPr/>
      <w:r>
        <w:t>treatment and eventually give way to hospice care when cure is no longer possible.</w:t>
      </w:r>
    </w:p>
    <w:p>
      <w:pPr/>
      <w:r>
        <w:t>Globally, 56.8 million people need palliative care each year, yet fewer than 14% receive it</w:t>
      </w:r>
    </w:p>
    <w:p>
      <w:pPr/>
      <w:r>
        <w:t>(WHO, 2024). The shortfall is worst in West Africa. Ghana is a clear case: palliative care</w:t>
      </w:r>
    </w:p>
    <w:p>
      <w:pPr/>
      <w:r>
        <w:t>appears in at least eight national health policies, but services exist only in a handful of</w:t>
      </w:r>
    </w:p>
    <w:p>
      <w:pPr/>
      <w:r>
        <w:t>urban hospitals. COMPASS Ghana reports that over 48% of the population pays for care</w:t>
      </w:r>
    </w:p>
    <w:p>
      <w:pPr/>
      <w:r>
        <w:t>out of pocket (Anon., 2024a), and the National Health Insurance Authority confirmed in</w:t>
      </w:r>
    </w:p>
    <w:p>
      <w:pPr/>
      <w:r>
        <w:t>2025 that 44% of Ghanaians carry no active health insurance, with the worst figures in the</w:t>
      </w:r>
    </w:p>
    <w:p>
      <w:pPr/>
      <w:r>
        <w:t>Oti and Northern regions (National Health Insurance Authority, 2025). Patients reach</w:t>
      </w:r>
    </w:p>
    <w:p>
      <w:pPr/>
      <w:r>
        <w:t>palliative services only days before death, and community-based care mentioned in policy</w:t>
      </w:r>
    </w:p>
    <w:p>
      <w:pPr/>
      <w:r>
        <w:t>has not materialised (Anon., 2024a; Anon., 2024b).</w:t>
      </w:r>
    </w:p>
    <w:p>
      <w:pPr/>
      <w:r>
        <w:t>Existing digital tools in this space handle scheduling, billing, and records. Platforms such</w:t>
      </w:r>
    </w:p>
    <w:p>
      <w:pPr/>
      <w:r>
        <w:t>as Alora Hospice Software (Alora Health, 2025), CareSmartz360 (CareSmartz360, 2025),</w:t>
      </w:r>
    </w:p>
    <w:p>
      <w:pPr/>
      <w:r>
        <w:t>and Netsmart's palliative care EHR system (Netsmart, 2025) offer no clinical decision</w:t>
      </w:r>
    </w:p>
    <w:p>
      <w:pPr/>
      <w:r>
        <w:t>support and no bereavement follow-up. When AI is used at all, it produces mortality risk</w:t>
      </w:r>
    </w:p>
    <w:p>
      <w:pPr/>
      <w:r>
        <w:t>scores that clinicians cannot interpret (Pinto et al., 2025). The structural gaps span</w:t>
      </w:r>
    </w:p>
    <w:p>
      <w:pPr/>
      <w:r>
        <w:t>coordination, clinical decision support, accessibility, and post-death family care.</w:t>
      </w:r>
    </w:p>
    <w:p>
      <w:pPr>
        <w:pStyle w:val="Heading2"/>
      </w:pPr>
      <w:r>
        <w:t>1.2  Problem Statement</w:t>
      </w:r>
    </w:p>
    <w:p>
      <w:pPr/>
      <w:r>
        <w:t>Palliative care requires coordination, continuity, responsiveness, and personalisation, but</w:t>
      </w:r>
    </w:p>
    <w:p>
      <w:pPr/>
      <w:r>
        <w:t>in practice these rarely coexist. Records do not travel with patients between care settings.</w:t>
      </w:r>
    </w:p>
    <w:p>
      <w:pPr/>
      <w:r>
        <w:t>Decisions are made on incomplete information. Families carry most of the caregiving</w:t>
      </w:r>
    </w:p>
    <w:p>
      <w:pPr/>
      <w:r>
        <w:t>burden yet have no formal involvement in the care process. Care ends abruptly when the</w:t>
      </w:r>
    </w:p>
    <w:p>
      <w:pPr/>
      <w:r>
        <w:t>patient dies and bereaved relatives receive no follow-up.</w:t>
      </w:r>
    </w:p>
    <w:p>
      <w:pPr/>
      <w:r>
        <w:t>Current tools do not close these gaps. AI in palliative care is limited to opaque mortality</w:t>
      </w:r>
    </w:p>
    <w:p>
      <w:pPr/>
      <w:r>
        <w:t>models; clinicians will not act on a recommendation they cannot understand (Abbas et al.,</w:t>
      </w:r>
    </w:p>
    <w:p>
      <w:pPr/>
      <w:r>
        <w:t>2025; Antoniadi et al., 2021). In Ghana, there are no dedicated inpatient palliative wards</w:t>
      </w:r>
    </w:p>
    <w:p>
      <w:pPr/>
      <w:r>
        <w:t>in any teaching hospital, according to the Ghana Palliative Care Association (GPCA)</w:t>
      </w:r>
    </w:p>
    <w:p>
      <w:pPr/>
      <w:r>
        <w:t>(Anon., 2024b), referrals arrive too late, and approximately 40% of bereaved people need</w:t>
      </w:r>
    </w:p>
    <w:p>
      <w:pPr/>
      <w:r>
        <w:t>bereaved people need more support than family and friends can provide (Finucane et al.,</w:t>
      </w:r>
    </w:p>
    <w:p>
      <w:pPr/>
      <w:r>
        <w:t>2024). No platform addresses bereavement once the patient dies.</w:t>
      </w:r>
    </w:p>
    <w:p>
      <w:pPr/>
      <w:r>
        <w:t>An integrated system must handle care fragmentation, enable proactive monitoring,</w:t>
      </w:r>
    </w:p>
    <w:p>
      <w:pPr/>
      <w:r>
        <w:t>produce transparent AI-driven decisions, and sustain bereavement support within the</w:t>
      </w:r>
    </w:p>
    <w:p>
      <w:pPr/>
      <w:r>
        <w:t>resource constraints typical of sub-Saharan Africa.</w:t>
      </w:r>
    </w:p>
    <w:p>
      <w:pPr>
        <w:pStyle w:val="Heading2"/>
      </w:pPr>
      <w:r>
        <w:t>1.3  Objectives of the Study</w:t>
      </w:r>
    </w:p>
    <w:p>
      <w:pPr>
        <w:pStyle w:val="Heading3"/>
      </w:pPr>
      <w:r>
        <w:t>1.3.1  Main Objective</w:t>
      </w:r>
    </w:p>
    <w:p>
      <w:pPr/>
      <w:r>
        <w:t>To develop and implement an explainable, AI-powered framework that improves</w:t>
      </w:r>
    </w:p>
    <w:p>
      <w:pPr/>
      <w:r>
        <w:t>continuity, coordination, and personalised support within palliative care.</w:t>
      </w:r>
    </w:p>
    <w:p>
      <w:pPr>
        <w:pStyle w:val="Heading3"/>
      </w:pPr>
      <w:r>
        <w:t>1.3.2  Specific Objectives</w:t>
      </w:r>
    </w:p>
    <w:p>
      <w:pPr/>
      <w:r>
        <w:t>1.  To build an intelligent palliative care system that enables real-time patient symptom</w:t>
      </w:r>
    </w:p>
    <w:p>
      <w:pPr/>
      <w:r>
        <w:t>tracking, medication management, and scheduling of clinical activities.</w:t>
      </w:r>
    </w:p>
    <w:p>
      <w:pPr/>
      <w:r>
        <w:t>2.  To incorporate Explainable Artificial Intelligence (XAI) techniques, specifically</w:t>
      </w:r>
    </w:p>
    <w:p>
      <w:pPr/>
      <w:r>
        <w:t>SHAP-based models, to generate clear and understandable risk predictions that</w:t>
      </w:r>
    </w:p>
    <w:p>
      <w:pPr/>
      <w:r>
        <w:t>clinicians can act on with confidence.</w:t>
      </w:r>
    </w:p>
    <w:p>
      <w:pPr/>
      <w:r>
        <w:t>3.  To build a single, user-friendly, web-based platform that improves coordination</w:t>
      </w:r>
    </w:p>
    <w:p>
      <w:pPr/>
      <w:r>
        <w:t>among patients, caregivers, and clinicians, includes a structured post-bereavement</w:t>
      </w:r>
    </w:p>
    <w:p>
      <w:pPr/>
      <w:r>
        <w:t>support module, and protects patient data throughout.</w:t>
      </w:r>
    </w:p>
    <w:p>
      <w:pPr>
        <w:pStyle w:val="Heading2"/>
      </w:pPr>
      <w:r>
        <w:t>1.4  Significance of the Study</w:t>
      </w:r>
    </w:p>
    <w:p>
      <w:pPr/>
      <w:r>
        <w:t>From a computer science standpoint, most XAI work in clinical decision support remains</w:t>
      </w:r>
    </w:p>
    <w:p>
      <w:pPr/>
      <w:r>
        <w:t>at the benchmark-dataset level. This project takes SHAP-based explainability out of the</w:t>
      </w:r>
    </w:p>
    <w:p>
      <w:pPr/>
      <w:r>
        <w:t>laboratory and integrates it into a working web prototype that covers symptom monitoring,</w:t>
      </w:r>
    </w:p>
    <w:p>
      <w:pPr/>
      <w:r>
        <w:t>care coordination, and family support simultaneously. That combination has not been tested</w:t>
      </w:r>
    </w:p>
    <w:p>
      <w:pPr/>
      <w:r>
        <w:t>in palliative care before.</w:t>
      </w:r>
    </w:p>
    <w:p>
      <w:pPr/>
      <w:r>
        <w:t>From a healthcare standpoint, the project addresses specific structural problems in Ghana.</w:t>
      </w:r>
    </w:p>
    <w:p>
      <w:pPr/>
      <w:r>
        <w:t>A single platform combining symptom monitoring, care coordination, decision support, and</w:t>
      </w:r>
    </w:p>
    <w:p>
      <w:pPr/>
      <w:r>
        <w:t>bereavement support can make care more proactive and reduce the unsupported burden on</w:t>
      </w:r>
    </w:p>
    <w:p>
      <w:pPr/>
      <w:r>
        <w:t>family caregivers. Bereavement support is the feature most consistently absent from</w:t>
      </w:r>
    </w:p>
    <w:p>
      <w:pPr/>
      <w:r>
        <w:t>existing platforms, yet an estimated 40% of bereaved people need more help than informal</w:t>
      </w:r>
    </w:p>
    <w:p>
      <w:pPr/>
      <w:r>
        <w:t>networks can give (Finucane et al., 2024). This project builds that feature.</w:t>
      </w:r>
    </w:p>
    <w:p>
      <w:pPr/>
      <w:r>
        <w:t>The work also contributes to three United Nations Sustainable Development Goals: Goal 3</w:t>
      </w:r>
    </w:p>
    <w:p>
      <w:pPr/>
      <w:r>
        <w:t>(Good Health and Well-being), Goal 9 (Industry, Innovation and Infrastructure), and</w:t>
      </w:r>
    </w:p>
    <w:p>
      <w:pPr/>
      <w:r>
        <w:t>Goal 10 (Reduced Inequalities), the last being most direct given the system's focus on</w:t>
      </w:r>
    </w:p>
    <w:p>
      <w:pPr/>
      <w:r>
        <w:t>communities currently underserved by Ghana's palliative care system.</w:t>
      </w:r>
    </w:p>
    <w:p>
      <w:pPr>
        <w:pStyle w:val="Heading2"/>
      </w:pPr>
      <w:r>
        <w:t>1.5  Scope of the Study</w:t>
      </w:r>
    </w:p>
    <w:p>
      <w:pPr/>
      <w:r>
        <w:t>The project designed, built, and evaluated a software prototype with four components:</w:t>
      </w:r>
    </w:p>
    <w:p>
      <w:pPr/>
      <w:r>
        <w:t>an intelligent symptom monitoring and care management module; an explainable AI</w:t>
      </w:r>
    </w:p>
    <w:p>
      <w:pPr/>
      <w:r>
        <w:t>clinical decision support module; a unified coordination framework for patients, caregivers,</w:t>
      </w:r>
    </w:p>
    <w:p>
      <w:pPr/>
      <w:r>
        <w:t>and clinicians; and a structured digital bereavement support module. There was no clinical</w:t>
      </w:r>
    </w:p>
    <w:p>
      <w:pPr/>
      <w:r>
        <w:t>deployment and no clinical trial. AI training and testing used structured synthetic data</w:t>
      </w:r>
    </w:p>
    <w:p>
      <w:pPr/>
      <w:r>
        <w:t>within the development environment. The system's light architecture was chosen</w:t>
      </w:r>
    </w:p>
    <w:p>
      <w:pPr/>
      <w:r>
        <w:t>deliberately so it can run without enterprise infrastructure, which matters in resource-</w:t>
      </w:r>
    </w:p>
    <w:p>
      <w:pPr/>
      <w:r>
        <w:t>limited settings across sub-Saharan Africa.</w:t>
      </w:r>
    </w:p>
    <w:p>
      <w:pPr>
        <w:pStyle w:val="Heading2"/>
      </w:pPr>
      <w:r>
        <w:t>1.6  Organisation of the Work</w:t>
      </w:r>
    </w:p>
    <w:p>
      <w:pPr/>
      <w:r>
        <w:t>Chapter 1 presents background, the problem, objectives, significance, and scope.</w:t>
      </w:r>
    </w:p>
    <w:p>
      <w:pPr/>
      <w:r>
        <w:t>Chapter 2 reviews literature across five themes: fragmentation in palliative care, bereavement</w:t>
      </w:r>
    </w:p>
    <w:p>
      <w:pPr/>
      <w:r>
        <w:t>support, personalisation and privacy, ethics in healthcare AI, and AI and chatbot systems.</w:t>
      </w:r>
    </w:p>
    <w:p>
      <w:pPr/>
      <w:r>
        <w:t>Chapter 3 covers methodology and system design. Chapter 4 describes how that design was</w:t>
      </w:r>
    </w:p>
    <w:p>
      <w:pPr/>
      <w:r>
        <w:t>built in code. Chapter 5 reports testing, evaluates the system against the Chapter 1 objectives,</w:t>
      </w:r>
    </w:p>
    <w:p>
      <w:pPr/>
      <w:r>
        <w:t>and states the limitations of the evaluation.</w:t>
      </w:r>
    </w:p>
    <w:p>
      <w:r>
        <w:br w:type="page"/>
      </w:r>
    </w:p>
    <w:p>
      <w:pPr>
        <w:pStyle w:val="Heading1"/>
      </w:pPr>
      <w:r>
        <w:t>CHAPTER 2</w:t>
      </w:r>
    </w:p>
    <w:p>
      <w:pPr>
        <w:pStyle w:val="Heading1"/>
      </w:pPr>
      <w:r>
        <w:t>LITERATURE REVIEW</w:t>
      </w:r>
    </w:p>
    <w:p>
      <w:pPr>
        <w:pStyle w:val="Heading2"/>
      </w:pPr>
      <w:r>
        <w:t>2.1  Overview</w:t>
      </w:r>
    </w:p>
    <w:p>
      <w:pPr/>
      <w:r>
        <w:t>The literature reviewed falls into five groups: fragmentation in palliative care delivery;</w:t>
      </w:r>
    </w:p>
    <w:p>
      <w:pPr/>
      <w:r>
        <w:t>bereavement and post-death family support; personalisation, privacy, and user-centred</w:t>
      </w:r>
    </w:p>
    <w:p>
      <w:pPr/>
      <w:r>
        <w:t>design; ethics in healthcare AI; and AI and chatbot applications in palliative care. The</w:t>
      </w:r>
    </w:p>
    <w:p>
      <w:pPr/>
      <w:r>
        <w:t>Ghanaian context runs through all five rather than standing as a separate theme, because</w:t>
      </w:r>
    </w:p>
    <w:p>
      <w:pPr/>
      <w:r>
        <w:t>the local gaps are best understood by contrasting them with what the global literature</w:t>
      </w:r>
    </w:p>
    <w:p>
      <w:pPr/>
      <w:r>
        <w:t>describes. Theoretical foundations are covered first, followed by empirical findings. All</w:t>
      </w:r>
    </w:p>
    <w:p>
      <w:pPr/>
      <w:r>
        <w:t>reviewed works appear in Table 2.1.</w:t>
      </w:r>
    </w:p>
    <w:p>
      <w:pPr>
        <w:pStyle w:val="Heading2"/>
      </w:pPr>
      <w:r>
        <w:t>2.2  Theoretical Review</w:t>
      </w:r>
    </w:p>
    <w:p>
      <w:pPr>
        <w:pStyle w:val="Heading3"/>
      </w:pPr>
      <w:r>
        <w:t>2.2.1  Fragmentation in Palliative Care Systems</w:t>
      </w:r>
    </w:p>
    <w:p>
      <w:pPr/>
      <w:r>
        <w:t>Health systems built around specialist, episodic care produce fragmentation as a structural</w:t>
      </w:r>
    </w:p>
    <w:p>
      <w:pPr/>
      <w:r>
        <w:t>outcome (Stange, 2009). Palliative care requires the opposite: sustained, whole-patient</w:t>
      </w:r>
    </w:p>
    <w:p>
      <w:pPr/>
      <w:r>
        <w:t>continuity. Lewis (2000) shows that when no single professional is accountable for</w:t>
      </w:r>
    </w:p>
    <w:p>
      <w:pPr/>
      <w:r>
        <w:t>coordination, gaps appear and nobody fills them. Singer et al. (2016) document the</w:t>
      </w:r>
    </w:p>
    <w:p>
      <w:pPr/>
      <w:r>
        <w:t>downstream effect: unnecessary hospitalisations, poorly controlled pain, and poor family</w:t>
      </w:r>
    </w:p>
    <w:p>
      <w:pPr/>
      <w:r>
        <w:t>experience.</w:t>
      </w:r>
    </w:p>
    <w:p>
      <w:pPr/>
      <w:r>
        <w:t>In Ghana, all of these theoretical failure modes show up in practice. Collaboration between</w:t>
      </w:r>
    </w:p>
    <w:p>
      <w:pPr/>
      <w:r>
        <w:t>services is poor, policy integration has not been implemented, and no teaching hospital has</w:t>
      </w:r>
    </w:p>
    <w:p>
      <w:pPr/>
      <w:r>
        <w:t>a dedicated palliative ward (Anon., 2024b). COMPASS Ghana data show referrals arrive</w:t>
      </w:r>
    </w:p>
    <w:p>
      <w:pPr/>
      <w:r>
        <w:t>late, diagnosis often occurs only days before death, and services remain hospital-based</w:t>
      </w:r>
    </w:p>
    <w:p>
      <w:pPr/>
      <w:r>
        <w:t>rather than community-based (Anon., 2024a).</w:t>
      </w:r>
    </w:p>
    <w:p>
      <w:pPr>
        <w:pStyle w:val="Heading3"/>
      </w:pPr>
      <w:r>
        <w:t>2.2.2  Bereavement and Post-Death Support</w:t>
      </w:r>
    </w:p>
    <w:p>
      <w:pPr/>
      <w:r>
        <w:t>WHO guidelines position the family unit as a recipient of care through bereavement (WHO,</w:t>
      </w:r>
    </w:p>
    <w:p>
      <w:pPr/>
      <w:r>
        <w:t>2024). This is clinically sound: bereavement is a period of elevated risk for complicated</w:t>
      </w:r>
    </w:p>
    <w:p>
      <w:pPr/>
      <w:r>
        <w:t>grief, major depression, PTSD, and suicidal ideation, especially among those who</w:t>
      </w:r>
    </w:p>
    <w:p>
      <w:pPr/>
      <w:r>
        <w:t>provided most of the informal caregiving (Finucane et al., 2024). The theoretical basis</w:t>
      </w:r>
    </w:p>
    <w:p>
      <w:pPr/>
      <w:r>
        <w:t>for digital bereavement intervention draws on psychological first aid and cognitive-</w:t>
      </w:r>
    </w:p>
    <w:p>
      <w:pPr/>
      <w:r>
        <w:t>behavioural theories, both of which support peer networking and structured journalling.</w:t>
      </w:r>
    </w:p>
    <w:p>
      <w:pPr/>
      <w:r>
        <w:t>In Ghana, where most caregiving is done by family with no formal support, bereaved carers</w:t>
      </w:r>
    </w:p>
    <w:p>
      <w:pPr/>
      <w:r>
        <w:t>are at maximum vulnerability at the exact moment all support stops. This is why the</w:t>
      </w:r>
    </w:p>
    <w:p>
      <w:pPr/>
      <w:r>
        <w:t>Continuity Bridge was built: to offer a virtual memory vault, journalling, and access to</w:t>
      </w:r>
    </w:p>
    <w:p>
      <w:pPr/>
      <w:r>
        <w:t>professional help at that critical juncture.</w:t>
      </w:r>
    </w:p>
    <w:p>
      <w:pPr>
        <w:pStyle w:val="Heading3"/>
      </w:pPr>
      <w:r>
        <w:t>2.2.3  Personalisation, Privacy, and User-Centred Design</w:t>
      </w:r>
    </w:p>
    <w:p>
      <w:pPr/>
      <w:r>
        <w:t>Population-based AI models perform poorly on individuals from highly variable groups.</w:t>
      </w:r>
    </w:p>
    <w:p>
      <w:pPr/>
      <w:r>
        <w:t>Palliative care patients differ sharply in diagnosis, prognosis, cultural background, religious</w:t>
      </w:r>
    </w:p>
    <w:p>
      <w:pPr/>
      <w:r>
        <w:t>belief, family structure, and digital literacy. An application designed for an average patient</w:t>
      </w:r>
    </w:p>
    <w:p>
      <w:pPr/>
      <w:r>
        <w:t>will fail many actual patients. Templin et al. (2024) identify six failure modes in deploying</w:t>
      </w:r>
    </w:p>
    <w:p>
      <w:pPr/>
      <w:r>
        <w:t>personalised health AI: algorithmic bias, privacy violations, hallucinations and errors,</w:t>
      </w:r>
    </w:p>
    <w:p>
      <w:pPr/>
      <w:r>
        <w:t>contextual insensitivity, consent deficits, and unequal access. All six are relevant to</w:t>
      </w:r>
    </w:p>
    <w:p>
      <w:pPr/>
      <w:r>
        <w:t>palliative care, so the design had to personalise not just content but also consent</w:t>
      </w:r>
    </w:p>
    <w:p>
      <w:pPr/>
      <w:r>
        <w:t>procedures, interfaces, and access policies.</w:t>
      </w:r>
    </w:p>
    <w:p>
      <w:pPr/>
      <w:r>
        <w:t>Privacy here is not only a compliance issue. Palliative care data includes pain levels,</w:t>
      </w:r>
    </w:p>
    <w:p>
      <w:pPr/>
      <w:r>
        <w:t>psychological state, family dynamics, spiritual preferences, and patient wishes around</w:t>
      </w:r>
    </w:p>
    <w:p>
      <w:pPr/>
      <w:r>
        <w:t>death. Maguraushe and Ndlovu (2024) found that none of the smart-technology systems</w:t>
      </w:r>
    </w:p>
    <w:p>
      <w:pPr/>
      <w:r>
        <w:t>they reviewed had a comprehensive privacy-protection policy. Alamri et al. (2025)</w:t>
      </w:r>
    </w:p>
    <w:p>
      <w:pPr/>
      <w:r>
        <w:t>recommend federated learning and encryption as minimum standards for responsible health</w:t>
      </w:r>
    </w:p>
    <w:p>
      <w:pPr/>
      <w:r>
        <w:t>AI; this informed the project's choice of role-based access control and HIPAA-compliant</w:t>
      </w:r>
    </w:p>
    <w:p>
      <w:pPr/>
      <w:r>
        <w:t>data handling.</w:t>
      </w:r>
    </w:p>
    <w:p>
      <w:pPr>
        <w:pStyle w:val="Heading3"/>
      </w:pPr>
      <w:r>
        <w:t>2.2.4  Ethics in Healthcare AI</w:t>
      </w:r>
    </w:p>
    <w:p>
      <w:pPr/>
      <w:r>
        <w:t>Opacity is the central ethical problem in clinical AI. When a model cannot explain its</w:t>
      </w:r>
    </w:p>
    <w:p>
      <w:pPr/>
      <w:r>
        <w:t>output, informed consent cannot be genuine. Gerke et al. (2020) work through the legal and</w:t>
      </w:r>
    </w:p>
    <w:p>
      <w:pPr/>
      <w:r>
        <w:t>ethical implications of opaque clinical AI. Hildt (2025) argues that explainability is a</w:t>
      </w:r>
    </w:p>
    <w:p>
      <w:pPr/>
      <w:r>
        <w:t>moral obligation, not a technical option, because an uninterpretable recommendation</w:t>
      </w:r>
    </w:p>
    <w:p>
      <w:pPr/>
      <w:r>
        <w:t>cannot be consented to or meaningfully evaluated. Tilala et al. (2024) map the four</w:t>
      </w:r>
    </w:p>
    <w:p>
      <w:pPr/>
      <w:r>
        <w:t>principles of biomedical ethics — beneficence, non-maleficence, autonomy, and justice —</w:t>
      </w:r>
    </w:p>
    <w:p>
      <w:pPr/>
      <w:r>
        <w:t>directly onto AI design requirements and show that all four require transparency. Wang et</w:t>
      </w:r>
    </w:p>
    <w:p>
      <w:pPr/>
      <w:r>
        <w:t>al. (2023) add that AI in palliative care risks being read as a substitute for clinical empathy,</w:t>
      </w:r>
    </w:p>
    <w:p>
      <w:pPr/>
      <w:r>
        <w:t>which it is not built to be.</w:t>
      </w:r>
    </w:p>
    <w:p>
      <w:pPr>
        <w:pStyle w:val="Heading3"/>
      </w:pPr>
      <w:r>
        <w:t>2.2.5  AI and Chatbot Systems in Palliative Care</w:t>
      </w:r>
    </w:p>
    <w:p>
      <w:pPr/>
      <w:r>
        <w:t>Prognostic modelling using Random Forest and gradient boosting algorithms has proven</w:t>
      </w:r>
    </w:p>
    <w:p>
      <w:pPr/>
      <w:r>
        <w:t>useful for clinical risk stratification because these methods handle tabular clinical data well</w:t>
      </w:r>
    </w:p>
    <w:p>
      <w:pPr/>
      <w:r>
        <w:t>and produce feature importance scores. SHAP, grounded in cooperative game theory,</w:t>
      </w:r>
    </w:p>
    <w:p>
      <w:pPr/>
      <w:r>
        <w:t>provides a theoretically sound way to decompose ensemble predictions into individual</w:t>
      </w:r>
    </w:p>
    <w:p>
      <w:pPr/>
      <w:r>
        <w:t>feature contributions (Lundberg and Lee, 2017).</w:t>
      </w:r>
    </w:p>
    <w:p>
      <w:pPr/>
      <w:r>
        <w:t>Conversational agents can deliver information in a form that is easier for elderly patients,</w:t>
      </w:r>
    </w:p>
    <w:p>
      <w:pPr/>
      <w:r>
        <w:t>those with low health literacy, and people in emotional distress than reading a document.</w:t>
      </w:r>
    </w:p>
    <w:p>
      <w:pPr/>
      <w:r>
        <w:t>However, Kocaballi et al. (2019) found that most health chatbots lack proper consent,</w:t>
      </w:r>
    </w:p>
    <w:p>
      <w:pPr/>
      <w:r>
        <w:t>safety, and privacy structures. Coghlan et al. (2023) document cases of unhealthy chatbot</w:t>
      </w:r>
    </w:p>
    <w:p>
      <w:pPr/>
      <w:r>
        <w:t>dependency in distressed users — a specific risk in palliative care settings.</w:t>
      </w:r>
    </w:p>
    <w:p>
      <w:pPr>
        <w:pStyle w:val="Heading2"/>
      </w:pPr>
      <w:r>
        <w:t>2.3  Empirical Review</w:t>
      </w:r>
    </w:p>
    <w:p>
      <w:pPr>
        <w:pStyle w:val="Heading3"/>
      </w:pPr>
      <w:r>
        <w:t>2.3.1  Fragmentation and Care Coordination</w:t>
      </w:r>
    </w:p>
    <w:p>
      <w:pPr/>
      <w:r>
        <w:t>Wang et al. (2016) found that over 10% of hospice patients had at least one care transition</w:t>
      </w:r>
    </w:p>
    <w:p>
      <w:pPr/>
      <w:r>
        <w:t>after enrolment, with hospital admission accounting for 53% of those transitions. Every</w:t>
      </w:r>
    </w:p>
    <w:p>
      <w:pPr/>
      <w:r>
        <w:t>handover is a point where information gets lost. Boddaert et al. (2022) showed in a</w:t>
      </w:r>
    </w:p>
    <w:p>
      <w:pPr/>
      <w:r>
        <w:t>retrospective cohort study across European sites that late palliative referral is directly</w:t>
      </w:r>
    </w:p>
    <w:p>
      <w:pPr/>
      <w:r>
        <w:t>linked to incomplete care plans and poor family preparation. Singer et al. (2016) connect</w:t>
      </w:r>
    </w:p>
    <w:p>
      <w:pPr/>
      <w:r>
        <w:t>the absence of multidisciplinary continuity to unnecessary hospitalisation and uncontrolled</w:t>
      </w:r>
    </w:p>
    <w:p>
      <w:pPr/>
      <w:r>
        <w:t>pain. Lewis (2000) found that dedicated care coordinators significantly improved both</w:t>
      </w:r>
    </w:p>
    <w:p>
      <w:pPr/>
      <w:r>
        <w:t>continuity and family satisfaction.</w:t>
      </w:r>
    </w:p>
    <w:p>
      <w:pPr>
        <w:pStyle w:val="Heading3"/>
      </w:pPr>
      <w:r>
        <w:t>2.3.2  Bereavement Support</w:t>
      </w:r>
    </w:p>
    <w:p>
      <w:pPr/>
      <w:r>
        <w:t>Finucane et al. (2024) reviewed 39 studies on bereavement interventions and found that</w:t>
      </w:r>
    </w:p>
    <w:p>
      <w:pPr/>
      <w:r>
        <w:t>approximately 40% of bereaved individuals need support beyond informal networks. Many</w:t>
      </w:r>
    </w:p>
    <w:p>
      <w:pPr/>
      <w:r>
        <w:t>experienced complicated grief, major depression, PTSD, and increased suicidal ideation.</w:t>
      </w:r>
    </w:p>
    <w:p>
      <w:pPr/>
      <w:r>
        <w:t>Digital bereavement interventions using journalling, peer communication, and access to</w:t>
      </w:r>
    </w:p>
    <w:p>
      <w:pPr/>
      <w:r>
        <w:t>mental health resources showed positive outcomes, with participant retention typically</w:t>
      </w:r>
    </w:p>
    <w:p>
      <w:pPr/>
      <w:r>
        <w:t>above 70%. Crucially, no platform reviewed integrated bereavement tools into care</w:t>
      </w:r>
    </w:p>
    <w:p>
      <w:pPr/>
      <w:r>
        <w:t>coordination — the gap this project fills.</w:t>
      </w:r>
    </w:p>
    <w:p>
      <w:pPr>
        <w:pStyle w:val="Heading3"/>
      </w:pPr>
      <w:r>
        <w:t>2.3.3  Personalisation, Privacy, and Explainability</w:t>
      </w:r>
    </w:p>
    <w:p>
      <w:pPr/>
      <w:r>
        <w:t>Maguraushe and Ndlovu (2024) found that inappropriate data access was a consistent</w:t>
      </w:r>
    </w:p>
    <w:p>
      <w:pPr/>
      <w:r>
        <w:t>threat across all smart-technology deployments they studied, and no system had a robust</w:t>
      </w:r>
    </w:p>
    <w:p>
      <w:pPr/>
      <w:r>
        <w:t>privacy framework. Alamri et al. (2025) demonstrated that federated learning and</w:t>
      </w:r>
    </w:p>
    <w:p>
      <w:pPr/>
      <w:r>
        <w:t>encryption substantially reduce privacy risk. Kocaballi et al. (2019) found that very few</w:t>
      </w:r>
    </w:p>
    <w:p>
      <w:pPr/>
      <w:r>
        <w:t>health chatbots implemented adequate consent or safety structures.</w:t>
      </w:r>
    </w:p>
    <w:p>
      <w:pPr>
        <w:pStyle w:val="Heading3"/>
      </w:pPr>
      <w:r>
        <w:t>2.3.4  Explainability and Clinical Decision Support</w:t>
      </w:r>
    </w:p>
    <w:p>
      <w:pPr/>
      <w:r>
        <w:t>Parsons et al. (2025) found that explainability was the requirement most often left unmet</w:t>
      </w:r>
    </w:p>
    <w:p>
      <w:pPr/>
      <w:r>
        <w:t>across clinical decision support systems. Abbas et al. (2025), analysing 62 XAI studies,</w:t>
      </w:r>
    </w:p>
    <w:p>
      <w:pPr/>
      <w:r>
        <w:t>found that SHAP-based explanations integrated into clinical dashboard interfaces were</w:t>
      </w:r>
    </w:p>
    <w:p>
      <w:pPr/>
      <w:r>
        <w:t>especially effective at building clinician trust. Antoniadi et al. (2021) confirmed that</w:t>
      </w:r>
    </w:p>
    <w:p>
      <w:pPr/>
      <w:r>
        <w:t>explanation interfaces embedded in existing clinical workflows outperform stand-alone</w:t>
      </w:r>
    </w:p>
    <w:p>
      <w:pPr/>
      <w:r>
        <w:t>explanation documents.</w:t>
      </w:r>
    </w:p>
    <w:p>
      <w:pPr>
        <w:pStyle w:val="Heading3"/>
      </w:pPr>
      <w:r>
        <w:t>2.3.5  AI and Chatbot Applications</w:t>
      </w:r>
    </w:p>
    <w:p>
      <w:pPr/>
      <w:r>
        <w:t>Pinto et al. (2025) reviewed AI systems in palliative care communication and found the</w:t>
      </w:r>
    </w:p>
    <w:p>
      <w:pPr/>
      <w:r>
        <w:t>field still dominated by mortality prediction tools that provide survival estimates but no</w:t>
      </w:r>
    </w:p>
    <w:p>
      <w:pPr/>
      <w:r>
        <w:t>support for care coordination or family preparation. Once the patient dies, such systems</w:t>
      </w:r>
    </w:p>
    <w:p>
      <w:pPr/>
      <w:r>
        <w:t>have no further use. None of the reviewed systems met all four criteria of accuracy,</w:t>
      </w:r>
    </w:p>
    <w:p>
      <w:pPr/>
      <w:r>
        <w:t>explainability, auditability, and clinician-patient co-design. Coghlan et al. (2023) add that</w:t>
      </w:r>
    </w:p>
    <w:p>
      <w:pPr/>
      <w:r>
        <w:t>anthropomorphisation of chatbots by distressed patients creates dependency risks that most</w:t>
      </w:r>
    </w:p>
    <w:p>
      <w:pPr/>
      <w:r>
        <w:t>systems were never designed to handle.</w:t>
      </w:r>
    </w:p>
    <w:p>
      <w:pPr>
        <w:pStyle w:val="Heading2"/>
      </w:pPr>
      <w:r>
        <w:t>2.4  Summary of Related Works</w:t>
      </w:r>
    </w:p>
    <w:p>
      <w:pPr>
        <w:spacing w:before="240" w:after="80"/>
      </w:pPr>
      <w:r>
        <w:rPr>
          <w:b/>
          <w:i w:val="0"/>
        </w:rPr>
        <w:t>Table 2.1: Summary of Related 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No.  Author(s) and Year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Title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Method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Key Findings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Limitation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Wang et al. (2016)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Care Transitions and Fragmentation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Systematic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10.2% of hospice enrolees had at least one transition post-enrolment;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technological solution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in Palliative Settings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53.4% of transitions were hospital admissions; fragmentation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highest in underserved patients.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Boddaert et al. (2022)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Late Palliative Care Initiation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Retrospective cohort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Late referral strongly linked to poor continuity and incomplete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AI intervention proposed for early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Care Continuity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care plans; worse outcomes for patients referred in final days.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deterioration detection.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Anon. (2024a)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Palliative Care Access and Service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National programme data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48% of Ghana's population lacks insurance; late referrals; services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Descriptive only; no technological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Gaps in Ghana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concentrated in urban hospitals.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solution proposed.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Anon. (2024b)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Palliative Care Development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Organisational reporting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dedicated palliative ward in any teaching hospital; poor service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Descriptive only; no digital solutions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Situation in Ghana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integration; no national implementation plan.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proposed.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Lewis (2000)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Care Coordinators in Continuity of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Mixed-methods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Dedicated coordinators significantly improved continuity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Focuses on human coordination; does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End-of-Life 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family satisfaction.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not address digital coordination.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Stange (2009)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The Problem of Fragmentation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Conceptual synthesis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Specialist-dominated systems produce fragmentation; integrative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Theoretical; no technological solution.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approaches produce better outcomes.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Singer et al. (2016)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Multidisciplinary Continuity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Prospective longitudinal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Absence of continuity correlated with unnecessary hospitalisations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Does not evaluate AI-based continuity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Quality of End-of-Life 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and uncontrolled pain.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solutions.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Finucane et al. (2024)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Bereavement Outcomes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Rapid review (39 studies)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Online bereavement support feasible and effective; retention above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dedicated digital platform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Palliative Care Support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70%; reduced grief intensity and isolation.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for post-death family support.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Templin et al. (2024)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Challenges in Personalised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Narrative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Six core deployment failures identified: algorithmic bias, privacy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specific system proposed addressing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Health AI Deployment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violations, hallucination, insensitivity, consent deficits, inequity.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all six in palliative care.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Maguraushe and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Privacy Risks in Smart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Qualitative case study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Smart health technologies introduced significant privacy risks;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privacy-preserving platform proposed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Ndlovu (2024)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Technologies in Palliative 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robust privacy framework found in any reviewed system.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for palliative care.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Alamri et al. (2025)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Privacy-Preserving Architectures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Experimental design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Federated learning and encryption significantly reduced privacy risk;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Not tested in palliative care settings.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for Healthcare AI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role-based access control maintained high performance.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Kocaballi et al. (2019)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Conversational Agents in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Systematic review (41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Most health chatbots lacked consent, safety, and privacy structures.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integrated solution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Healthcare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studies)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Gris et al. (2023)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Ethical Challenges of AI in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Ethical analysis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AI tools in vulnerable populations created dignity and consent risks.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specific system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Dementia and Palliative 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Gerke et al. (2020)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Ethical and Legal Challenges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Legal and ethical analysis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Opaque AI undermines informed consent and clinical accountability.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Identifies challenges; no explainable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of AI in Healthcare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 implemented.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Hildt (2025)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Explainability as a Moral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Philosophical analysis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Explainability in medical AI is a moral obligation.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Theoretical; no system implemented.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Imperative in Medical AI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Tilala et al. (2024)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Biomedical Ethics and the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Systematic ethical analysis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Four biomedical ethics principles mapped onto AI design requirements;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system implementing these principles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Design of Healthcare AI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systems embedding them produced higher clinician trust.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was built.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Wang et al. (2023)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Humanistic Ethics in Healthcare AI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Ethical analysis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AI risks substituting for human empathy; should support rather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practical design guidance given.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than replace relational care.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Coghlan et al. (2023)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Vulnerability and Affective Risks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Ethical and empirical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Users in distress develop inappropriate reliance on chatbots; most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safeguards or architecture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in Healthcare Chatbots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systems lacked risk mitigation protocols.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Pinto et al. (2025)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AI in Palliative Care Communication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Narrative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reviewed system was both explainable, auditable, and co-designed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implementing system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and Decision-Making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with clinicians and patients.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Parsons et al. (2025)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Explainability in Clinical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Systematic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Explainability was the most consistently unmet requirement;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palliative-care-specific system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Decision Support Systems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clinicians reluctant to act on unexplained recommendations.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proposed.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Abbas et al. (2025)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Explainable AI in Clinical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Meta-analysis (62 studies)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SHAP-based explanations integrated into dashboards most effective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Focused on general clinical settings.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Decision Support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at building trust and improving decision quality.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Antoniadi et al. (2021)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Current Challenges and Future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Systematic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Explanation interfaces embedded in workflows outperform standalone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Not applied to palliative care.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Opportunities for XAI in CDS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outputs.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WHO (2024)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Palliative Care: Key Facts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Global review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56.8 million people need palliative care annually; only 14% receive it;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No AI-based interventions proposed.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gap largest in low- and middle-income countries.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United Nations (2015)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Transforming Our World: The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Policy framework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SDGs 3, 9, and 10 provide the normative framework for health equity.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Broad policy document; no technology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2030 Agenda for Sustainable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strategy for palliative care.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Development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2.5  Research Gap</w:t>
      </w:r>
    </w:p>
    <w:p>
      <w:pPr/>
      <w:r>
        <w:t>Each piece in the literature works on its own. Predictive monitoring tools exist and some</w:t>
      </w:r>
    </w:p>
    <w:p>
      <w:pPr/>
      <w:r>
        <w:t>perform well on clinical benchmarks. SHAP-based explainability improves clinician trust</w:t>
      </w:r>
    </w:p>
    <w:p>
      <w:pPr/>
      <w:r>
        <w:t>when placed inside a dashboard. Online bereavement interventions show measurable</w:t>
      </w:r>
    </w:p>
    <w:p>
      <w:pPr/>
      <w:r>
        <w:t>positive outcomes. Privacy-preserving AI architectures are technically achievable. No</w:t>
      </w:r>
    </w:p>
    <w:p>
      <w:pPr/>
      <w:r>
        <w:t>reviewed system, however, puts these together. Nothing integrates symptom monitoring,</w:t>
      </w:r>
    </w:p>
    <w:p>
      <w:pPr/>
      <w:r>
        <w:t>explainable clinical decision support, care coordination, and structured bereavement</w:t>
      </w:r>
    </w:p>
    <w:p>
      <w:pPr/>
      <w:r>
        <w:t>follow-up into a single platform — let alone one designed for settings where hospital</w:t>
      </w:r>
    </w:p>
    <w:p>
      <w:pPr/>
      <w:r>
        <w:t>infrastructure is limited, community care exists largely in policy documents, and families</w:t>
      </w:r>
    </w:p>
    <w:p>
      <w:pPr/>
      <w:r>
        <w:t>bear the full weight of caregiving with no systemic support once the patient dies. The</w:t>
      </w:r>
    </w:p>
    <w:p>
      <w:pPr/>
      <w:r>
        <w:t>literature provides the components separately. This project assembles them, specifically for</w:t>
      </w:r>
    </w:p>
    <w:p>
      <w:pPr/>
      <w:r>
        <w:t>the Ghanaian context where the need is clearest.</w:t>
      </w:r>
    </w:p>
    <w:p>
      <w:pPr>
        <w:pStyle w:val="Heading2"/>
      </w:pPr>
      <w:r>
        <w:t>2.6  Summary</w:t>
      </w:r>
    </w:p>
    <w:p>
      <w:pPr/>
      <w:r>
        <w:t>Five themes point to one finding: clinical and digital palliative care systems have not</w:t>
      </w:r>
    </w:p>
    <w:p>
      <w:pPr/>
      <w:r>
        <w:t>closed the gap between what the field promises and what patients and families actually</w:t>
      </w:r>
    </w:p>
    <w:p>
      <w:pPr/>
      <w:r>
        <w:t>receive. Care is fragmented, families carry caregiving with no formal involvement, and AI</w:t>
      </w:r>
    </w:p>
    <w:p>
      <w:pPr/>
      <w:r>
        <w:t>in this space has been limited to opaque mortality models that stop being relevant once the</w:t>
      </w:r>
    </w:p>
    <w:p>
      <w:pPr/>
      <w:r>
        <w:t>patient dies. Bereavement support is documented as a clinical need but absent from every</w:t>
      </w:r>
    </w:p>
    <w:p>
      <w:pPr/>
      <w:r>
        <w:t>platform reviewed. Privacy frameworks in deployed systems are inadequate, and the</w:t>
      </w:r>
    </w:p>
    <w:p>
      <w:pPr/>
      <w:r>
        <w:t>ethical obligation to make clinical AI explainable — documented by Gerke et al. (2020),</w:t>
      </w:r>
    </w:p>
    <w:p>
      <w:pPr/>
      <w:r>
        <w:t>Hildt (2025), and Tilala et al. (2024) — is rarely met.</w:t>
      </w:r>
    </w:p>
    <w:p>
      <w:pPr/>
      <w:r>
        <w:t>In Ghana, the COMPASS Ghana data (Anon., 2024a) and Ghana Palliative Care Association</w:t>
      </w:r>
    </w:p>
    <w:p>
      <w:pPr/>
      <w:r>
        <w:t>(GPCA) documentation (Anon., 2024b) make these failures concrete: referrals arrive too</w:t>
      </w:r>
    </w:p>
    <w:p>
      <w:pPr/>
      <w:r>
        <w:t>late, no teaching hospital has a dedicated palliative ward, and 44% of the population has</w:t>
      </w:r>
    </w:p>
    <w:p>
      <w:pPr/>
      <w:r>
        <w:t>no active health insurance. These gaps define what this project was built to address.</w:t>
      </w:r>
    </w:p>
    <w:p>
      <w:r>
        <w:br w:type="page"/>
      </w:r>
    </w:p>
    <w:p>
      <w:pPr>
        <w:pStyle w:val="Heading1"/>
      </w:pPr>
      <w:r>
        <w:t>CHAPTER 3</w:t>
      </w:r>
    </w:p>
    <w:p>
      <w:pPr>
        <w:pStyle w:val="Heading1"/>
      </w:pPr>
      <w:r>
        <w:t>METHODOLOGY AND SYSTEM DESIGN</w:t>
      </w:r>
    </w:p>
    <w:p>
      <w:pPr>
        <w:pStyle w:val="Heading2"/>
      </w:pPr>
      <w:r>
        <w:t>3.1  Introduction</w:t>
      </w:r>
    </w:p>
    <w:p>
      <w:pPr/>
      <w:r>
        <w:t>This chapter presents the methodology and system design behind Project AURA. It covers</w:t>
      </w:r>
    </w:p>
    <w:p>
      <w:pPr/>
      <w:r>
        <w:t>the research approach, the software development life cycle, the system architecture, the</w:t>
      </w:r>
    </w:p>
    <w:p>
      <w:pPr/>
      <w:r>
        <w:t>database design, the AI model design and explainability approach, the security</w:t>
      </w:r>
    </w:p>
    <w:p>
      <w:pPr/>
      <w:r>
        <w:t>architecture, the technology stack, and the key runtime process flows. Four functional</w:t>
      </w:r>
    </w:p>
    <w:p>
      <w:pPr/>
      <w:r>
        <w:t>pillars organise the entire design: the Intelligent Monitoring Core, the Adaptive Care</w:t>
      </w:r>
    </w:p>
    <w:p>
      <w:pPr/>
      <w:r>
        <w:t>Guide, the Unified Care Dashboard, and the Continuity Bridge.</w:t>
      </w:r>
    </w:p>
    <w:p>
      <w:pPr>
        <w:pStyle w:val="Heading2"/>
      </w:pPr>
      <w:r>
        <w:t>3.2  Research Approach</w:t>
      </w:r>
    </w:p>
    <w:p>
      <w:pPr/>
      <w:r>
        <w:t>The project follows a design science research approach, where the primary contribution is</w:t>
      </w:r>
    </w:p>
    <w:p>
      <w:pPr/>
      <w:r>
        <w:t>a purposefully built artefact rather than a tested hypothesis (Hevner et al., 2004). The</w:t>
      </w:r>
    </w:p>
    <w:p>
      <w:pPr/>
      <w:r>
        <w:t>fragmentation, explainability gaps, and absence of bereavement support documented in</w:t>
      </w:r>
    </w:p>
    <w:p>
      <w:pPr/>
      <w:r>
        <w:t>Chapters 1 and 2 constitute the problem. The artefact — a full-stack web platform — was</w:t>
      </w:r>
    </w:p>
    <w:p>
      <w:pPr/>
      <w:r>
        <w:t>built to address it. Work proceeded through four stages: problem awareness (literature</w:t>
      </w:r>
    </w:p>
    <w:p>
      <w:pPr/>
      <w:r>
        <w:t>review), suggestion (candidate architectures and models), development (the build), and</w:t>
      </w:r>
    </w:p>
    <w:p>
      <w:pPr/>
      <w:r>
        <w:t>evaluation (testing against the objectives). This approach fits because the research</w:t>
      </w:r>
    </w:p>
    <w:p>
      <w:pPr/>
      <w:r>
        <w:t>question is fundamentally "what can be built and how well does it perform?" rather than a</w:t>
      </w:r>
    </w:p>
    <w:p>
      <w:pPr/>
      <w:r>
        <w:t>statistical question about human subjects.</w:t>
      </w:r>
    </w:p>
    <w:p>
      <w:pPr>
        <w:pStyle w:val="Heading2"/>
      </w:pPr>
      <w:r>
        <w:t>3.3  Software Development Life Cycle</w:t>
      </w:r>
    </w:p>
    <w:p>
      <w:pPr/>
      <w:r>
        <w:t>The Waterfall model was adopted as the software development life cycle (Royce, 1970).</w:t>
      </w:r>
    </w:p>
    <w:p>
      <w:pPr/>
      <w:r>
        <w:t>It structures development into five sequential phases — Requirements Analysis, System</w:t>
      </w:r>
    </w:p>
    <w:p>
      <w:pPr/>
      <w:r>
        <w:t>Design, Implementation, Testing, and Deployment and Documentation — each completed</w:t>
      </w:r>
    </w:p>
    <w:p>
      <w:pPr/>
      <w:r>
        <w:t>and reviewed before the next begins. Three reasons made it the right choice here. First,</w:t>
      </w:r>
    </w:p>
    <w:p>
      <w:pPr/>
      <w:r>
        <w:t>a capstone project has a fixed academic timetable with supervisor sign-off gates at defined</w:t>
      </w:r>
    </w:p>
    <w:p>
      <w:pPr/>
      <w:r>
        <w:t>milestones, which maps naturally onto sequential phase completion. Second, requirements</w:t>
      </w:r>
    </w:p>
    <w:p>
      <w:pPr/>
      <w:r>
        <w:t>were substantially derived upfront from the literature review, reducing the need for</w:t>
      </w:r>
    </w:p>
    <w:p>
      <w:pPr/>
      <w:r>
        <w:t>continuous discovery that iterative models accommodate. Third, one developer working</w:t>
      </w:r>
    </w:p>
    <w:p>
      <w:pPr/>
      <w:r>
        <w:t>under supervision benefits from documenting each phase fully before moving on, since it</w:t>
      </w:r>
    </w:p>
    <w:p>
      <w:pPr/>
      <w:r>
        <w:t>produces the auditable trail this report records.</w:t>
      </w:r>
    </w:p>
    <w:p>
      <w:pPr>
        <w:spacing w:before="240" w:after="80"/>
        <w:jc w:val="center"/>
      </w:pPr>
      <w:r>
        <w:rPr>
          <w:i/>
        </w:rPr>
        <w:t>Figure 3.1: Waterfall Software Development Life Cycle Followed for the Project</w:t>
      </w:r>
    </w:p>
    <w:p>
      <w:pPr>
        <w:pStyle w:val="Heading3"/>
      </w:pPr>
      <w:r>
        <w:t>3.3.1  Phase 1 — Requirements Analysis</w:t>
      </w:r>
    </w:p>
    <w:p>
      <w:pPr/>
      <w:r>
        <w:t>Requirements were derived by walking through the palliative care journey from diagnosis</w:t>
      </w:r>
    </w:p>
    <w:p>
      <w:pPr/>
      <w:r>
        <w:t>to bereavement and asking what each stakeholder — admin, clinician, caregiver, patient,</w:t>
      </w:r>
    </w:p>
    <w:p>
      <w:pPr/>
      <w:r>
        <w:t>and family — would need at each stage. Functional requirements covered clinical data</w:t>
      </w:r>
    </w:p>
    <w:p>
      <w:pPr/>
      <w:r>
        <w:t>capture (vital signs, symptoms, medications, appointments, and six validated assessment</w:t>
      </w:r>
    </w:p>
    <w:p>
      <w:pPr/>
      <w:r>
        <w:t>instruments: the Edmonton Symptom Assessment System (ESAS), the Palliative Performance Scale (PPS),</w:t>
      </w:r>
    </w:p>
    <w:p>
      <w:pPr/>
      <w:r>
        <w:t>the Barthel Index, the Mini Mental State Examination (MMSE), the Patient Health Questionnaire-9 (PHQ-9),</w:t>
      </w:r>
    </w:p>
    <w:p>
      <w:pPr/>
      <w:r>
        <w:t>and the Generalised Anxiety Disorder-7 scale (GAD-7)), risk prediction and explanation, care planning,</w:t>
      </w:r>
    </w:p>
    <w:p>
      <w:pPr/>
      <w:r>
        <w:t>secure messaging, and bereavement support.</w:t>
      </w:r>
    </w:p>
    <w:p>
      <w:pPr/>
      <w:r>
        <w:t>Non-functional requirements included explainable AI output, offline-capable data capture,</w:t>
      </w:r>
    </w:p>
    <w:p>
      <w:pPr/>
      <w:r>
        <w:t>accessibility for users with visual, motor, or cognitive</w:t>
      </w:r>
    </w:p>
    <w:p>
      <w:pPr/>
      <w:r>
        <w:t>impairment, and role-based access control with audit logging.</w:t>
      </w:r>
    </w:p>
    <w:p>
      <w:pPr>
        <w:pStyle w:val="Heading3"/>
      </w:pPr>
      <w:r>
        <w:t>3.3.2  Phase 2 — System Design</w:t>
      </w:r>
    </w:p>
    <w:p>
      <w:pPr/>
      <w:r>
        <w:t>The design phase converted requirements into architecture before any code was written.</w:t>
      </w:r>
    </w:p>
    <w:p>
      <w:pPr/>
      <w:r>
        <w:t>A layered client-server architecture was selected. An entity-relationship model was drafted</w:t>
      </w:r>
    </w:p>
    <w:p>
      <w:pPr/>
      <w:r>
        <w:t>for the database. The eight clinical risk domains to be predicted were identified from the</w:t>
      </w:r>
    </w:p>
    <w:p>
      <w:pPr/>
      <w:r>
        <w:t>assessment instruments, and a decision was made that every prediction must carry a SHAP</w:t>
      </w:r>
    </w:p>
    <w:p>
      <w:pPr/>
      <w:r>
        <w:t>explanation — no risk score would reach a clinician without one. Low-fidelity wireframes</w:t>
      </w:r>
    </w:p>
    <w:p>
      <w:pPr/>
      <w:r>
        <w:t>were produced for the role-aware dashboard, the patient portal, and the family-facing</w:t>
      </w:r>
    </w:p>
    <w:p>
      <w:pPr/>
      <w:r>
        <w:t>Continuity Bridge.</w:t>
      </w:r>
    </w:p>
    <w:p>
      <w:pPr>
        <w:pStyle w:val="Heading3"/>
      </w:pPr>
      <w:r>
        <w:t>3.3.3  Phase 3 — Implementation</w:t>
      </w:r>
    </w:p>
    <w:p>
      <w:pPr/>
      <w:r>
        <w:t>Implementation proceeded in dependency order: authentication and the core clinical</w:t>
      </w:r>
    </w:p>
    <w:p>
      <w:pPr/>
      <w:r>
        <w:t>modules first, the Intelligent Monitoring Core next, the Unified Care Dashboard once risk</w:t>
      </w:r>
    </w:p>
    <w:p>
      <w:pPr/>
      <w:r>
        <w:t>data existed to display, and the Adaptive Care Guide and Continuity Bridge last. Each</w:t>
      </w:r>
    </w:p>
    <w:p>
      <w:pPr/>
      <w:r>
        <w:t>module's design was reviewed against its specification before it was considered complete.</w:t>
      </w:r>
    </w:p>
    <w:p>
      <w:pPr>
        <w:pStyle w:val="Heading3"/>
      </w:pPr>
      <w:r>
        <w:t>3.3.4  Phase 4 — Testing</w:t>
      </w:r>
    </w:p>
    <w:p>
      <w:pPr/>
      <w:r>
        <w:t>Testing operated at three levels: an API smoke test suite; held-out evaluation of each</w:t>
      </w:r>
    </w:p>
    <w:p>
      <w:pPr/>
      <w:r>
        <w:t>XGBoost model using a stratified 80/20 train-test split, Stratified K-Fold cross-validation</w:t>
      </w:r>
    </w:p>
    <w:p>
      <w:pPr/>
      <w:r>
        <w:t>during hyperparameter tuning, and SMOTE for class imbalance; and a manual walkthrough</w:t>
      </w:r>
    </w:p>
    <w:p>
      <w:pPr/>
      <w:r>
        <w:t>of every module's principal user interface flows against the seeded demonstration data.</w:t>
      </w:r>
    </w:p>
    <w:p>
      <w:pPr/>
      <w:r>
        <w:t>The evaluation is of a prototype on synthetic data. These limitations are stated plainly in</w:t>
      </w:r>
    </w:p>
    <w:p>
      <w:pPr/>
      <w:r>
        <w:t>Chapter 5.</w:t>
      </w:r>
    </w:p>
    <w:p>
      <w:pPr>
        <w:pStyle w:val="Heading3"/>
      </w:pPr>
      <w:r>
        <w:t>3.3.5  Phase 5 — Deployment and Documentation</w:t>
      </w:r>
    </w:p>
    <w:p>
      <w:pPr/>
      <w:r>
        <w:t>For development and demonstration, the backend runs on Uvicorn at port 8000 and the</w:t>
      </w:r>
    </w:p>
    <w:p>
      <w:pPr/>
      <w:r>
        <w:t>frontend on the Vite development server at port 5173, with a Windows launcher script</w:t>
      </w:r>
    </w:p>
    <w:p>
      <w:pPr/>
      <w:r>
        <w:t>starting both together. All configuration — database connection string, JWT signing secret,</w:t>
      </w:r>
    </w:p>
    <w:p>
      <w:pPr/>
      <w:r>
        <w:t>and LLM provider API keys — is externalised to environment variables, so the same</w:t>
      </w:r>
    </w:p>
    <w:p>
      <w:pPr/>
      <w:r>
        <w:t>codebase can be pointed at a production PostgreSQL database and served behind a</w:t>
      </w:r>
    </w:p>
    <w:p>
      <w:pPr/>
      <w:r>
        <w:t>production process manager without any code change.</w:t>
      </w:r>
    </w:p>
    <w:p>
      <w:pPr>
        <w:pStyle w:val="Heading2"/>
      </w:pPr>
      <w:r>
        <w:t>3.4  System Architecture</w:t>
      </w:r>
    </w:p>
    <w:p>
      <w:pPr>
        <w:spacing w:before="240" w:after="80"/>
        <w:jc w:val="center"/>
      </w:pPr>
      <w:r>
        <w:rPr>
          <w:i/>
        </w:rPr>
        <w:t>Figure 3.2: System Architecture Showing the Five Cooperating Layers</w:t>
      </w:r>
    </w:p>
    <w:p>
      <w:pPr/>
      <w:r>
        <w:t>The system is a layered client-server application. A React/Vite single-page application</w:t>
      </w:r>
    </w:p>
    <w:p>
      <w:pPr/>
      <w:r>
        <w:t>communicates with a FastAPI backend over REST endpoints and a persistent WebSocket</w:t>
      </w:r>
    </w:p>
    <w:p>
      <w:pPr/>
      <w:r>
        <w:t>connection. The backend persists data through SQLAlchemy to SQLite in development and</w:t>
      </w:r>
    </w:p>
    <w:p>
      <w:pPr/>
      <w:r>
        <w:t>PostgreSQL in production. The eight XGBoost models and their SHAP explainers are</w:t>
      </w:r>
    </w:p>
    <w:p>
      <w:pPr/>
      <w:r>
        <w:t>loaded into the backend process at startup, serving predictions with low latency rather than</w:t>
      </w:r>
    </w:p>
    <w:p>
      <w:pPr/>
      <w:r>
        <w:t>through a separate model server.</w:t>
      </w:r>
    </w:p>
    <w:p>
      <w:pPr>
        <w:pStyle w:val="Heading3"/>
      </w:pPr>
      <w:r>
        <w:t>3.4.1  Data Input Layer</w:t>
      </w:r>
    </w:p>
    <w:p>
      <w:pPr/>
      <w:r>
        <w:t>The data input layer is the set of forms and structured entry points through which</w:t>
      </w:r>
    </w:p>
    <w:p>
      <w:pPr/>
      <w:r>
        <w:t>clinicians, caregivers, and patients record information: vital signs (heart rate, blood</w:t>
      </w:r>
    </w:p>
    <w:p>
      <w:pPr/>
      <w:r>
        <w:t>pressure, oxygen saturation, temperature, respiratory rate), symptom logs, medication</w:t>
      </w:r>
    </w:p>
    <w:p>
      <w:pPr/>
      <w:r>
        <w:t>records, appointment scheduling, and the six validated clinical assessment instruments</w:t>
      </w:r>
    </w:p>
    <w:p>
      <w:pPr/>
      <w:r>
        <w:t>named in Section 3.3.1. Every submission is validated against a Pydantic schema before</w:t>
      </w:r>
    </w:p>
    <w:p>
      <w:pPr/>
      <w:r>
        <w:t>it is persisted, which both rejects malformed input at the system boundary and gives the</w:t>
      </w:r>
    </w:p>
    <w:p>
      <w:pPr/>
      <w:r>
        <w:t>Intelligent Monitoring Core a guarantee about the shape and range of the data it will later</w:t>
      </w:r>
    </w:p>
    <w:p>
      <w:pPr/>
      <w:r>
        <w:t>read.</w:t>
      </w:r>
    </w:p>
    <w:p>
      <w:pPr>
        <w:pStyle w:val="Heading3"/>
      </w:pPr>
      <w:r>
        <w:t>3.4.2  Intelligent Monitoring Core</w:t>
      </w:r>
    </w:p>
    <w:p>
      <w:pPr/>
      <w:r>
        <w:t>This is the AI engine of the system, described fully in Section 3.6. In architectural terms</w:t>
      </w:r>
    </w:p>
    <w:p>
      <w:pPr/>
      <w:r>
        <w:t>it consists of: a feature extraction function that reads the most recent vitals, assessment</w:t>
      </w:r>
    </w:p>
    <w:p>
      <w:pPr/>
      <w:r>
        <w:t>scores, medications, and alert history for a given patient; eight independently trained</w:t>
      </w:r>
    </w:p>
    <w:p>
      <w:pPr/>
      <w:r>
        <w:t>XGBoost classifiers, each scoring one clinical risk domain; a SHAP TreeExplainer</w:t>
      </w:r>
    </w:p>
    <w:p>
      <w:pPr/>
      <w:r>
        <w:t>attached to each model; and a weighted aggregation function combining the eight domain</w:t>
      </w:r>
    </w:p>
    <w:p>
      <w:pPr/>
      <w:r>
        <w:t>scores into a single overall risk level — low, moderate, high, or critical. A background</w:t>
      </w:r>
    </w:p>
    <w:p>
      <w:pPr/>
      <w:r>
        <w:t>scheduler periodically re-runs this pipeline across all active patients and raises an alert</w:t>
      </w:r>
    </w:p>
    <w:p>
      <w:pPr/>
      <w:r>
        <w:t>for any patient whose overall risk crosses the high or critical threshold.</w:t>
      </w:r>
    </w:p>
    <w:p>
      <w:pPr>
        <w:pStyle w:val="Heading3"/>
      </w:pPr>
      <w:r>
        <w:t>3.4.3  Adaptive Care Guide</w:t>
      </w:r>
    </w:p>
    <w:p>
      <w:pPr/>
      <w:r>
        <w:t>The Adaptive Care Guide turns clinical context into recommended action. It has three</w:t>
      </w:r>
    </w:p>
    <w:p>
      <w:pPr/>
      <w:r>
        <w:t>components. A care plan engine maps a patient's diagnosis, functional status, and symptom</w:t>
      </w:r>
    </w:p>
    <w:p>
      <w:pPr/>
      <w:r>
        <w:t>burden onto goals, checklist items, and interventions. A personalisation engine reads an</w:t>
      </w:r>
    </w:p>
    <w:p>
      <w:pPr/>
      <w:r>
        <w:t>onboarding questionnaire completed at first login — covering primary condition, care</w:t>
      </w:r>
    </w:p>
    <w:p>
      <w:pPr/>
      <w:r>
        <w:t>priorities, spiritual background, emotional needs, and content preferences — and derives</w:t>
      </w:r>
    </w:p>
    <w:p>
      <w:pPr/>
      <w:r>
        <w:t>interface visibility flags, content tags, and a daily focus message from these signals. These</w:t>
      </w:r>
    </w:p>
    <w:p>
      <w:pPr/>
      <w:r>
        <w:t>flags centrally control which navigation sections, AI assistants, and spiritual care content</w:t>
      </w:r>
    </w:p>
    <w:p>
      <w:pPr/>
      <w:r>
        <w:t>are shown to that user across the entire interface, so a patient who opted out of a feature</w:t>
      </w:r>
    </w:p>
    <w:p>
      <w:pPr/>
      <w:r>
        <w:t>during onboarding is not shown it anywhere. A journey tracking service places each</w:t>
      </w:r>
    </w:p>
    <w:p>
      <w:pPr/>
      <w:r>
        <w:t>patient at one of six care phases based on clinical data already in the system, as shown in</w:t>
      </w:r>
    </w:p>
    <w:p>
      <w:pPr/>
      <w:r>
        <w:t>Table 4.3.</w:t>
      </w:r>
    </w:p>
    <w:p>
      <w:pPr>
        <w:pStyle w:val="Heading3"/>
      </w:pPr>
      <w:r>
        <w:t>3.4.4  Unified Care Dashboard</w:t>
      </w:r>
    </w:p>
    <w:p>
      <w:pPr/>
      <w:r>
        <w:t>The Unified Care Dashboard is the primary interface for admin, clinician, caregiver, and</w:t>
      </w:r>
    </w:p>
    <w:p>
      <w:pPr/>
      <w:r>
        <w:t>patient roles. It brings together: the role-aware landing dashboard; patient list and detailed</w:t>
      </w:r>
    </w:p>
    <w:p>
      <w:pPr/>
      <w:r>
        <w:t>record views; clinical assessment forms; medication and drug interaction views; an</w:t>
      </w:r>
    </w:p>
    <w:p>
      <w:pPr/>
      <w:r>
        <w:t>appointment scheduler; a messaging system with a client-side urgency classifier; a</w:t>
      </w:r>
    </w:p>
    <w:p>
      <w:pPr/>
      <w:r>
        <w:t>notification centre that ranks alerts by clinical priority; and the AI Clinical Intelligence</w:t>
      </w:r>
    </w:p>
    <w:p>
      <w:pPr/>
      <w:r>
        <w:t>hub presenting risk stratification, drug interaction analysis, and system overview. Real-time</w:t>
      </w:r>
    </w:p>
    <w:p>
      <w:pPr/>
      <w:r>
        <w:t>updates arrive over the WebSocket connection so the dashboard always reflects current</w:t>
      </w:r>
    </w:p>
    <w:p>
      <w:pPr/>
      <w:r>
        <w:t>state without manual refresh.</w:t>
      </w:r>
    </w:p>
    <w:p>
      <w:pPr>
        <w:pStyle w:val="Heading3"/>
      </w:pPr>
      <w:r>
        <w:t>3.4.5  Continuity Bridge</w:t>
      </w:r>
    </w:p>
    <w:p>
      <w:pPr/>
      <w:r>
        <w:t>The Continuity Bridge extends the platform beyond active treatment into bereavement,</w:t>
      </w:r>
    </w:p>
    <w:p>
      <w:pPr/>
      <w:r>
        <w:t>addressing the discontinuity documented in Chapter 2 directly. It gives family members: a</w:t>
      </w:r>
    </w:p>
    <w:p>
      <w:pPr/>
      <w:r>
        <w:t>timeline view of the care journey; a memory vault with automatic clustering of entries into</w:t>
      </w:r>
    </w:p>
    <w:p>
      <w:pPr/>
      <w:r>
        <w:t>themes such as joy, family, and gratitude; a private grief journal with natural language tone</w:t>
      </w:r>
    </w:p>
    <w:p>
      <w:pPr/>
      <w:r>
        <w:t>detection; a 13-item PG-13 grief screening instrument; and a digital legacy system through</w:t>
      </w:r>
    </w:p>
    <w:p>
      <w:pPr/>
      <w:r>
        <w:t>which a patient can designate heirs and prepare messages for delivery after death. Each</w:t>
      </w:r>
    </w:p>
    <w:p>
      <w:pPr/>
      <w:r>
        <w:t>heir carries an independently assigned access level — full, memories only, or messages</w:t>
      </w:r>
    </w:p>
    <w:p>
      <w:pPr/>
      <w:r>
        <w:t>only — enforced separately from the user's system role.</w:t>
      </w:r>
    </w:p>
    <w:p>
      <w:pPr>
        <w:pStyle w:val="Heading2"/>
      </w:pPr>
      <w:r>
        <w:t>3.5  Database Design</w:t>
      </w:r>
    </w:p>
    <w:p>
      <w:pPr>
        <w:spacing w:before="240" w:after="80"/>
        <w:jc w:val="center"/>
      </w:pPr>
      <w:r>
        <w:rPr>
          <w:i/>
        </w:rPr>
        <w:t>Figure 3.3: Entity-Relationship Diagram of the System Database</w:t>
      </w:r>
    </w:p>
    <w:p>
      <w:pPr/>
      <w:r>
        <w:t>The database uses SQLAlchemy with SQLite in development and PostgreSQL in</w:t>
      </w:r>
    </w:p>
    <w:p>
      <w:pPr/>
      <w:r>
        <w:t>production, switched by a single environment variable. The Patient entity is the centre of</w:t>
      </w:r>
    </w:p>
    <w:p>
      <w:pPr/>
      <w:r>
        <w:t>the schema; almost every other table relates to it by a foreign key. Tables fall into six</w:t>
      </w:r>
    </w:p>
    <w:p>
      <w:pPr/>
      <w:r>
        <w:t>functional groups:</w:t>
      </w:r>
    </w:p>
    <w:p>
      <w:pPr/>
      <w:r>
        <w:t>Core tables — User, Patient, Vital, Symptom, Medication, Appointment, Alert,</w:t>
      </w:r>
    </w:p>
    <w:p>
      <w:pPr/>
      <w:r>
        <w:t>NotificationQueue — capturing identity, the patient record, and the moment-to-moment</w:t>
      </w:r>
    </w:p>
    <w:p>
      <w:pPr/>
      <w:r>
        <w:t>clinical events.</w:t>
      </w:r>
    </w:p>
    <w:p>
      <w:pPr/>
      <w:r>
        <w:t>Assessment tables — ESASAssessment, PPSAssessment, FunctionalAssessment (Barthel),</w:t>
      </w:r>
    </w:p>
    <w:p>
      <w:pPr/>
      <w:r>
        <w:t>CognitiveAssessment (MMSE), PHQ9Assessment, GAD7Assessment,</w:t>
      </w:r>
    </w:p>
    <w:p>
      <w:pPr/>
      <w:r>
        <w:t>MedicationAdherenceLog — each corresponding to one validated clinical instrument and</w:t>
      </w:r>
    </w:p>
    <w:p>
      <w:pPr/>
      <w:r>
        <w:t>supplying features directly to the Intelligent Monitoring Core.</w:t>
      </w:r>
    </w:p>
    <w:p>
      <w:pPr/>
      <w:r>
        <w:t>Care and planning tables — CarePlan, CareGoal, CareGoalChecklist, CareIntervention,</w:t>
      </w:r>
    </w:p>
    <w:p>
      <w:pPr/>
      <w:r>
        <w:t>CaregiverAssignment, PatientPreferences, CareSetting — recording the Adaptive Care</w:t>
      </w:r>
    </w:p>
    <w:p>
      <w:pPr/>
      <w:r>
        <w:t>Guide's output and caregiver assignments.</w:t>
      </w:r>
    </w:p>
    <w:p>
      <w:pPr/>
      <w:r>
        <w:t>Community and social tables — CommunityGroup, GroupMembership, GroupPost,</w:t>
      </w:r>
    </w:p>
    <w:p>
      <w:pPr/>
      <w:r>
        <w:t>PostReaction, Message, Conversation, Resource, ResourceBookmark — supporting peer</w:t>
      </w:r>
    </w:p>
    <w:p>
      <w:pPr/>
      <w:r>
        <w:t>support and educational content.</w:t>
      </w:r>
    </w:p>
    <w:p>
      <w:pPr/>
      <w:r>
        <w:t>Bereavement and legacy tables — BereavementEntry, GriefScreening, LegacyConsent,</w:t>
      </w:r>
    </w:p>
    <w:p>
      <w:pPr/>
      <w:r>
        <w:t>LegacyHeir, LegacyContent — implementing the Continuity Bridge.</w:t>
      </w:r>
    </w:p>
    <w:p>
      <w:pPr/>
      <w:r>
        <w:t>Governance tables — UsabilityFeedback, ChatbotConsent, CrisisAlert, ClinicalOverride,</w:t>
      </w:r>
    </w:p>
    <w:p>
      <w:pPr/>
      <w:r>
        <w:t>AuditLog — supporting ethical oversight and usability evaluation.</w:t>
      </w:r>
    </w:p>
    <w:p>
      <w:pPr/>
      <w:r>
        <w:t>Schema changes were applied through incremental migration scripts rather than a</w:t>
      </w:r>
    </w:p>
    <w:p>
      <w:pPr/>
      <w:r>
        <w:t>monolithic schema definition, reflecting the fact that several tables were added once the</w:t>
      </w:r>
    </w:p>
    <w:p>
      <w:pPr/>
      <w:r>
        <w:t>corresponding feature was designed rather than all being specified at the project's start.</w:t>
      </w:r>
    </w:p>
    <w:p>
      <w:pPr>
        <w:pStyle w:val="Heading2"/>
      </w:pPr>
      <w:r>
        <w:t>3.6  AI Model Design and Explainability</w:t>
      </w:r>
    </w:p>
    <w:p>
      <w:pPr>
        <w:spacing w:before="240" w:after="80"/>
        <w:jc w:val="center"/>
      </w:pPr>
      <w:r>
        <w:rPr>
          <w:i/>
        </w:rPr>
        <w:t>Figure 3.4: Explainable AI Pipeline from Input Features to SHAP-Based Clinician Output</w:t>
      </w:r>
    </w:p>
    <w:p>
      <w:pPr/>
      <w:r>
        <w:t>Explainability was treated as a first-class design requirement, not an add-on, in direct</w:t>
      </w:r>
    </w:p>
    <w:p>
      <w:pPr/>
      <w:r>
        <w:t>response to the opacity of existing mortality tools documented in Chapter 2. The system</w:t>
      </w:r>
    </w:p>
    <w:p>
      <w:pPr/>
      <w:r>
        <w:t>therefore does not use a single monolithic model. Instead, eight independent XGBoost</w:t>
      </w:r>
    </w:p>
    <w:p>
      <w:pPr/>
      <w:r>
        <w:t>classifiers — one per clinical domain — are trained, each paired with its own SHAP</w:t>
      </w:r>
    </w:p>
    <w:p>
      <w:pPr/>
      <w:r>
        <w:t>TreeExplainer so that every risk score can be traced back to the specific clinical values</w:t>
      </w:r>
    </w:p>
    <w:p>
      <w:pPr/>
      <w:r>
        <w:t>that drove it.</w:t>
      </w:r>
    </w:p>
    <w:p>
      <w:pPr/>
      <w:r>
        <w:t>XGBoost (Chen and Guestrin, 2016) was chosen over logistic regression or deep neural</w:t>
      </w:r>
    </w:p>
    <w:p>
      <w:pPr/>
      <w:r>
        <w:t>networks for three reasons: it performs well on structured, tabular, partially missing</w:t>
      </w:r>
    </w:p>
    <w:p>
      <w:pPr/>
      <w:r>
        <w:t>clinical data; it trains quickly enough to be retrained as new patient data accumulates;</w:t>
      </w:r>
    </w:p>
    <w:p>
      <w:pPr/>
      <w:r>
        <w:t>and it is directly compatible with SHAP TreeExplainer, which computes exact rather than</w:t>
      </w:r>
    </w:p>
    <w:p>
      <w:pPr/>
      <w:r>
        <w:t>approximated Shapley values for tree-based models (Lundberg and Lee, 2017).</w:t>
      </w:r>
    </w:p>
    <w:p>
      <w:pPr/>
      <w:r>
        <w:t>The eight clinical risk domains are: uncontrolled pain risk, overall symptom burden,</w:t>
      </w:r>
    </w:p>
    <w:p>
      <w:pPr/>
      <w:r>
        <w:t>psychological risk (depression and anxiety escalation), 7-day hospital admission risk,</w:t>
      </w:r>
    </w:p>
    <w:p>
      <w:pPr/>
      <w:r>
        <w:t>medication adherence risk, caregiver burden, clinical deterioration trajectory, and</w:t>
      </w:r>
    </w:p>
    <w:p>
      <w:pPr/>
      <w:r>
        <w:t>30-day mortality risk. Feature vectors are assembled from the most recent vitals, ESAS,</w:t>
      </w:r>
    </w:p>
    <w:p>
      <w:pPr/>
      <w:r>
        <w:t>PPS, Barthel, MMSE, PHQ-9, and GAD-7 scores, the active medication list, medication</w:t>
      </w:r>
    </w:p>
    <w:p>
      <w:pPr/>
      <w:r>
        <w:t>adherence history, alert history over the preceding six months, and a recorded social</w:t>
      </w:r>
    </w:p>
    <w:p>
      <w:pPr/>
      <w:r>
        <w:t>support score. Clinically appropriate default values are substituted for missing readings —</w:t>
      </w:r>
    </w:p>
    <w:p>
      <w:pPr/>
      <w:r>
        <w:t>for example, a default heart rate of 80 bpm or oxygen saturation of 95% — so a prediction</w:t>
      </w:r>
    </w:p>
    <w:p>
      <w:pPr/>
      <w:r>
        <w:t>is still produced for patients whose records are incomplete.</w:t>
      </w:r>
    </w:p>
    <w:p>
      <w:pPr/>
      <w:r>
        <w:t>Each model was trained on 8,000 synthetic samples generated from parameter</w:t>
      </w:r>
    </w:p>
    <w:p>
      <w:pPr/>
      <w:r>
        <w:t>distributions grounded in published palliative care statistics. Binary risk labels were</w:t>
      </w:r>
    </w:p>
    <w:p>
      <w:pPr/>
      <w:r>
        <w:t>assigned using evidence-based clinical thresholds. Training used an 80/20 stratified split,</w:t>
      </w:r>
    </w:p>
    <w:p>
      <w:pPr/>
      <w:r>
        <w:t>Stratified K-Fold cross-validation during hyperparameter tuning, SMOTE to correct class</w:t>
      </w:r>
    </w:p>
    <w:p>
      <w:pPr/>
      <w:r>
        <w:t>imbalance, and a fixed random seed of 42 for reproducibility.</w:t>
      </w:r>
    </w:p>
    <w:p>
      <w:pPr>
        <w:spacing w:before="240" w:after="80"/>
      </w:pPr>
      <w:r>
        <w:rPr>
          <w:b/>
          <w:i w:val="0"/>
        </w:rPr>
        <w:t>Table 3.1: Held-out test performance of the eight XGBoost risk 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6"/>
        <w:gridCol w:w="1456"/>
        <w:gridCol w:w="1456"/>
        <w:gridCol w:w="1456"/>
        <w:gridCol w:w="1456"/>
        <w:gridCol w:w="1456"/>
      </w:tblGrid>
      <w:tr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Model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AUC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Accuracy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Precision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Recall</w:t>
            </w:r>
          </w:p>
        </w:tc>
        <w:tc>
          <w:tcPr>
            <w:tcW w:type="dxa" w:w="1456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F1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Pain Risk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0.979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92.3%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77.2%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91.3%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83.6%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Symptom Burden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0.991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96.1%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75.6%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94.3%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83.9%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Deterioration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0.993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89.3%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95.1%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92.1%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Medication Adherence Risk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0.996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95.6%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95.5%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93.9%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94.8%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Psychological Risk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0.998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97.4%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97.3%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Mortality Risk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0.994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96.6%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95.7%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96.1%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Caregiver Burden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0.998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97.8%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95.6%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97.5%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96.5%</w:t>
            </w:r>
          </w:p>
        </w:tc>
      </w:tr>
      <w:tr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Admission Risk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0.985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91.8%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81.3%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96.7%</w:t>
            </w:r>
          </w:p>
        </w:tc>
        <w:tc>
          <w:tcPr>
            <w:tcW w:type="dxa" w:w="1456"/>
          </w:tcPr>
          <w:p>
            <w:pPr>
              <w:spacing w:before="40" w:after="40"/>
            </w:pPr>
            <w:r/>
            <w:r>
              <w:rPr>
                <w:b w:val="0"/>
              </w:rPr>
              <w:t>88.3%</w:t>
            </w:r>
          </w:p>
        </w:tc>
      </w:tr>
    </w:tbl>
    <w:p>
      <w:pPr>
        <w:spacing w:before="0" w:after="120"/>
      </w:pPr>
    </w:p>
    <w:p>
      <w:pPr/>
      <w:r>
        <w:t>Two caveats must be stated plainly. First, all eight models were trained and evaluated on</w:t>
      </w:r>
    </w:p>
    <w:p>
      <w:pPr/>
      <w:r>
        <w:t>synthetic data; the figures in Table 3.1 show that each model learned the clinical</w:t>
      </w:r>
    </w:p>
    <w:p>
      <w:pPr/>
      <w:r>
        <w:t>relationships encoded in its training distribution correctly, not that it would perform at the</w:t>
      </w:r>
    </w:p>
    <w:p>
      <w:pPr/>
      <w:r>
        <w:t>same level on a real hospital population. Published XGBoost models trained on real</w:t>
      </w:r>
    </w:p>
    <w:p>
      <w:pPr/>
      <w:r>
        <w:t>palliative care data typically report AUC in the range of 0.75 to 0.88 for comparable</w:t>
      </w:r>
    </w:p>
    <w:p>
      <w:pPr/>
      <w:r>
        <w:t>tasks — that range is the realistic benchmark for eventual clinical deployment. Second, the</w:t>
      </w:r>
    </w:p>
    <w:p>
      <w:pPr/>
      <w:r>
        <w:t>lower precision for vital signs risk (77.2%), symptom burden (75.6%), and admission risk</w:t>
      </w:r>
    </w:p>
    <w:p>
      <w:pPr/>
      <w:r>
        <w:t>(81.3%) reflects a deliberate bias toward recall: in palliative care, a false positive that</w:t>
      </w:r>
    </w:p>
    <w:p>
      <w:pPr/>
      <w:r>
        <w:t>prompts an unnecessary clinical review is judged far less harmful than a false negative</w:t>
      </w:r>
    </w:p>
    <w:p>
      <w:pPr/>
      <w:r>
        <w:t>that allows a deteriorating patient to go unnoticed.</w:t>
      </w:r>
    </w:p>
    <w:p>
      <w:pPr/>
      <w:r>
        <w:t>Two explanation systems are kept visually and architecturally separate so that a clinician</w:t>
      </w:r>
    </w:p>
    <w:p>
      <w:pPr/>
      <w:r>
        <w:t>is never uncertain about which kind of explanation they are reading. The first is the</w:t>
      </w:r>
    </w:p>
    <w:p>
      <w:pPr/>
      <w:r>
        <w:t>SHAP-driven explanation attached to every XGBoost prediction, always labelled with an</w:t>
      </w:r>
    </w:p>
    <w:p>
      <w:pPr/>
      <w:r>
        <w:t>explicit "XGBoost SHAP" badge. The second is a rule-based clinical explanation engine</w:t>
      </w:r>
    </w:p>
    <w:p>
      <w:pPr/>
      <w:r>
        <w:t>that answers plain-language questions about a specific vital sign, symptom, or alert using</w:t>
      </w:r>
    </w:p>
    <w:p>
      <w:pPr/>
      <w:r>
        <w:t>threshold-based clinical heuristics — used where a targeted, human-readable explanation</w:t>
      </w:r>
    </w:p>
    <w:p>
      <w:pPr/>
      <w:r>
        <w:t>of a single observation is more useful than a full multi-feature breakdown.</w:t>
      </w:r>
    </w:p>
    <w:p>
      <w:pPr>
        <w:pStyle w:val="Heading2"/>
      </w:pPr>
      <w:r>
        <w:t>3.7  Security and Privacy Architecture</w:t>
      </w:r>
    </w:p>
    <w:p>
      <w:pPr>
        <w:spacing w:before="240" w:after="80"/>
        <w:jc w:val="center"/>
      </w:pPr>
      <w:r>
        <w:rPr>
          <w:i/>
        </w:rPr>
        <w:t>Figure 3.5: Security and Data Flow Architecture Showing Authentication and</w:t>
      </w:r>
    </w:p>
    <w:p>
      <w:pPr/>
      <w:r>
        <w:t>Access Control Boundaries</w:t>
      </w:r>
    </w:p>
    <w:p>
      <w:pPr/>
      <w:r>
        <w:t>Authentication uses JSON Web Tokens signed with HS256, issued at login with a 24-hour</w:t>
      </w:r>
    </w:p>
    <w:p>
      <w:pPr/>
      <w:r>
        <w:t>expiry. Passwords are hashed using bcrypt through the passlib library. Authorisation is</w:t>
      </w:r>
    </w:p>
    <w:p>
      <w:pPr/>
      <w:r>
        <w:t>enforced through role-based access control: every backend endpoint declares the roles</w:t>
      </w:r>
    </w:p>
    <w:p>
      <w:pPr/>
      <w:r>
        <w:t>permitted to call it, and a dedicated middleware validates the token and attaches the</w:t>
      </w:r>
    </w:p>
    <w:p>
      <w:pPr/>
      <w:r>
        <w:t>resolved user before any route handler executes. All administrative actions — creating a</w:t>
      </w:r>
    </w:p>
    <w:p>
      <w:pPr/>
      <w:r>
        <w:t>user, deactivating an account, resetting a password — are written to an append-only</w:t>
      </w:r>
    </w:p>
    <w:p>
      <w:pPr/>
      <w:r>
        <w:t>AuditLog table.</w:t>
      </w:r>
    </w:p>
    <w:p>
      <w:pPr/>
      <w:r>
        <w:t>At the data layer, SQLAlchemy parameterises every database query, removing SQL</w:t>
      </w:r>
    </w:p>
    <w:p>
      <w:pPr/>
      <w:r>
        <w:t>injection by construction. User-supplied text is sanitised by the bleach library before</w:t>
      </w:r>
    </w:p>
    <w:p>
      <w:pPr/>
      <w:r>
        <w:t>storage, countering cross-site scripting. Sessions have an automatic 30-minute idle logout,</w:t>
      </w:r>
    </w:p>
    <w:p>
      <w:pPr/>
      <w:r>
        <w:t>relevant because clinical workstations are frequently shared. The Continuity Bridge adds a</w:t>
      </w:r>
    </w:p>
    <w:p>
      <w:pPr/>
      <w:r>
        <w:t>consent-based access control layer on top of role-based control: a family member's role</w:t>
      </w:r>
    </w:p>
    <w:p>
      <w:pPr/>
      <w:r>
        <w:t>alone does not determine what legacy content they can see; an independently assigned</w:t>
      </w:r>
    </w:p>
    <w:p>
      <w:pPr/>
      <w:r>
        <w:t>heir access level governs this, checked separately from the system role.</w:t>
      </w:r>
    </w:p>
    <w:p>
      <w:pPr>
        <w:pStyle w:val="Heading2"/>
      </w:pPr>
      <w:r>
        <w:t>3.8  Tools and Technologies</w:t>
      </w:r>
    </w:p>
    <w:p>
      <w:pPr>
        <w:spacing w:before="240" w:after="80"/>
      </w:pPr>
      <w:r>
        <w:rPr>
          <w:b/>
          <w:i w:val="0"/>
        </w:rPr>
        <w:t>Table 3.2: Principal tools and technologies by architectural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Tool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React 18 with Vite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Component-based UI with fast development server reload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 state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TanStack Query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Server state caching and automatic invalidation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 table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TanStack Table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Sortable, filterable patient list with row virtualisation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 charts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Recharts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SHAP bars, risk gauges, and trend sparklines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 PWA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Vite PWA plugin / Workbox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Service worker, asset caching, and home-screen install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FastAPI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Async Python framework with automatic OpenAPI documentation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ORM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SQLAlchemy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Database engine independence between SQLite and PostgreSQL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Validation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Pydantic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Schema validation of all incoming API payloads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Machine learning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XGBoost and scikit-learn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Gradient-boosted trees suited to tabular clinical data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Explainability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SHAP (TreeExplainer)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Exact per-feature contribution for every risk prediction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python-jose and passlib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JWT issuance and bcrypt password hashing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Conversational AI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Gemini 1.5 Flash / Groq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Streaming LLM chat with automatic provider fallback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Llama 3.1 fallback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Push notifications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Web Push API / VAPID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Background clinical alert delivery to mobile devices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Real-time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WebSockets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Push delivery of alerts, messages, and notifications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3.9  System Process Flow</w:t>
      </w:r>
    </w:p>
    <w:p>
      <w:pPr>
        <w:spacing w:before="240" w:after="80"/>
        <w:jc w:val="center"/>
      </w:pPr>
      <w:r>
        <w:rPr>
          <w:i/>
        </w:rPr>
        <w:t>Figure 3.6: End-to-End System Process Flow from Patient Data Entry to Bereavement Support</w:t>
      </w:r>
    </w:p>
    <w:p>
      <w:pPr/>
      <w:r>
        <w:t>Two process flows illustrate how the architectural layers cooperate at runtime.</w:t>
      </w:r>
    </w:p>
    <w:p>
      <w:pPr/>
      <w:r>
        <w:t>The authentication flow works as follows. A user submits credentials; the backend</w:t>
      </w:r>
    </w:p>
    <w:p>
      <w:pPr/>
      <w:r>
        <w:t>verifies them against the stored bcrypt hash and issues a signed JWT; the frontend stores</w:t>
      </w:r>
    </w:p>
    <w:p>
      <w:pPr/>
      <w:r>
        <w:t>that token and attaches it as a bearer header to every subsequent request; the user is</w:t>
      </w:r>
    </w:p>
    <w:p>
      <w:pPr/>
      <w:r>
        <w:t>routed to the view appropriate to their role — the personalisation questionnaire on first</w:t>
      </w:r>
    </w:p>
    <w:p>
      <w:pPr/>
      <w:r>
        <w:t>login, the patient portal for a patient, or the role-aware dashboard for a clinician or</w:t>
      </w:r>
    </w:p>
    <w:p>
      <w:pPr/>
      <w:r>
        <w:t>caregiver.</w:t>
      </w:r>
    </w:p>
    <w:p>
      <w:pPr/>
      <w:r>
        <w:t>The risk prediction flow is the core of the project's contribution. When a clinician opens</w:t>
      </w:r>
    </w:p>
    <w:p>
      <w:pPr/>
      <w:r>
        <w:t>a patient record, or a background scan runs on schedule, the backend reads the patient's</w:t>
      </w:r>
    </w:p>
    <w:p>
      <w:pPr/>
      <w:r>
        <w:t>most recent vitals, assessment scores, medications, and alert history and assembles a</w:t>
      </w:r>
    </w:p>
    <w:p>
      <w:pPr/>
      <w:r>
        <w:t>feature vector. That vector passes through all eight XGBoost models in turn. Each</w:t>
      </w:r>
    </w:p>
    <w:p>
      <w:pPr/>
      <w:r>
        <w:t>model's SHAP TreeExplainer produces a ranked list of the clinical values that most</w:t>
      </w:r>
    </w:p>
    <w:p>
      <w:pPr/>
      <w:r>
        <w:t>influenced its prediction. The eight domain scores are combined using the clinical weights</w:t>
      </w:r>
    </w:p>
    <w:p>
      <w:pPr/>
      <w:r>
        <w:t>shown in Table 4.2, with vital signs and symptom burden weighted most heavily, into a</w:t>
      </w:r>
    </w:p>
    <w:p>
      <w:pPr/>
      <w:r>
        <w:t>single overall risk level. The complete result — overall level, eight domain scores, SHAP</w:t>
      </w:r>
    </w:p>
    <w:p>
      <w:pPr/>
      <w:r>
        <w:t>explanations, and a short list of plain-language key concerns — is returned to the frontend</w:t>
      </w:r>
    </w:p>
    <w:p>
      <w:pPr/>
      <w:r>
        <w:t>in one response and rendered simultaneously on the patient record summary gauge and</w:t>
      </w:r>
    </w:p>
    <w:p>
      <w:pPr/>
      <w:r>
        <w:t>the AI Insights hub deep-dive panel.</w:t>
      </w:r>
    </w:p>
    <w:p>
      <w:pPr/>
      <w:r>
        <w:t>This pipeline re-runs immediately after a clinician submits a new ESAS, PPS, or Barthel</w:t>
      </w:r>
    </w:p>
    <w:p>
      <w:pPr/>
      <w:r>
        <w:t>assessment, so the risk score shown always reflects the values just entered. Where a</w:t>
      </w:r>
    </w:p>
    <w:p>
      <w:pPr/>
      <w:r>
        <w:t>patient's overall risk crosses the high or critical threshold, an alert is created and pushed</w:t>
      </w:r>
    </w:p>
    <w:p>
      <w:pPr/>
      <w:r>
        <w:t>over the WebSocket to every connected clinician.</w:t>
      </w:r>
    </w:p>
    <w:p>
      <w:pPr>
        <w:pStyle w:val="Heading2"/>
      </w:pPr>
      <w:r>
        <w:t>3.10  Summary</w:t>
      </w:r>
    </w:p>
    <w:p>
      <w:pPr/>
      <w:r>
        <w:t>This chapter covered the design science research approach; the five-phase Waterfall life</w:t>
      </w:r>
    </w:p>
    <w:p>
      <w:pPr/>
      <w:r>
        <w:t>cycle; the layered architecture organised around four functional pillars; the database</w:t>
      </w:r>
    </w:p>
    <w:p>
      <w:pPr/>
      <w:r>
        <w:t>schema across six functional groups; the design and honestly reported performance of the</w:t>
      </w:r>
    </w:p>
    <w:p>
      <w:pPr/>
      <w:r>
        <w:t>eight explainable XGBoost models; the security and privacy architecture; the technology</w:t>
      </w:r>
    </w:p>
    <w:p>
      <w:pPr/>
      <w:r>
        <w:t>stack; and the two central runtime process flows. Chapter 4 presents how this design was</w:t>
      </w:r>
    </w:p>
    <w:p>
      <w:pPr/>
      <w:r>
        <w:t>realised in working code.</w:t>
      </w:r>
    </w:p>
    <w:p>
      <w:r>
        <w:br w:type="page"/>
      </w:r>
    </w:p>
    <w:p>
      <w:pPr>
        <w:pStyle w:val="Heading1"/>
      </w:pPr>
      <w:r>
        <w:t>CHAPTER 4</w:t>
      </w:r>
    </w:p>
    <w:p>
      <w:pPr>
        <w:pStyle w:val="Heading1"/>
      </w:pPr>
      <w:r>
        <w:t>SYSTEM IMPLEMENTATION</w:t>
      </w:r>
    </w:p>
    <w:p>
      <w:pPr>
        <w:pStyle w:val="Heading2"/>
      </w:pPr>
      <w:r>
        <w:t>4.1  Introduction</w:t>
      </w:r>
    </w:p>
    <w:p>
      <w:pPr/>
      <w:r>
        <w:t>This chapter describes how the architecture, database, AI, and security designs from</w:t>
      </w:r>
    </w:p>
    <w:p>
      <w:pPr/>
      <w:r>
        <w:t>Chapter 3 were built in working software. Where Chapter 3 explained what was designed</w:t>
      </w:r>
    </w:p>
    <w:p>
      <w:pPr/>
      <w:r>
        <w:t>and why, this chapter explains how each of the four functional pillars was actually built,</w:t>
      </w:r>
    </w:p>
    <w:p>
      <w:pPr/>
      <w:r>
        <w:t>which technologies and engineering techniques were used, and what practical decisions</w:t>
      </w:r>
    </w:p>
    <w:p>
      <w:pPr/>
      <w:r>
        <w:t>were made during implementation. The chapter is organised in the dependency order in</w:t>
      </w:r>
    </w:p>
    <w:p>
      <w:pPr/>
      <w:r>
        <w:t>which modules were built: authentication and clinical data capture first; the Intelligent</w:t>
      </w:r>
    </w:p>
    <w:p>
      <w:pPr/>
      <w:r>
        <w:t>Monitoring Core once clinical data existed; the Unified Care Dashboard once risk output</w:t>
      </w:r>
    </w:p>
    <w:p>
      <w:pPr/>
      <w:r>
        <w:t>existed to display; and the Adaptive Care Guide and Continuity Bridge last, since both</w:t>
      </w:r>
    </w:p>
    <w:p>
      <w:pPr/>
      <w:r>
        <w:t>depend on mature clinical and family data. The chapter closes with an honest account of</w:t>
      </w:r>
    </w:p>
    <w:p>
      <w:pPr/>
      <w:r>
        <w:t>the engineering problems encountered and how each was resolved.</w:t>
      </w:r>
    </w:p>
    <w:p>
      <w:pPr>
        <w:pStyle w:val="Heading2"/>
      </w:pPr>
      <w:r>
        <w:t>4.2  Development and Runtime Environment</w:t>
      </w:r>
    </w:p>
    <w:p>
      <w:pPr/>
      <w:r>
        <w:t>Project AURA is a full-stack application with a React/Vite frontend, a FastAPI backend,</w:t>
      </w:r>
    </w:p>
    <w:p>
      <w:pPr/>
      <w:r>
        <w:t>a SQLAlchemy data access layer, and an XGBoost/SHAP inference layer. A lightweight</w:t>
      </w:r>
    </w:p>
    <w:p>
      <w:pPr/>
      <w:r>
        <w:t>launcher starts both servers together with a single command. All configuration — database</w:t>
      </w:r>
    </w:p>
    <w:p>
      <w:pPr/>
      <w:r>
        <w:t>connection string, JWT signing secret, and LLM API keys — is externalised to environment</w:t>
      </w:r>
    </w:p>
    <w:p>
      <w:pPr/>
      <w:r>
        <w:t>variables, consistent with the deployment principle described in Section 3.3.5.</w:t>
      </w:r>
    </w:p>
    <w:p>
      <w:pPr/>
      <w:r>
        <w:t>Table 4.1 gives the scale of the codebase at the end of the implementation phase.</w:t>
      </w:r>
    </w:p>
    <w:p>
      <w:pPr>
        <w:spacing w:before="240" w:after="80"/>
      </w:pPr>
      <w:r>
        <w:rPr>
          <w:b/>
          <w:i w:val="0"/>
        </w:rPr>
        <w:t>Table 4.1: High-level composition of the Project AURA codebase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Component type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Count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Routed pages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65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Reusable components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~60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Custom hooks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Context providers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Routers (API route groups)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39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Services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Machine learning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Trained XGBoost models with SHAP explainer  8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SQLAlchemy models across six groups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~40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4.3  Implementation of the Data Input Layer</w:t>
      </w:r>
    </w:p>
    <w:p>
      <w:pPr>
        <w:spacing w:before="240" w:after="80"/>
        <w:jc w:val="center"/>
      </w:pPr>
      <w:r>
        <w:rPr>
          <w:i/>
        </w:rPr>
        <w:t>Figure 4.1: Patient Symptom Tracking and Data Entry Screen</w:t>
      </w:r>
    </w:p>
    <w:p>
      <w:pPr/>
      <w:r>
        <w:t>The data input layer is a set of dedicated capture screens on the frontend, each backed by</w:t>
      </w:r>
    </w:p>
    <w:p>
      <w:pPr/>
      <w:r>
        <w:t>a corresponding API route and schema validation layer. Vital sign capture — heart rate,</w:t>
      </w:r>
    </w:p>
    <w:p>
      <w:pPr/>
      <w:r>
        <w:t>systolic and diastolic blood pressure, oxygen saturation, temperature, and respiratory rate</w:t>
      </w:r>
    </w:p>
    <w:p>
      <w:pPr/>
      <w:r>
        <w:t>— follows a consistent create-and-retrieve pattern: a submission endpoint logs the reading,</w:t>
      </w:r>
    </w:p>
    <w:p>
      <w:pPr/>
      <w:r>
        <w:t>and a retrieval endpoint returns the patient's history for the trend chart. Symptom logging,</w:t>
      </w:r>
    </w:p>
    <w:p>
      <w:pPr/>
      <w:r>
        <w:t>medication records, and appointment scheduling follow the same pattern.</w:t>
      </w:r>
    </w:p>
    <w:p>
      <w:pPr/>
      <w:r>
        <w:t>The six validated clinical assessment instruments are each a dedicated form, all served by</w:t>
      </w:r>
    </w:p>
    <w:p>
      <w:pPr/>
      <w:r>
        <w:t>a single assessment router that exposes creation and history endpoints per instrument, plus</w:t>
      </w:r>
    </w:p>
    <w:p>
      <w:pPr/>
      <w:r>
        <w:t>a combined patient overview endpoint. Every submission is validated against a request</w:t>
      </w:r>
    </w:p>
    <w:p>
      <w:pPr/>
      <w:r>
        <w:t>schema maintained separately from the database model, so the shape of data accepted over</w:t>
      </w:r>
    </w:p>
    <w:p>
      <w:pPr/>
      <w:r>
        <w:t>the network can evolve independently of how it is stored. This also ensures, for example,</w:t>
      </w:r>
    </w:p>
    <w:p>
      <w:pPr/>
      <w:r>
        <w:t>that an ESAS slider value outside the 0-to-10 range is rejected at the boundary before it</w:t>
      </w:r>
    </w:p>
    <w:p>
      <w:pPr/>
      <w:r>
        <w:t>reaches the database.</w:t>
      </w:r>
    </w:p>
    <w:p>
      <w:pPr/>
      <w:r>
        <w:t>Because the system targets low-infrastructure settings, every capture form is wrapped by</w:t>
      </w:r>
    </w:p>
    <w:p>
      <w:pPr/>
      <w:r>
        <w:t>an offline-first data access layer. A read attempts the network and falls back to a local</w:t>
      </w:r>
    </w:p>
    <w:p>
      <w:pPr/>
      <w:r>
        <w:t>browser cache on failure. A write — such as logging a vital sign — is queued locally and</w:t>
      </w:r>
    </w:p>
    <w:p>
      <w:pPr/>
      <w:r>
        <w:t>re-attempted once connectivity is restored. A persistent connectivity indicator in the</w:t>
      </w:r>
    </w:p>
    <w:p>
      <w:pPr/>
      <w:r>
        <w:t>interface tells caregivers whether a reading has reached the server or is still waiting to</w:t>
      </w:r>
    </w:p>
    <w:p>
      <w:pPr/>
      <w:r>
        <w:t>synchronise.</w:t>
      </w:r>
    </w:p>
    <w:p>
      <w:pPr>
        <w:pStyle w:val="Heading2"/>
      </w:pPr>
      <w:r>
        <w:t>4.4  Implementation of the Intelligent Monitoring Core</w:t>
      </w:r>
    </w:p>
    <w:p>
      <w:pPr>
        <w:spacing w:before="240" w:after="80"/>
        <w:jc w:val="center"/>
      </w:pPr>
      <w:r>
        <w:rPr>
          <w:i/>
        </w:rPr>
        <w:t>Figure 4.2: Clinician Risk-Prediction View with SHAP-Based Explanation</w:t>
      </w:r>
    </w:p>
    <w:p>
      <w:pPr/>
      <w:r>
        <w:t>The inference service loads all eight trained XGBoost models, their fitted feature scalers,</w:t>
      </w:r>
    </w:p>
    <w:p>
      <w:pPr/>
      <w:r>
        <w:t>and their SHAP explainers into memory once at application startup. Loading the models</w:t>
      </w:r>
    </w:p>
    <w:p>
      <w:pPr/>
      <w:r>
        <w:t>eagerly and serving them from the same process as the rest of the backend keeps</w:t>
      </w:r>
    </w:p>
    <w:p>
      <w:pPr/>
      <w:r>
        <w:t>prediction latency low and avoids the deployment complexity of a separate model server.</w:t>
      </w:r>
    </w:p>
    <w:p>
      <w:pPr/>
      <w:r>
        <w:t>The service exposes three functions: a single-domain prediction returning a probability and</w:t>
      </w:r>
    </w:p>
    <w:p>
      <w:pPr/>
      <w:r>
        <w:t>a ranked explanation; a combined function invoking all eight domains in one call; and an</w:t>
      </w:r>
    </w:p>
    <w:p>
      <w:pPr/>
      <w:r>
        <w:t>aggregation function combining the eight probabilities using the fixed clinical weights in</w:t>
      </w:r>
    </w:p>
    <w:p>
      <w:pPr/>
      <w:r>
        <w:t>Table 4.2.</w:t>
      </w:r>
    </w:p>
    <w:p>
      <w:pPr>
        <w:spacing w:before="240" w:after="80"/>
      </w:pPr>
      <w:r>
        <w:rPr>
          <w:b/>
          <w:i w:val="0"/>
        </w:rPr>
        <w:t>Table 4.2: Clinical weighting applied when combining the eight domain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Clinical Risk Domain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Weight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Overall Risk Thresholds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Pain risk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1.5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Critical: above 70%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Symptom burden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1.3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High: 50% to 70%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Deterioration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Moderate: 30% to 50%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Admission risk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1.2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Low: below 30%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Psychological risk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1.1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Mortality risk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Medication adherence risk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Caregiver burden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0.8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</w:tbl>
    <w:p>
      <w:pPr>
        <w:spacing w:before="0" w:after="120"/>
      </w:pPr>
    </w:p>
    <w:p>
      <w:pPr/>
      <w:r>
        <w:t>The feature vector is assembled from the most recent vital signs, ESAS, PPS, Barthel,</w:t>
      </w:r>
    </w:p>
    <w:p>
      <w:pPr/>
      <w:r>
        <w:t>MMSE, PHQ-9, and GAD-7 scores, active medication list, medication adherence history,</w:t>
      </w:r>
    </w:p>
    <w:p>
      <w:pPr/>
      <w:r>
        <w:t>alert history over the preceding six months as a proxy for recent emergency department</w:t>
      </w:r>
    </w:p>
    <w:p>
      <w:pPr/>
      <w:r>
        <w:t>visits, and a recorded social support score. Clinically appropriate defaults substitute for</w:t>
      </w:r>
    </w:p>
    <w:p>
      <w:pPr/>
      <w:r>
        <w:t>any genuinely missing value.</w:t>
      </w:r>
    </w:p>
    <w:p>
      <w:pPr/>
      <w:r>
        <w:t>The proactive background scan runs all eight models across every patient with an active,</w:t>
      </w:r>
    </w:p>
    <w:p>
      <w:pPr/>
      <w:r>
        <w:t>stable, or deteriorating status. Any patient whose overall risk crosses the high or critical</w:t>
      </w:r>
    </w:p>
    <w:p>
      <w:pPr/>
      <w:r>
        <w:t>threshold receives an alert and a notification to every active clinician and administrator,</w:t>
      </w:r>
    </w:p>
    <w:p>
      <w:pPr/>
      <w:r>
        <w:t>provided that patient has not already been alerted within the preceding six hours. The</w:t>
      </w:r>
    </w:p>
    <w:p>
      <w:pPr/>
      <w:r>
        <w:t>six-hour deduplication window was a deliberate design choice to prevent alert fatigue from</w:t>
      </w:r>
    </w:p>
    <w:p>
      <w:pPr/>
      <w:r>
        <w:t>the same deteriorating patient being flagged on every hourly run.</w:t>
      </w:r>
    </w:p>
    <w:p>
      <w:pPr/>
      <w:r>
        <w:t>The rule-based clinical explanation engine sits alongside the SHAP system as an</w:t>
      </w:r>
    </w:p>
    <w:p>
      <w:pPr/>
      <w:r>
        <w:t>architecturally independent component. It answers a clinician's question about a single</w:t>
      </w:r>
    </w:p>
    <w:p>
      <w:pPr/>
      <w:r>
        <w:t>vital sign, symptom, or alert using threshold-based heuristics. On the frontend, the two</w:t>
      </w:r>
    </w:p>
    <w:p>
      <w:pPr/>
      <w:r>
        <w:t>systems are kept visually distinct: SHAP output appears as bar and waterfall charts inside</w:t>
      </w:r>
    </w:p>
    <w:p>
      <w:pPr/>
      <w:r>
        <w:t>the risk summary and explanation panels, always labelled "XGBoost SHAP explanation",</w:t>
      </w:r>
    </w:p>
    <w:p>
      <w:pPr/>
      <w:r>
        <w:t>while the rule-based engine's output appears in a separate component. A clinician can</w:t>
      </w:r>
    </w:p>
    <w:p>
      <w:pPr/>
      <w:r>
        <w:t>never mistake one for the other.</w:t>
      </w:r>
    </w:p>
    <w:p>
      <w:pPr/>
      <w:r>
        <w:t>The advanced analytics service — covering 30-day deterioration trending, drug interaction</w:t>
      </w:r>
    </w:p>
    <w:p>
      <w:pPr/>
      <w:r>
        <w:t>detection, caregiver burnout estimation, and prognosis — is implemented separately from</w:t>
      </w:r>
    </w:p>
    <w:p>
      <w:pPr/>
      <w:r>
        <w:t>the main inference pipeline and consumed by the clinical intelligence timeline, the</w:t>
      </w:r>
    </w:p>
    <w:p>
      <w:pPr/>
      <w:r>
        <w:t>medication interaction banner, and the caregiver workload panel.</w:t>
      </w:r>
    </w:p>
    <w:p>
      <w:pPr>
        <w:pStyle w:val="Heading2"/>
      </w:pPr>
      <w:r>
        <w:t>4.5  Implementation of the Adaptive Care Guide</w:t>
      </w:r>
    </w:p>
    <w:p>
      <w:pPr>
        <w:spacing w:before="240" w:after="80"/>
        <w:jc w:val="center"/>
      </w:pPr>
      <w:r>
        <w:rPr>
          <w:i/>
        </w:rPr>
        <w:t>Figure 4.3: Adaptive Care Guide Recommendation Screen</w:t>
      </w:r>
    </w:p>
    <w:p>
      <w:pPr/>
      <w:r>
        <w:t>The Adaptive Care Guide is three cooperating services. The care plan engine reads a</w:t>
      </w:r>
    </w:p>
    <w:p>
      <w:pPr/>
      <w:r>
        <w:t>patient's diagnosis, most recent PPS and ESAS scores, active medications, and recorded</w:t>
      </w:r>
    </w:p>
    <w:p>
      <w:pPr/>
      <w:r>
        <w:t>goals of care preferences, then maps the diagnosis to a condition category and the</w:t>
      </w:r>
    </w:p>
    <w:p>
      <w:pPr/>
      <w:r>
        <w:t>functional score to a functional level, producing a structured set of goals, checklist items,</w:t>
      </w:r>
    </w:p>
    <w:p>
      <w:pPr/>
      <w:r>
        <w:t>and interventions the clinician can review, edit, and mark complete.</w:t>
      </w:r>
    </w:p>
    <w:p>
      <w:pPr/>
      <w:r>
        <w:t>The personalisation engine derives interface visibility flags, content tags, a daily focus</w:t>
      </w:r>
    </w:p>
    <w:p>
      <w:pPr/>
      <w:r>
        <w:t>message, a wellbeing insight, and a prioritised action list from the onboarding questionnaire</w:t>
      </w:r>
    </w:p>
    <w:p>
      <w:pPr/>
      <w:r>
        <w:t>completed at first login. These signals are consumed throughout the interface: the patient</w:t>
      </w:r>
    </w:p>
    <w:p>
      <w:pPr/>
      <w:r>
        <w:t>portal uses them for the greeting and quick actions, the community hub uses them to score</w:t>
      </w:r>
    </w:p>
    <w:p>
      <w:pPr/>
      <w:r>
        <w:t>group recommendations, and the resource library uses them to rank the AI reading list.</w:t>
      </w:r>
    </w:p>
    <w:p>
      <w:pPr/>
      <w:r>
        <w:t>Crucially, the same signals determine a single set of interface visibility flags applied</w:t>
      </w:r>
    </w:p>
    <w:p>
      <w:pPr/>
      <w:r>
        <w:t>everywhere — which navigation sections appear, whether the two AI assistants are shown,</w:t>
      </w:r>
    </w:p>
    <w:p>
      <w:pPr/>
      <w:r>
        <w:t>whether spiritual care content appears in the care plan and knowledge base. Centralising</w:t>
      </w:r>
    </w:p>
    <w:p>
      <w:pPr/>
      <w:r>
        <w:t>this logic in one place was necessary because the questionnaire grew to cover consent,</w:t>
      </w:r>
    </w:p>
    <w:p>
      <w:pPr/>
      <w:r>
        <w:t>spiritual preference, community interest, and legacy interest together; without a single</w:t>
      </w:r>
    </w:p>
    <w:p>
      <w:pPr/>
      <w:r>
        <w:t>source of truth, the same patient would see different things on different screens.</w:t>
      </w:r>
    </w:p>
    <w:p>
      <w:pPr/>
      <w:r>
        <w:t>The journey tracking service implements the six phases shown in Table 4.3, placing each</w:t>
      </w:r>
    </w:p>
    <w:p>
      <w:pPr/>
      <w:r>
        <w:t>patient automatically from clinical data already in the system.</w:t>
      </w:r>
    </w:p>
    <w:p>
      <w:pPr>
        <w:spacing w:before="240" w:after="80"/>
      </w:pPr>
      <w:r>
        <w:rPr>
          <w:b/>
          <w:i w:val="0"/>
        </w:rPr>
        <w:t>Table 4.3: The six phases of the patient journey tracked by the journey tracker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Name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Automatic Trigger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Diagnosis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Patient record created and a primary diagnosis recorded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Care Planning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An initial care plan has been generated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Active Monitoring  Vitals and ESAS scores are logged regularly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Escalation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ESAS total exceeds 50, or PPS falls below 40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Transition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PPS falls below 20, or a terminal prognosis is recorded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Legacy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Digital legacy is activated following the patient's death</w:t>
            </w:r>
          </w:p>
        </w:tc>
      </w:tr>
    </w:tbl>
    <w:p>
      <w:pPr>
        <w:spacing w:before="0" w:after="120"/>
      </w:pPr>
    </w:p>
    <w:p>
      <w:pPr/>
      <w:r>
        <w:t>The family-facing view presents a care-appropriate, de-identified summary of the same</w:t>
      </w:r>
    </w:p>
    <w:p>
      <w:pPr/>
      <w:r>
        <w:t>underlying journey events, so that raw clinical values the patient has not consented to</w:t>
      </w:r>
    </w:p>
    <w:p>
      <w:pPr/>
      <w:r>
        <w:t>share are never exposed to family members.</w:t>
      </w:r>
    </w:p>
    <w:p>
      <w:pPr/>
      <w:r>
        <w:t>The two clinical reference tools — a care protocol library and a searchable medical</w:t>
      </w:r>
    </w:p>
    <w:p>
      <w:pPr/>
      <w:r>
        <w:t>knowledge base — were restructured during implementation from a card-and-modal layout</w:t>
      </w:r>
    </w:p>
    <w:p>
      <w:pPr/>
      <w:r>
        <w:t>into a two-column reading interface: an index pane paired with a full reading pane, modelled</w:t>
      </w:r>
    </w:p>
    <w:p>
      <w:pPr/>
      <w:r>
        <w:t>on a reference book. A clinician under time pressure needs to scan a table of contents and</w:t>
      </w:r>
    </w:p>
    <w:p>
      <w:pPr/>
      <w:r>
        <w:t>jump directly to the relevant section; a modal does not support this once content grows</w:t>
      </w:r>
    </w:p>
    <w:p>
      <w:pPr/>
      <w:r>
        <w:t>beyond a few short entries. The knowledge base was further extended to allow clinicians</w:t>
      </w:r>
    </w:p>
    <w:p>
      <w:pPr/>
      <w:r>
        <w:t>and administrators to create, edit, and retire condition entries directly through the interface,</w:t>
      </w:r>
    </w:p>
    <w:p>
      <w:pPr/>
      <w:r>
        <w:t>so it can keep pace with clinical practice over the system's life rather than being frozen at</w:t>
      </w:r>
    </w:p>
    <w:p>
      <w:pPr/>
      <w:r>
        <w:t>submission.</w:t>
      </w:r>
    </w:p>
    <w:p>
      <w:pPr>
        <w:pStyle w:val="Heading2"/>
      </w:pPr>
      <w:r>
        <w:t>4.6  Implementation of the Unified Care Dashboard</w:t>
      </w:r>
    </w:p>
    <w:p>
      <w:pPr>
        <w:spacing w:before="240" w:after="80"/>
        <w:jc w:val="center"/>
      </w:pPr>
      <w:r>
        <w:rPr>
          <w:i/>
        </w:rPr>
        <w:t>Figure 4.4: Unified Care Coordination Dashboard</w:t>
      </w:r>
    </w:p>
    <w:p>
      <w:pPr/>
      <w:r>
        <w:t>The Unified Care Dashboard is the single largest concentration of frontend screens. A</w:t>
      </w:r>
    </w:p>
    <w:p>
      <w:pPr/>
      <w:r>
        <w:t>role-aware landing view adapts its content to the signed-in user: a clinician sees a patient</w:t>
      </w:r>
    </w:p>
    <w:p>
      <w:pPr/>
      <w:r>
        <w:t>table with a risk overview widget and drug interaction warning banner; a caregiver sees an</w:t>
      </w:r>
    </w:p>
    <w:p>
      <w:pPr/>
      <w:r>
        <w:t>assigned patient list; a family member sees a journey timeline. All three are rendered from</w:t>
      </w:r>
    </w:p>
    <w:p>
      <w:pPr/>
      <w:r>
        <w:t>the same landing route, with the branching logic driven by the authenticated user's role.</w:t>
      </w:r>
    </w:p>
    <w:p>
      <w:pPr/>
      <w:r>
        <w:t>A searchable patient list, a full patient record view carrying a vitals ribbon and compact</w:t>
      </w:r>
    </w:p>
    <w:p>
      <w:pPr/>
      <w:r>
        <w:t>risk summary, a real-time monitoring view, and a SHAP deep-dive view give clinicians</w:t>
      </w:r>
    </w:p>
    <w:p>
      <w:pPr/>
      <w:r>
        <w:t>progressively more detail as they move from a caseload overview to a single patient's risk</w:t>
      </w:r>
    </w:p>
    <w:p>
      <w:pPr/>
      <w:r>
        <w:t>profile. The clinical intelligence hub — restricted to clinician and admin roles — presents</w:t>
      </w:r>
    </w:p>
    <w:p>
      <w:pPr/>
      <w:r>
        <w:t>system-wide counts of critical, high-risk, and stable patients alongside an on-demand risk</w:t>
      </w:r>
    </w:p>
    <w:p>
      <w:pPr/>
      <w:r>
        <w:t>scan control, in three tabs covering risk stratification, drug interaction warnings, and a</w:t>
      </w:r>
    </w:p>
    <w:p>
      <w:pPr/>
      <w:r>
        <w:t>system overview with model health status.</w:t>
      </w:r>
    </w:p>
    <w:p>
      <w:pPr/>
      <w:r>
        <w:t>Two components implement a lightweight client-side classifier rather than calling the full</w:t>
      </w:r>
    </w:p>
    <w:p>
      <w:pPr/>
      <w:r>
        <w:t>inference pipeline. The messaging view scans each conversation's most recent message</w:t>
      </w:r>
    </w:p>
    <w:p>
      <w:pPr/>
      <w:r>
        <w:t>against a fixed vocabulary of urgency terms — urgent, pain, breathing, unconscious — to</w:t>
      </w:r>
    </w:p>
    <w:p>
      <w:pPr/>
      <w:r>
        <w:t>sort flagged conversations above routine messages. The notification centre assigns each</w:t>
      </w:r>
    </w:p>
    <w:p>
      <w:pPr/>
      <w:r>
        <w:t>notification a base score by type, weighted so that a critical vitals or ML risk notification</w:t>
      </w:r>
    </w:p>
    <w:p>
      <w:pPr/>
      <w:r>
        <w:t>always outranks a routine appointment reminder, then adds a recency bonus and an unread</w:t>
      </w:r>
    </w:p>
    <w:p>
      <w:pPr/>
      <w:r>
        <w:t>bonus, so the feed reflects clinical urgency rather than strict arrival order.</w:t>
      </w:r>
    </w:p>
    <w:p>
      <w:pPr/>
      <w:r>
        <w:t>The caregiver view renders a burnout indicator and workload measure for each care team</w:t>
      </w:r>
    </w:p>
    <w:p>
      <w:pPr/>
      <w:r>
        <w:t>member. Its auto-assignment feature scores every available caregiver on a weighted</w:t>
      </w:r>
    </w:p>
    <w:p>
      <w:pPr/>
      <w:r>
        <w:t>composite of workload, active patient count, and specialty match, assigning to the lowest</w:t>
      </w:r>
    </w:p>
    <w:p>
      <w:pPr/>
      <w:r>
        <w:t>scorer and immediately invalidating the cached server state so the new assignment appears</w:t>
      </w:r>
    </w:p>
    <w:p>
      <w:pPr/>
      <w:r>
        <w:t>without a manual refresh. The medication view surfaces a global warning banner and a</w:t>
      </w:r>
    </w:p>
    <w:p>
      <w:pPr/>
      <w:r>
        <w:t>per-medication interaction indicator whenever the drug interaction service detects a severe</w:t>
      </w:r>
    </w:p>
    <w:p>
      <w:pPr/>
      <w:r>
        <w:t>or major interaction.</w:t>
      </w:r>
    </w:p>
    <w:p>
      <w:pPr/>
      <w:r>
        <w:t>All screens share a single API client that attaches the current authentication token to every</w:t>
      </w:r>
    </w:p>
    <w:p>
      <w:pPr/>
      <w:r>
        <w:t>request and redirects to login if a request is rejected as unauthenticated. Server state is</w:t>
      </w:r>
    </w:p>
    <w:p>
      <w:pPr/>
      <w:r>
        <w:t>cached with parameters tuned to how quickly each kind of data changes, as shown in</w:t>
      </w:r>
    </w:p>
    <w:p>
      <w:pPr/>
      <w:r>
        <w:t>Table 4.4.</w:t>
      </w:r>
    </w:p>
    <w:p>
      <w:pPr>
        <w:spacing w:before="240" w:after="80"/>
      </w:pPr>
      <w:r>
        <w:rPr>
          <w:b/>
          <w:i w:val="0"/>
        </w:rPr>
        <w:t>Table 4.4: Representative TanStack Query caching parameters applied to server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4"/>
        <w:gridCol w:w="2184"/>
        <w:gridCol w:w="2184"/>
        <w:gridCol w:w="2184"/>
      </w:tblGrid>
      <w:tr>
        <w:tc>
          <w:tcPr>
            <w:tcW w:type="dxa" w:w="2184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Query key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Stale time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Refetch interval</w:t>
            </w:r>
          </w:p>
        </w:tc>
        <w:tc>
          <w:tcPr>
            <w:tcW w:type="dxa" w:w="2184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patients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5 minutes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Patient list changes infrequently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patient-vitals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Not cached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Always shown fresh on navigation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ml-risk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5 minutes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ML inference is comparatively expensive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alerts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30 seconds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Clinical urgency requires near real-time data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30 seconds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Drives the user-facing unread badge</w:t>
            </w:r>
          </w:p>
        </w:tc>
      </w:tr>
      <w:tr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all-drug-ints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10 minutes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184"/>
          </w:tcPr>
          <w:p>
            <w:pPr>
              <w:spacing w:before="40" w:after="40"/>
            </w:pPr>
            <w:r/>
            <w:r>
              <w:rPr>
                <w:b w:val="0"/>
              </w:rPr>
              <w:t>Expensive all-patient batch scan</w:t>
            </w:r>
          </w:p>
        </w:tc>
      </w:tr>
    </w:tbl>
    <w:p>
      <w:pPr>
        <w:spacing w:before="0" w:after="120"/>
      </w:pPr>
    </w:p>
    <w:p>
      <w:pPr/>
      <w:r>
        <w:t>A consistency pass over the Dashboard extended dark-mode support to every table header,</w:t>
      </w:r>
    </w:p>
    <w:p>
      <w:pPr/>
      <w:r>
        <w:t>both AI assistant widgets, the guided onboarding tour, and every major dashboard, portal,</w:t>
      </w:r>
    </w:p>
    <w:p>
      <w:pPr/>
      <w:r>
        <w:t>and community screen. The navigation drawer, clinical assessment forms, and page-level</w:t>
      </w:r>
    </w:p>
    <w:p>
      <w:pPr/>
      <w:r>
        <w:t>padding were adjusted for narrow viewport widths so the platform is usable on a phone,</w:t>
      </w:r>
    </w:p>
    <w:p>
      <w:pPr/>
      <w:r>
        <w:t>consistent with caregivers in the target settings being more likely to access it from a</w:t>
      </w:r>
    </w:p>
    <w:p>
      <w:pPr/>
      <w:r>
        <w:t>mobile device than a desktop.</w:t>
      </w:r>
    </w:p>
    <w:p>
      <w:pPr>
        <w:pStyle w:val="Heading2"/>
      </w:pPr>
      <w:r>
        <w:t>4.7  Implementation of Additional System Capabilities</w:t>
      </w:r>
    </w:p>
    <w:p>
      <w:pPr>
        <w:pStyle w:val="Heading3"/>
      </w:pPr>
      <w:r>
        <w:t>4.7.1  Care Setting System</w:t>
      </w:r>
    </w:p>
    <w:p>
      <w:pPr/>
      <w:r>
        <w:t>The system supports five care settings — hospital, hospice, home care, community clinic,</w:t>
      </w:r>
    </w:p>
    <w:p>
      <w:pPr/>
      <w:r>
        <w:t>and palliative day centre — each configurable through the administrative interface. The</w:t>
      </w:r>
    </w:p>
    <w:p>
      <w:pPr/>
      <w:r>
        <w:t>active care setting is propagated to the frontend through a dedicated CareSettingContext,</w:t>
      </w:r>
    </w:p>
    <w:p>
      <w:pPr/>
      <w:r>
        <w:t>which adjusts navigation additions, clinical form defaults, and protocol recommendations</w:t>
      </w:r>
    </w:p>
    <w:p>
      <w:pPr/>
      <w:r>
        <w:t>based on where care is being delivered. This means the same codebase serves a hospital</w:t>
      </w:r>
    </w:p>
    <w:p>
      <w:pPr/>
      <w:r>
        <w:t>ward and a home-based caregiver without any code change — the behaviour is driven by</w:t>
      </w:r>
    </w:p>
    <w:p>
      <w:pPr/>
      <w:r>
        <w:t>the setting stored against the logged-in user's account.</w:t>
      </w:r>
    </w:p>
    <w:p>
      <w:pPr>
        <w:pStyle w:val="Heading3"/>
      </w:pPr>
      <w:r>
        <w:t>4.7.2  AI Conversational Assistants</w:t>
      </w:r>
    </w:p>
    <w:p>
      <w:pPr/>
      <w:r>
        <w:t>Two LLM-powered conversational assistants are built into the system, kept architecturally</w:t>
      </w:r>
    </w:p>
    <w:p>
      <w:pPr/>
      <w:r>
        <w:t>and visually separate to serve different needs. AuraChat is a patient and family companion</w:t>
      </w:r>
    </w:p>
    <w:p>
      <w:pPr/>
      <w:r>
        <w:t>with a teal theme; it uses emotionally supportive language and is restricted to the patient</w:t>
      </w:r>
    </w:p>
    <w:p>
      <w:pPr/>
      <w:r>
        <w:t>and family roles. AIAssistant is a clinician copilot with a sky-blue theme; it is restricted</w:t>
      </w:r>
    </w:p>
    <w:p>
      <w:pPr/>
      <w:r>
        <w:t>to clinician and admin roles and answers clinical questions about the patient record,</w:t>
      </w:r>
    </w:p>
    <w:p>
      <w:pPr/>
      <w:r>
        <w:t>protocol guidance, and medication queries. Both assistants stream responses from</w:t>
      </w:r>
    </w:p>
    <w:p>
      <w:pPr/>
      <w:r>
        <w:t>Gemini 1.5 Flash as the primary provider, with automatic fallback to Groq Llama 3.1 if the</w:t>
      </w:r>
    </w:p>
    <w:p>
      <w:pPr/>
      <w:r>
        <w:t>primary provider is unavailable — ensuring the conversational layer remains functional</w:t>
      </w:r>
    </w:p>
    <w:p>
      <w:pPr/>
      <w:r>
        <w:t>even if one external service is down.</w:t>
      </w:r>
    </w:p>
    <w:p>
      <w:pPr/>
      <w:r>
        <w:t>Both assistants are hidden entirely for users who declined AI consent during the</w:t>
      </w:r>
    </w:p>
    <w:p>
      <w:pPr/>
      <w:r>
        <w:t>onboarding questionnaire, controlled by the `showAI` flag in the PersonalisationContext</w:t>
      </w:r>
    </w:p>
    <w:p>
      <w:pPr/>
      <w:r>
        <w:t>described in Section 4.5. This design means consent is enforced at the navigation and</w:t>
      </w:r>
    </w:p>
    <w:p>
      <w:pPr/>
      <w:r>
        <w:t>rendering level, not just at the point of submitting a query.</w:t>
      </w:r>
    </w:p>
    <w:p>
      <w:pPr>
        <w:pStyle w:val="Heading3"/>
      </w:pPr>
      <w:r>
        <w:t>4.7.3  Community and Peer Support Hub</w:t>
      </w:r>
    </w:p>
    <w:p>
      <w:pPr/>
      <w:r>
        <w:t>The CommunityHub implements peer support groups, post reactions, content moderation,</w:t>
      </w:r>
    </w:p>
    <w:p>
      <w:pPr/>
      <w:r>
        <w:t>and an ML-powered group recommendation system that scores available groups against a</w:t>
      </w:r>
    </w:p>
    <w:p>
      <w:pPr/>
      <w:r>
        <w:t>user's questionnaire signals and care priorities. A spiritual care tab is shown or hidden</w:t>
      </w:r>
    </w:p>
    <w:p>
      <w:pPr/>
      <w:r>
        <w:t>based on the user's `showSpiritualItems` personalisation flag. A dedicated educational</w:t>
      </w:r>
    </w:p>
    <w:p>
      <w:pPr/>
      <w:r>
        <w:t>resources section allows clinicians and administrators to publish palliative care guides and</w:t>
      </w:r>
    </w:p>
    <w:p>
      <w:pPr/>
      <w:r>
        <w:t>training material, with a bookmarking system and a PDF viewer for in-browser reading.</w:t>
      </w:r>
    </w:p>
    <w:p>
      <w:pPr/>
      <w:r>
        <w:t>Educational resources are also available offline through the service worker prefetch</w:t>
      </w:r>
    </w:p>
    <w:p>
      <w:pPr/>
      <w:r>
        <w:t>mechanism described in Section 4.10.</w:t>
      </w:r>
    </w:p>
    <w:p>
      <w:pPr>
        <w:pStyle w:val="Heading3"/>
      </w:pPr>
      <w:r>
        <w:t>4.7.4  Push Notifications and PWA</w:t>
      </w:r>
    </w:p>
    <w:p>
      <w:pPr/>
      <w:r>
        <w:t>The system implements Web Push notifications using VAPID keys, allowing the backend</w:t>
      </w:r>
    </w:p>
    <w:p>
      <w:pPr/>
      <w:r>
        <w:t>to push clinical alerts directly to a clinician's device even when the browser is not open.</w:t>
      </w:r>
    </w:p>
    <w:p>
      <w:pPr/>
      <w:r>
        <w:t>Push subscriptions are stored in the database per user and managed through the notification</w:t>
      </w:r>
    </w:p>
    <w:p>
      <w:pPr/>
      <w:r>
        <w:t>service. The frontend is also packaged as a Progressive Web Application, allowing</w:t>
      </w:r>
    </w:p>
    <w:p>
      <w:pPr/>
      <w:r>
        <w:t>installation to a device home screen on both Android and iOS. The install prompt is</w:t>
      </w:r>
    </w:p>
    <w:p>
      <w:pPr/>
      <w:r>
        <w:t>captured through the `useInstallPrompt` hook and surfaced as an Install App button in the</w:t>
      </w:r>
    </w:p>
    <w:p>
      <w:pPr/>
      <w:r>
        <w:t>Settings page.</w:t>
      </w:r>
    </w:p>
    <w:p>
      <w:pPr>
        <w:pStyle w:val="Heading3"/>
      </w:pPr>
      <w:r>
        <w:t>4.7.5  HIPAA-Aligned Session Management</w:t>
      </w:r>
    </w:p>
    <w:p>
      <w:pPr/>
      <w:r>
        <w:t>In addition to the 30-minute idle logout described in Section 4.9, the system implements</w:t>
      </w:r>
    </w:p>
    <w:p>
      <w:pPr/>
      <w:r>
        <w:t>a 15-minute HIPAA-aligned auto-logoff enforced by the `useIdleTimer` hook built into</w:t>
      </w:r>
    </w:p>
    <w:p>
      <w:pPr/>
      <w:r>
        <w:t>the main Layout component. When the idle timer fires, the user is logged out and</w:t>
      </w:r>
    </w:p>
    <w:p>
      <w:pPr/>
      <w:r>
        <w:t>redirected to the login page with a session-expiry message, protecting patient data on</w:t>
      </w:r>
    </w:p>
    <w:p>
      <w:pPr/>
      <w:r>
        <w:t>shared clinical workstations.</w:t>
      </w:r>
    </w:p>
    <w:p>
      <w:pPr>
        <w:pStyle w:val="Heading3"/>
      </w:pPr>
      <w:r>
        <w:t>4.7.6  Guided Onboarding Tour</w:t>
      </w:r>
    </w:p>
    <w:p>
      <w:pPr/>
      <w:r>
        <w:t>A guided application tour — AuraOnboarding — walks new users through the principal</w:t>
      </w:r>
    </w:p>
    <w:p>
      <w:pPr/>
      <w:r>
        <w:t>interface areas on first login using a step-by-step overlay. The tour can be restarted at any</w:t>
      </w:r>
    </w:p>
    <w:p>
      <w:pPr/>
      <w:r>
        <w:t>time from the Settings page through the `useRestartTour` hook. This is particularly</w:t>
      </w:r>
    </w:p>
    <w:p>
      <w:pPr/>
      <w:r>
        <w:t>relevant given the system targets users with variable digital literacy; the tour provides a</w:t>
      </w:r>
    </w:p>
    <w:p>
      <w:pPr/>
      <w:r>
        <w:t>structured introduction without requiring any written documentation to be read in advance.</w:t>
      </w:r>
    </w:p>
    <w:p>
      <w:pPr>
        <w:pStyle w:val="Heading3"/>
      </w:pPr>
      <w:r>
        <w:t>4.7.7  Implementation of the Continuity Bridge</w:t>
      </w:r>
    </w:p>
    <w:p>
      <w:pPr>
        <w:spacing w:before="240" w:after="80"/>
        <w:jc w:val="center"/>
      </w:pPr>
      <w:r>
        <w:rPr>
          <w:i/>
        </w:rPr>
        <w:t>Figure 4.5: Bereavement Support Module Screen</w:t>
      </w:r>
    </w:p>
    <w:p>
      <w:pPr/>
      <w:r>
        <w:t>The Continuity Bridge is implemented across four screens and a supporting set of routes.</w:t>
      </w:r>
    </w:p>
    <w:p>
      <w:pPr/>
      <w:r>
        <w:t>The memory vault applies a client-side clustering routine grouping a family member's</w:t>
      </w:r>
    </w:p>
    <w:p>
      <w:pPr/>
      <w:r>
        <w:t>uploaded memories into themes — joy, family, gratitude, adventures, reflection — with a</w:t>
      </w:r>
    </w:p>
    <w:p>
      <w:pPr/>
      <w:r>
        <w:t>toggle between a chronological grid and thematic grouping.</w:t>
      </w:r>
    </w:p>
    <w:p>
      <w:pPr/>
      <w:r>
        <w:t>The private grief journal rotates compassionate writing prompts and applies natural</w:t>
      </w:r>
    </w:p>
    <w:p>
      <w:pPr/>
      <w:r>
        <w:t>language tone detection to classify each entry into one of eight tones: grief, hope, anxiety,</w:t>
      </w:r>
    </w:p>
    <w:p>
      <w:pPr/>
      <w:r>
        <w:t>acceptance, and others. The detected tone appears as a badge on the entry. Journal entries</w:t>
      </w:r>
    </w:p>
    <w:p>
      <w:pPr/>
      <w:r>
        <w:t>are visible only to their author and are never surfaced to clinical staff — this boundary is</w:t>
      </w:r>
    </w:p>
    <w:p>
      <w:pPr/>
      <w:r>
        <w:t>enforced at the access control layer, not just by interface convention.</w:t>
      </w:r>
    </w:p>
    <w:p>
      <w:pPr/>
      <w:r>
        <w:t>The grief screening form implements the 13-item PG-13 instrument across three domains:</w:t>
      </w:r>
    </w:p>
    <w:p>
      <w:pPr/>
      <w:r>
        <w:t>separation distress, cognitive and emotional response, and functional impairment, scored</w:t>
      </w:r>
    </w:p>
    <w:p>
      <w:pPr/>
      <w:r>
        <w:t>on a one-to-five scale for a possible total of 13 to 65. A total of 30 or more flags the</w:t>
      </w:r>
    </w:p>
    <w:p>
      <w:pPr/>
      <w:r>
        <w:t>respondent for a prolonged grief referral. Where the screening is flagged, the results screen</w:t>
      </w:r>
    </w:p>
    <w:p>
      <w:pPr/>
      <w:r>
        <w:t>displays the Ghana Mental Health Authority crisis line alongside the recommendation.</w:t>
      </w:r>
    </w:p>
    <w:p>
      <w:pPr/>
      <w:r>
        <w:t>The digital legacy workflow is enforced as a strict sequence. A patient first records</w:t>
      </w:r>
    </w:p>
    <w:p>
      <w:pPr/>
      <w:r>
        <w:t>consent, then designates heirs — each with a relationship, an access level (full, memories</w:t>
      </w:r>
    </w:p>
    <w:p>
      <w:pPr/>
      <w:r>
        <w:t>only, or messages only), and an independent flag governing access to private content —</w:t>
      </w:r>
    </w:p>
    <w:p>
      <w:pPr/>
      <w:r>
        <w:t>and then creates posthumous content. Each piece of content carries a delivery trigger of</w:t>
      </w:r>
    </w:p>
    <w:p>
      <w:pPr/>
      <w:r>
        <w:t>either "after death" or a specific date. Following the patient's death, a clinician activates</w:t>
      </w:r>
    </w:p>
    <w:p>
      <w:pPr/>
      <w:r>
        <w:t>the legacy through the administrative interface. From that point, the heir access view</w:t>
      </w:r>
    </w:p>
    <w:p>
      <w:pPr/>
      <w:r>
        <w:t>becomes available to each designated heir, filtered strictly by that heir's individually</w:t>
      </w:r>
    </w:p>
    <w:p>
      <w:pPr/>
      <w:r>
        <w:t>assigned access level rather than their general system role.</w:t>
      </w:r>
    </w:p>
    <w:p>
      <w:pPr>
        <w:pStyle w:val="Heading2"/>
      </w:pPr>
      <w:r>
        <w:t>4.8  Real-Time Communication Implementation</w:t>
      </w:r>
    </w:p>
    <w:p>
      <w:pPr/>
      <w:r>
        <w:t>The real-time layer is a single WebSocket endpoint maintaining a connection manager</w:t>
      </w:r>
    </w:p>
    <w:p>
      <w:pPr/>
      <w:r>
        <w:t>that maps each authenticated connection to a set of subscribed rooms. On connection, the</w:t>
      </w:r>
    </w:p>
    <w:p>
      <w:pPr/>
      <w:r>
        <w:t>authentication token is validated exactly as for a REST request, and the connection is</w:t>
      </w:r>
    </w:p>
    <w:p>
      <w:pPr/>
      <w:r>
        <w:t>automatically subscribed to a general room; to the clinicians room if the user's role is</w:t>
      </w:r>
    </w:p>
    <w:p>
      <w:pPr/>
      <w:r>
        <w:t>clinician or admin; to the caregivers room if the user's role is caregiver; and to a room</w:t>
      </w:r>
    </w:p>
    <w:p>
      <w:pPr/>
      <w:r>
        <w:t>unique to that patient if the user's role is patient. The server sends periodic keep-alive</w:t>
      </w:r>
    </w:p>
    <w:p>
      <w:pPr/>
      <w:r>
        <w:t>frames to hold connections open.</w:t>
      </w:r>
    </w:p>
    <w:p>
      <w:pPr/>
      <w:r>
        <w:t>Three event types cover most real-time traffic: an alert update broadcast to the clinicians</w:t>
      </w:r>
    </w:p>
    <w:p>
      <w:pPr/>
      <w:r>
        <w:t>room when an alert is acknowledged or dismissed; a new message event broadcast when a</w:t>
      </w:r>
    </w:p>
    <w:p>
      <w:pPr/>
      <w:r>
        <w:t>message is persisted; and a new notification event directed to a single recipient. On the</w:t>
      </w:r>
    </w:p>
    <w:p>
      <w:pPr/>
      <w:r>
        <w:t>frontend, a custom hook maintains the WebSocket connection, and a context provider</w:t>
      </w:r>
    </w:p>
    <w:p>
      <w:pPr/>
      <w:r>
        <w:t>exposes a subscribe/unsubscribe interface to any component, so components do not need</w:t>
      </w:r>
    </w:p>
    <w:p>
      <w:pPr/>
      <w:r>
        <w:t>to manage connection state themselves. A connection status indicator in the navigation</w:t>
      </w:r>
    </w:p>
    <w:p>
      <w:pPr/>
      <w:r>
        <w:t>shows whether the session is actively receiving live updates.</w:t>
      </w:r>
    </w:p>
    <w:p>
      <w:pPr>
        <w:pStyle w:val="Heading2"/>
      </w:pPr>
      <w:r>
        <w:t>4.9  Security Implementation</w:t>
      </w:r>
    </w:p>
    <w:p>
      <w:pPr>
        <w:spacing w:before="240" w:after="80"/>
        <w:jc w:val="center"/>
      </w:pPr>
      <w:r>
        <w:rPr>
          <w:i/>
        </w:rPr>
        <w:t>Figure 4.6: Login and Authentication Screen</w:t>
      </w:r>
    </w:p>
    <w:p>
      <w:pPr/>
      <w:r>
        <w:t>Authentication middleware validates the signed token on every incoming request and</w:t>
      </w:r>
    </w:p>
    <w:p>
      <w:pPr/>
      <w:r>
        <w:t>attaches the resolved user before any route handler executes. A role-based access control</w:t>
      </w:r>
    </w:p>
    <w:p>
      <w:pPr/>
      <w:r>
        <w:t>layer supplies reusable dependency checks — for clinicians, administrators, caregivers, and</w:t>
      </w:r>
    </w:p>
    <w:p>
      <w:pPr/>
      <w:r>
        <w:t>callers with a verified patient relationship — that every route declares explicitly. This</w:t>
      </w:r>
    </w:p>
    <w:p>
      <w:pPr/>
      <w:r>
        <w:t>centralisation means a role check cannot be bypassed by calling a route directly.</w:t>
      </w:r>
    </w:p>
    <w:p>
      <w:pPr/>
      <w:r>
        <w:t>Every administrative action is written to an append-only audit record. Request and</w:t>
      </w:r>
    </w:p>
    <w:p>
      <w:pPr/>
      <w:r>
        <w:t>response schemas are maintained separately from database models so the shape of data</w:t>
      </w:r>
    </w:p>
    <w:p>
      <w:pPr/>
      <w:r>
        <w:t>accepted over the network can be tightened without altering how it is stored. The ORM</w:t>
      </w:r>
    </w:p>
    <w:p>
      <w:pPr/>
      <w:r>
        <w:t>parameterises every database query, removing SQL injection by construction. Free-text</w:t>
      </w:r>
    </w:p>
    <w:p>
      <w:pPr/>
      <w:r>
        <w:t>input is sanitised before storage. The consent-based access control for the Continuity</w:t>
      </w:r>
    </w:p>
    <w:p>
      <w:pPr/>
      <w:r>
        <w:t>Bridge is complemented by a consent mechanism for the conversational assistant and a</w:t>
      </w:r>
    </w:p>
    <w:p>
      <w:pPr/>
      <w:r>
        <w:t>crisis workflow that lets a patient or family member flag a crisis directly, surfacing it to</w:t>
      </w:r>
    </w:p>
    <w:p>
      <w:pPr/>
      <w:r>
        <w:t>clinical staff without requiring the family member to know who to contact.</w:t>
      </w:r>
    </w:p>
    <w:p>
      <w:pPr>
        <w:pStyle w:val="Heading2"/>
      </w:pPr>
      <w:r>
        <w:t>4.10  Accessibility and Offline Implementation</w:t>
      </w:r>
    </w:p>
    <w:p>
      <w:pPr/>
      <w:r>
        <w:t>Accessibility settings are managed by a shared state exposing independently toggleable</w:t>
      </w:r>
    </w:p>
    <w:p>
      <w:pPr/>
      <w:r>
        <w:t>options: font size across five steps, high contrast, reduced motion, screen reader mode,</w:t>
      </w:r>
    </w:p>
    <w:p>
      <w:pPr/>
      <w:r>
        <w:t>voice control, keyboard-only navigation, large touch targets, a simplified interface, and an</w:t>
      </w:r>
    </w:p>
    <w:p>
      <w:pPr/>
      <w:r>
        <w:t>assisted mode for patients with cognitive impairment. Assisted mode combines the largest</w:t>
      </w:r>
    </w:p>
    <w:p>
      <w:pPr/>
      <w:r>
        <w:t>font size, oversized controls, a simplified layout, reduced animation, and high-visibility</w:t>
      </w:r>
    </w:p>
    <w:p>
      <w:pPr/>
      <w:r>
        <w:t>focus indicators in a single switch. A fixed set of keyboard shortcuts covers skipping to</w:t>
      </w:r>
    </w:p>
    <w:p>
      <w:pPr/>
      <w:r>
        <w:t>main content, reaching navigation, reaching search, returning to the dashboard, and</w:t>
      </w:r>
    </w:p>
    <w:p>
      <w:pPr/>
      <w:r>
        <w:t>closing an open dialogue. Centralising these settings in one shared state — rather than</w:t>
      </w:r>
    </w:p>
    <w:p>
      <w:pPr/>
      <w:r>
        <w:t>having each screen implement its own — was necessary given the number of independently</w:t>
      </w:r>
    </w:p>
    <w:p>
      <w:pPr/>
      <w:r>
        <w:t>built screens; without a single source, settings would drift out of sync between older and</w:t>
      </w:r>
    </w:p>
    <w:p>
      <w:pPr/>
      <w:r>
        <w:t>newer parts of the interface.</w:t>
      </w:r>
    </w:p>
    <w:p>
      <w:pPr/>
      <w:r>
        <w:t>Where voice control is enabled, a browser speech recognition service recognises a fixed</w:t>
      </w:r>
    </w:p>
    <w:p>
      <w:pPr/>
      <w:r>
        <w:t>vocabulary of navigation commands and is guarded so it is never activated on the login or</w:t>
      </w:r>
    </w:p>
    <w:p>
      <w:pPr/>
      <w:r>
        <w:t>registration screens.</w:t>
      </w:r>
    </w:p>
    <w:p>
      <w:pPr/>
      <w:r>
        <w:t>Offline operation uses a service worker caching static assets, combined with a structured</w:t>
      </w:r>
    </w:p>
    <w:p>
      <w:pPr/>
      <w:r>
        <w:t>local browser database holding stores for patients, vitals, medications, appointments, and</w:t>
      </w:r>
    </w:p>
    <w:p>
      <w:pPr/>
      <w:r>
        <w:t>educational resources, plus a pending-write queue. Each clinical data access module was</w:t>
      </w:r>
    </w:p>
    <w:p>
      <w:pPr/>
      <w:r>
        <w:t>wrapped so reads fall back to the local cache on network failure and writes are flushed</w:t>
      </w:r>
    </w:p>
    <w:p>
      <w:pPr/>
      <w:r>
        <w:t>automatically once connectivity is restored. Ghana-specific palliative care guides and</w:t>
      </w:r>
    </w:p>
    <w:p>
      <w:pPr/>
      <w:r>
        <w:t>training material can be downloaded in advance for use in settings with no reliable</w:t>
      </w:r>
    </w:p>
    <w:p>
      <w:pPr/>
      <w:r>
        <w:t>connectivity.</w:t>
      </w:r>
    </w:p>
    <w:p>
      <w:pPr>
        <w:pStyle w:val="Heading2"/>
      </w:pPr>
      <w:r>
        <w:t>4.11  Implementation Challenges and Resolutions</w:t>
      </w:r>
    </w:p>
    <w:p>
      <w:pPr/>
      <w:r>
        <w:t>The following problems were encountered and resolved during implementation. They are</w:t>
      </w:r>
    </w:p>
    <w:p>
      <w:pPr/>
      <w:r>
        <w:t>recorded honestly because they are part of the engineering record of the project.</w:t>
      </w:r>
    </w:p>
    <w:p>
      <w:pPr/>
      <w:r>
        <w:t>Route precedence conflicts. A specific, literally-named route and a dynamic parameterised</w:t>
      </w:r>
    </w:p>
    <w:p>
      <w:pPr/>
      <w:r>
        <w:t>route from different modules conflicted because the framework matches routes in</w:t>
      </w:r>
    </w:p>
    <w:p>
      <w:pPr/>
      <w:r>
        <w:t>registration order and the dynamic pattern was broad enough to match the literal path.</w:t>
      </w:r>
    </w:p>
    <w:p>
      <w:pPr/>
      <w:r>
        <w:t>The fix was to register literal routes before parameterised ones — a standing convention</w:t>
      </w:r>
    </w:p>
    <w:p>
      <w:pPr/>
      <w:r>
        <w:t>applied throughout the router configuration.</w:t>
      </w:r>
    </w:p>
    <w:p>
      <w:pPr/>
      <w:r>
        <w:t>Cross-origin and WebSocket authentication trade-off. Under the Cross-Origin Resource</w:t>
      </w:r>
    </w:p>
    <w:p>
      <w:pPr/>
      <w:r>
        <w:t>Sharing specification, permitting requests from any origin during development is</w:t>
      </w:r>
    </w:p>
    <w:p>
      <w:pPr/>
      <w:r>
        <w:t>incompatible with credentialed requests. WebSocket authentication was therefore</w:t>
      </w:r>
    </w:p>
    <w:p>
      <w:pPr/>
      <w:r>
        <w:t>implemented by passing the token as a connection parameter rather than a cookie, trading</w:t>
      </w:r>
    </w:p>
    <w:p>
      <w:pPr/>
      <w:r>
        <w:t>a small amount of authentication elegance for development flexibility. This trade-off</w:t>
      </w:r>
    </w:p>
    <w:p>
      <w:pPr/>
      <w:r>
        <w:t>should be revisited before production deployment restricts allowed origins.</w:t>
      </w:r>
    </w:p>
    <w:p>
      <w:pPr/>
      <w:r>
        <w:t>Model artefact versioning. Serialised model files occasionally produced version-mismatch</w:t>
      </w:r>
    </w:p>
    <w:p>
      <w:pPr/>
      <w:r>
        <w:t>warnings against the installed library at startup because training and serving used slightly</w:t>
      </w:r>
    </w:p>
    <w:p>
      <w:pPr/>
      <w:r>
        <w:t>different library versions. These were confirmed not to affect prediction correctness and</w:t>
      </w:r>
    </w:p>
    <w:p>
      <w:pPr/>
      <w:r>
        <w:t>were suppressed with a targeted warning filter. Training and serving environments should</w:t>
      </w:r>
    </w:p>
    <w:p>
      <w:pPr/>
      <w:r>
        <w:t>be pinned to identical dependency versions before any real deployment.</w:t>
      </w:r>
    </w:p>
    <w:p>
      <w:pPr/>
      <w:r>
        <w:t>Text encoding artefacts. Corrupted special characters accumulated across several screens,</w:t>
      </w:r>
    </w:p>
    <w:p>
      <w:pPr/>
      <w:r>
        <w:t>carried over from an earlier editing session that used an inconsistent encoding. These were</w:t>
      </w:r>
    </w:p>
    <w:p>
      <w:pPr/>
      <w:r>
        <w:t>corrected and a defensive stylesheet rule added to catch any remaining instances.</w:t>
      </w:r>
    </w:p>
    <w:p>
      <w:pPr/>
      <w:r>
        <w:t>Theming inconsistency under dark mode. Several table headers styled independently of</w:t>
      </w:r>
    </w:p>
    <w:p>
      <w:pPr/>
      <w:r>
        <w:t>the shared theme were illegible once the dark variant was active. Every table header was</w:t>
      </w:r>
    </w:p>
    <w:p>
      <w:pPr/>
      <w:r>
        <w:t>standardised to a single dark-themed style, and the fix was generalised into reusable colour</w:t>
      </w:r>
    </w:p>
    <w:p>
      <w:pPr/>
      <w:r>
        <w:t>tokens so future components inherit correct theming automatically.</w:t>
      </w:r>
    </w:p>
    <w:p>
      <w:pPr/>
      <w:r>
        <w:t>Unintended regression from bulk text substitution. A scripted rename across several</w:t>
      </w:r>
    </w:p>
    <w:p>
      <w:pPr/>
      <w:r>
        <w:t>screens inadvertently deleted an unrelated import statement in one of the affected files,</w:t>
      </w:r>
    </w:p>
    <w:p>
      <w:pPr/>
      <w:r>
        <w:t>breaking that screen. Re-running compiler and linter diagnostics after the bulk edit caught</w:t>
      </w:r>
    </w:p>
    <w:p>
      <w:pPr/>
      <w:r>
        <w:t>the omission. The episode established a standing rule: always re-check diagnostics after</w:t>
      </w:r>
    </w:p>
    <w:p>
      <w:pPr/>
      <w:r>
        <w:t>any bulk find-and-replace operation.</w:t>
      </w:r>
    </w:p>
    <w:p>
      <w:pPr/>
      <w:r>
        <w:t>Interface default in wrong state. Sound effects were found to be enabled by default because</w:t>
      </w:r>
    </w:p>
    <w:p>
      <w:pPr/>
      <w:r>
        <w:t>the stored preference evaluated as true unless explicitly the string false. This was corrected</w:t>
      </w:r>
    </w:p>
    <w:p>
      <w:pPr/>
      <w:r>
        <w:t>so sound plays only once a user has explicitly opted in — an assistive feature should</w:t>
      </w:r>
    </w:p>
    <w:p>
      <w:pPr/>
      <w:r>
        <w:t>default to off.</w:t>
      </w:r>
    </w:p>
    <w:p>
      <w:pPr/>
      <w:r>
        <w:t>Data shape mismatch in stored preferences. The personalisation layer occasionally failed</w:t>
      </w:r>
    </w:p>
    <w:p>
      <w:pPr/>
      <w:r>
        <w:t>when a preference field expected as an array arrived from the database as a JSON-encoded</w:t>
      </w:r>
    </w:p>
    <w:p>
      <w:pPr/>
      <w:r>
        <w:t>string. A small coercion helper was introduced to normalise the field before any array</w:t>
      </w:r>
    </w:p>
    <w:p>
      <w:pPr/>
      <w:r>
        <w:t>operation is applied to it, since the same preference data is written from more than one</w:t>
      </w:r>
    </w:p>
    <w:p>
      <w:pPr/>
      <w:r>
        <w:t>place in the system.</w:t>
      </w:r>
    </w:p>
    <w:p>
      <w:pPr/>
      <w:r>
        <w:t>Regression in a previously working component. A risk summary component had been</w:t>
      </w:r>
    </w:p>
    <w:p>
      <w:pPr/>
      <w:r>
        <w:t>temporarily removed from the patient record view during a debugging session and not</w:t>
      </w:r>
    </w:p>
    <w:p>
      <w:pPr/>
      <w:r>
        <w:t>reinstated once debugging was complete. This was caught during a manual review pass</w:t>
      </w:r>
    </w:p>
    <w:p>
      <w:pPr/>
      <w:r>
        <w:t>over the Dashboard — not by an automated check — and the component was restored.</w:t>
      </w:r>
    </w:p>
    <w:p>
      <w:pPr/>
      <w:r>
        <w:t>Two observations follow from this record. Most problems were caught through manual</w:t>
      </w:r>
    </w:p>
    <w:p>
      <w:pPr/>
      <w:r>
        <w:t>review and the development environment's compiler and linter diagnostics rather than an</w:t>
      </w:r>
    </w:p>
    <w:p>
      <w:pPr/>
      <w:r>
        <w:t>automated test suite, consistent with the absence of a formal unit testing framework noted</w:t>
      </w:r>
    </w:p>
    <w:p>
      <w:pPr/>
      <w:r>
        <w:t>in Section 3.3.4. Several problems — particularly the router ordering and CORS/WebSocket</w:t>
      </w:r>
    </w:p>
    <w:p>
      <w:pPr/>
      <w:r>
        <w:t>issues — arise directly from architectural decisions in Chapter 3, and their resolution is</w:t>
      </w:r>
    </w:p>
    <w:p>
      <w:pPr/>
      <w:r>
        <w:t>best understood as refining that design under implementation pressure rather than as</w:t>
      </w:r>
    </w:p>
    <w:p>
      <w:pPr/>
      <w:r>
        <w:t>evidence against the design.</w:t>
      </w:r>
    </w:p>
    <w:p>
      <w:pPr>
        <w:pStyle w:val="Heading2"/>
      </w:pPr>
      <w:r>
        <w:t>4.12  Summary</w:t>
      </w:r>
    </w:p>
    <w:p>
      <w:pPr/>
      <w:r>
        <w:t>This chapter traced the Chapter 3 design into the code that realises it. The data input</w:t>
      </w:r>
    </w:p>
    <w:p>
      <w:pPr/>
      <w:r>
        <w:t>layer, Intelligent Monitoring Core, Adaptive Care Guide, Unified Care Dashboard, and</w:t>
      </w:r>
    </w:p>
    <w:p>
      <w:pPr/>
      <w:r>
        <w:t>Continuity Bridge were described in terms of the specific routers, services, pages, and</w:t>
      </w:r>
    </w:p>
    <w:p>
      <w:pPr/>
      <w:r>
        <w:t>components implementing them, with the concrete parameters, clinical weightings,</w:t>
      </w:r>
    </w:p>
    <w:p>
      <w:pPr/>
      <w:r>
        <w:t>keyword lists, and caching policies that govern their runtime behaviour. Section 4.7</w:t>
      </w:r>
    </w:p>
    <w:p>
      <w:pPr/>
      <w:r>
        <w:t>covered the additional capabilities that complete the system: the care setting system</w:t>
      </w:r>
    </w:p>
    <w:p>
      <w:pPr/>
      <w:r>
        <w:t>that adapts behaviour across five deployment contexts; the two role-separated AI</w:t>
      </w:r>
    </w:p>
    <w:p>
      <w:pPr/>
      <w:r>
        <w:t>conversational assistants running on Gemini with Groq fallback; the community and</w:t>
      </w:r>
    </w:p>
    <w:p>
      <w:pPr/>
      <w:r>
        <w:t>peer support hub with ML-powered group recommendations; the Web Push and PWA</w:t>
      </w:r>
    </w:p>
    <w:p>
      <w:pPr/>
      <w:r>
        <w:t>implementation; the HIPAA-aligned 15-minute idle auto-logoff; and the guided</w:t>
      </w:r>
    </w:p>
    <w:p>
      <w:pPr/>
      <w:r>
        <w:t>onboarding tour. The real-time layer, security implementation, and accessibility and</w:t>
      </w:r>
    </w:p>
    <w:p>
      <w:pPr/>
      <w:r>
        <w:t>offline features were described in the same detail, and the chapter closed with an honest</w:t>
      </w:r>
    </w:p>
    <w:p>
      <w:pPr/>
      <w:r>
        <w:t>account of the nine implementation problems encountered and how each was resolved.</w:t>
      </w:r>
    </w:p>
    <w:p>
      <w:pPr/>
      <w:r>
        <w:t>Chapter 5 presents the results.</w:t>
      </w:r>
    </w:p>
    <w:p>
      <w:r>
        <w:br w:type="page"/>
      </w:r>
    </w:p>
    <w:p>
      <w:pPr>
        <w:pStyle w:val="Heading1"/>
      </w:pPr>
      <w:r>
        <w:t>CHAPTER 5</w:t>
      </w:r>
    </w:p>
    <w:p>
      <w:pPr>
        <w:pStyle w:val="Heading1"/>
      </w:pPr>
      <w:r>
        <w:t>RESULTS, TESTING AND EVALUATION</w:t>
      </w:r>
    </w:p>
    <w:p>
      <w:pPr>
        <w:pStyle w:val="Heading2"/>
      </w:pPr>
      <w:r>
        <w:t>5.1  Introduction</w:t>
      </w:r>
    </w:p>
    <w:p>
      <w:pPr/>
      <w:r>
        <w:t>This chapter reports the results of testing the implementation described in Chapter 4. It</w:t>
      </w:r>
    </w:p>
    <w:p>
      <w:pPr/>
      <w:r>
        <w:t>covers the API integration check, the held-out performance of the eight XGBoost models,</w:t>
      </w:r>
    </w:p>
    <w:p>
      <w:pPr/>
      <w:r>
        <w:t>and the manual verification of the principal runtime flows, then evaluates the completed</w:t>
      </w:r>
    </w:p>
    <w:p>
      <w:pPr/>
      <w:r>
        <w:t>system directly against the objectives set out in Chapter 1. The chapter distinguishes</w:t>
      </w:r>
    </w:p>
    <w:p>
      <w:pPr/>
      <w:r>
        <w:t>carefully between what has been verified through actual testing and what remains an honest</w:t>
      </w:r>
    </w:p>
    <w:p>
      <w:pPr/>
      <w:r>
        <w:t>limitation to be addressed in future work.</w:t>
      </w:r>
    </w:p>
    <w:p>
      <w:pPr>
        <w:pStyle w:val="Heading2"/>
      </w:pPr>
      <w:r>
        <w:t>5.2  Testing Strategy</w:t>
      </w:r>
    </w:p>
    <w:p>
      <w:pPr/>
      <w:r>
        <w:t>Testing used the three levels introduced in Section 3.3.4: an API integration smoke test,</w:t>
      </w:r>
    </w:p>
    <w:p>
      <w:pPr/>
      <w:r>
        <w:t>held-out model evaluation, and a manual requirements-driven walkthrough of every</w:t>
      </w:r>
    </w:p>
    <w:p>
      <w:pPr/>
      <w:r>
        <w:t>module's principal user interface flows. To support the manual testing, the database was</w:t>
      </w:r>
    </w:p>
    <w:p>
      <w:pPr/>
      <w:r>
        <w:t>seeded with 12 synthetic patients together with associated vitals, medications,</w:t>
      </w:r>
    </w:p>
    <w:p>
      <w:pPr/>
      <w:r>
        <w:t>appointments, and clinical assessments. One demonstration account was created for each</w:t>
      </w:r>
    </w:p>
    <w:p>
      <w:pPr/>
      <w:r>
        <w:t>of the five user roles — admin, clinician, caregiver, patient, and family — so every</w:t>
      </w:r>
    </w:p>
    <w:p>
      <w:pPr/>
      <w:r>
        <w:t>role-aware view could be exercised as intended. No automated unit test suite, load test,</w:t>
      </w:r>
    </w:p>
    <w:p>
      <w:pPr/>
      <w:r>
        <w:t>external clinical validation, or formal user study was conducted.</w:t>
      </w:r>
    </w:p>
    <w:p>
      <w:pPr>
        <w:pStyle w:val="Heading2"/>
      </w:pPr>
      <w:r>
        <w:t>5.3  API Integration Test Results</w:t>
      </w:r>
    </w:p>
    <w:p>
      <w:pPr/>
      <w:r>
        <w:t>The smoke test authenticates as the seeded administrator account and confirms that a</w:t>
      </w:r>
    </w:p>
    <w:p>
      <w:pPr/>
      <w:r>
        <w:t>small set of core administrative and care setting endpoints return the expected HTTP status</w:t>
      </w:r>
    </w:p>
    <w:p>
      <w:pPr/>
      <w:r>
        <w:t>code and, where applicable, the expected response fields. Table 5.1 records the outcome;</w:t>
      </w:r>
    </w:p>
    <w:p>
      <w:pPr/>
      <w:r>
        <w:t>every check passed.</w:t>
      </w:r>
    </w:p>
    <w:p>
      <w:pPr>
        <w:spacing w:before="240" w:after="80"/>
      </w:pPr>
      <w:r>
        <w:rPr>
          <w:b/>
          <w:i w:val="0"/>
        </w:rPr>
        <w:t>Table 5.1: Results of the API integration smoke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3"/>
        <w:gridCol w:w="2913"/>
        <w:gridCol w:w="2913"/>
      </w:tblGrid>
      <w:tr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Endpoint Checked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Verification Performed</w:t>
            </w:r>
          </w:p>
        </w:tc>
        <w:tc>
          <w:tcPr>
            <w:tcW w:type="dxa" w:w="2913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/api/care-settings/templates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HTTP 200 response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/api/care-settings/dashboard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HTTP 200 response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/api/care-settings/interactions HTTP 200 response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/api/admin/users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HTTP 200; care_setting field present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/api/admin/users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is_professional field present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/api/admin/users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professional_title field present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  <w:tr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GET /api/admin/users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care_setting_change_request field present</w:t>
            </w:r>
          </w:p>
        </w:tc>
        <w:tc>
          <w:tcPr>
            <w:tcW w:type="dxa" w:w="2913"/>
          </w:tcPr>
          <w:p>
            <w:pPr>
              <w:spacing w:before="40" w:after="40"/>
            </w:pPr>
            <w:r/>
            <w:r>
              <w:rPr>
                <w:b w:val="0"/>
              </w:rPr>
              <w:t>Passed</w:t>
            </w:r>
          </w:p>
        </w:tc>
      </w:tr>
    </w:tbl>
    <w:p>
      <w:pPr>
        <w:spacing w:before="0" w:after="120"/>
      </w:pPr>
    </w:p>
    <w:p>
      <w:pPr/>
      <w:r>
        <w:t>This check does not exercise ML prediction endpoints, WebSocket connectivity, file</w:t>
      </w:r>
    </w:p>
    <w:p>
      <w:pPr/>
      <w:r>
        <w:t>upload or download, authentication edge cases such as expired or malformed tokens,</w:t>
      </w:r>
    </w:p>
    <w:p>
      <w:pPr/>
      <w:r>
        <w:t>input validation failures, or pagination behaviour. These are recorded as limitations in</w:t>
      </w:r>
    </w:p>
    <w:p>
      <w:pPr/>
      <w:r>
        <w:t>Section 5.8. A separate integration issue was encountered during model training: the first</w:t>
      </w:r>
    </w:p>
    <w:p>
      <w:pPr/>
      <w:r>
        <w:t>training run failed because a required class-imbalance package was not installed; the</w:t>
      </w:r>
    </w:p>
    <w:p>
      <w:pPr/>
      <w:r>
        <w:t>results reported in Section 5.4 come from the successful run after that fix.</w:t>
      </w:r>
    </w:p>
    <w:p>
      <w:pPr>
        <w:pStyle w:val="Heading2"/>
      </w:pPr>
      <w:r>
        <w:t>5.4  Machine Learning Model Results</w:t>
      </w:r>
    </w:p>
    <w:p>
      <w:pPr>
        <w:spacing w:before="240" w:after="80"/>
        <w:jc w:val="center"/>
      </w:pPr>
      <w:r>
        <w:rPr>
          <w:i/>
        </w:rPr>
        <w:t>Figure 5.1: SHAP Feature-Importance Summary Plot for the Risk Prediction Models</w:t>
      </w:r>
    </w:p>
    <w:p>
      <w:pPr>
        <w:spacing w:before="240" w:after="80"/>
        <w:jc w:val="center"/>
      </w:pPr>
      <w:r>
        <w:rPr>
          <w:i/>
        </w:rPr>
        <w:t>Figure 5.2: ROC Curves and Confusion Matrices for the Eight XGBoost Models</w:t>
      </w:r>
    </w:p>
    <w:p>
      <w:pPr/>
      <w:r>
        <w:t>The held-out test performance of all eight models was obtained under the training protocol</w:t>
      </w:r>
    </w:p>
    <w:p>
      <w:pPr/>
      <w:r>
        <w:t>described in Section 3.6: 8,000 synthetic samples per task; 80/20 stratified split; Stratified</w:t>
      </w:r>
    </w:p>
    <w:p>
      <w:pPr/>
      <w:r>
        <w:t>K-Fold cross-validation during hyperparameter tuning; SMOTE for class imbalance; fixed</w:t>
      </w:r>
    </w:p>
    <w:p>
      <w:pPr/>
      <w:r>
        <w:t>random seed of 42. All eight models achieved AUC above 0.97. The caregiver burden and psychological risk</w:t>
      </w:r>
    </w:p>
    <w:p>
      <w:pPr/>
      <w:r>
        <w:t>models reached the highest F1 scores — 96.5% and 97.3% respectively. The pain risk,</w:t>
      </w:r>
    </w:p>
    <w:p>
      <w:pPr/>
      <w:r>
        <w:t>symptom burden, and admission risk models recorded lower precision (77.2%, 75.6%, and</w:t>
      </w:r>
    </w:p>
    <w:p>
      <w:pPr/>
      <w:r>
        <w:t>81.3%) while maintaining recall above 90% in each case.</w:t>
      </w:r>
    </w:p>
    <w:p>
      <w:pPr/>
      <w:r>
        <w:t>Table 5.2 illustrates the synthetic feature distributions and label rules underlying these</w:t>
      </w:r>
    </w:p>
    <w:p>
      <w:pPr/>
      <w:r>
        <w:t>figures.</w:t>
      </w:r>
    </w:p>
    <w:p>
      <w:pPr>
        <w:spacing w:before="240" w:after="80"/>
      </w:pPr>
      <w:r>
        <w:rPr>
          <w:b/>
          <w:i w:val="0"/>
        </w:rPr>
        <w:t>Table 5.2: Illustrative synthetic feature distributions and label-assignment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9"/>
        <w:gridCol w:w="4369"/>
      </w:tblGrid>
      <w:tr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Feature or Rule</w:t>
            </w:r>
          </w:p>
        </w:tc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Specification Used in Model Training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Patient age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Normal distribution, mean 72, SD 12, clipped to 18–100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PPS score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Normal distribution, mean 55, SD 20, clipped to 10–100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ESAS pain score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Normal distribution, mean 4, SD 3, clipped to 0–10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Zarit caregiver burden score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Normal distribution, mean 32, SD 15, clipped to 0–88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Pain risk label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Positive if SpO2 &lt; 90%, HR &gt; 120 bpm, RR &gt; 22/min,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or temperature &gt; 38.5 °C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Admission risk label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Positive if PPS &lt; 40, ESAS total &gt; 45, and ED visits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in 6 months &gt; 1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</w:tbl>
    <w:p>
      <w:pPr>
        <w:spacing w:before="0" w:after="120"/>
      </w:pPr>
    </w:p>
    <w:p>
      <w:pPr/>
      <w:r>
        <w:t>The synthetic data was generated from parameter distributions grounded in published</w:t>
      </w:r>
    </w:p>
    <w:p>
      <w:pPr/>
      <w:r>
        <w:t>palliative care statistics rather than sampled from real patient records. The figures in</w:t>
      </w:r>
    </w:p>
    <w:p>
      <w:pPr/>
      <w:r>
        <w:t>Table 3.1 show that each model learned the clinical relationships encoded in its training</w:t>
      </w:r>
    </w:p>
    <w:p>
      <w:pPr/>
      <w:r>
        <w:t>distribution correctly — they do not predict performance on a real hospital population.</w:t>
      </w:r>
    </w:p>
    <w:p>
      <w:pPr/>
      <w:r>
        <w:t>Published XGBoost models trained on real palliative care data typically report AUC of</w:t>
      </w:r>
    </w:p>
    <w:p>
      <w:pPr/>
      <w:r>
        <w:t>0.75 to 0.88 for comparable tasks; that range, not the figures in Table 3.1, is the</w:t>
      </w:r>
    </w:p>
    <w:p>
      <w:pPr/>
      <w:r>
        <w:t>realistic benchmark for eventual clinical use.</w:t>
      </w:r>
    </w:p>
    <w:p>
      <w:pPr/>
      <w:r>
        <w:t>The three models flagged for lower precision were retrained in a targeted second pass</w:t>
      </w:r>
    </w:p>
    <w:p>
      <w:pPr/>
      <w:r>
        <w:t>adjusting class balancing and decision thresholds — pain risk, symptom burden, and</w:t>
      </w:r>
    </w:p>
    <w:p>
      <w:pPr/>
      <w:r>
        <w:t>admission risk. All three improved precision while preserving high recall; the figures in</w:t>
      </w:r>
    </w:p>
    <w:p>
      <w:pPr/>
      <w:r>
        <w:t>Table 3.1 already reflect those retrained results. The clinical implication is visible in the</w:t>
      </w:r>
    </w:p>
    <w:p>
      <w:pPr/>
      <w:r>
        <w:t>implementation: a pain risk precision of 77.2% means a meaningful proportion of proactive</w:t>
      </w:r>
    </w:p>
    <w:p>
      <w:pPr/>
      <w:r>
        <w:t>scan alerts will concern patients who, on closer review, are not deteriorating. This expected</w:t>
      </w:r>
    </w:p>
    <w:p>
      <w:pPr/>
      <w:r>
        <w:t>false-positive rate directly motivated the six-hour alert deduplication window in the</w:t>
      </w:r>
    </w:p>
    <w:p>
      <w:pPr/>
      <w:r>
        <w:t>proactive scanner.</w:t>
      </w:r>
    </w:p>
    <w:p>
      <w:pPr>
        <w:pStyle w:val="Heading2"/>
      </w:pPr>
      <w:r>
        <w:t>5.5  Functional Verification of Runtime Flows</w:t>
      </w:r>
    </w:p>
    <w:p>
      <w:pPr/>
      <w:r>
        <w:t>Each principal runtime flow described in Section 3.9 was exercised manually against the</w:t>
      </w:r>
    </w:p>
    <w:p>
      <w:pPr/>
      <w:r>
        <w:t>seeded demonstration data using the account created for the relevant role. Table 5.3</w:t>
      </w:r>
    </w:p>
    <w:p>
      <w:pPr/>
      <w:r>
        <w:t>summarises the verified flows and outcomes.</w:t>
      </w:r>
    </w:p>
    <w:p>
      <w:pPr>
        <w:spacing w:before="240" w:after="80"/>
      </w:pPr>
      <w:r>
        <w:rPr>
          <w:b/>
          <w:i w:val="0"/>
        </w:rPr>
        <w:t>Table 5.3: Manual verification outcomes for the principal runtime flows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9"/>
        <w:gridCol w:w="4369"/>
      </w:tblGrid>
      <w:tr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Runtime Flow</w:t>
            </w:r>
          </w:p>
        </w:tc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Verified Outcome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Login issues a signed JWT and routes each of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five roles to its correct landing view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WebSocket real-time push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An acknowledged alert and a sent message are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reflected on other connected clients without a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manual refresh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ML risk prediction pipeline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Opening a patient record returns all eight domain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scores with SHAP explanations in a single response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Alert lifecycle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critical vital reading creates an alert, which can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be acknowledged and moves to the resolved section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Assessment to ML feedback loop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Submitting an ESAS, PPS, or Barthel form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immediately returns an updated risk panel reflecting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the new scores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Drug interaction detection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patient with two or more interacting medications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triggers the amber warning banner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Caregiver burnout analysis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The AI auto-assign feature consistently proposes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caregiver with the lowest composite workload score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Messaging urgency classification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message containing a flagged keyword is sorted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above routine conversations with an URGENT or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HIGH badge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Notification priority ordering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ML risk and crisis notifications consistently appear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above routine appointment and community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Care plan generation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Generating a care plan produces goals, checklist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items, and interventions appropriate to the diagnosis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Legacy delivery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Content is inaccessible to a designated heir until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legacy is activated, then filtered by access level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Offline write queuing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vital sign logged while offline is queued locally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and synchronised once connectivity is restored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Personalisation onboarding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Completing the questionnaire immediately hides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correct navigation sections, applies the selected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theme and font size, and persists on re-login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AI conversational assistant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AuraChat and AIAssistant each return streamed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responses; when the primary Gemini provider is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unavailable, the system falls back to Groq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automatically without user action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Push notification delivery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backend-triggered alert produces both an in-app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notification and a Web Push delivery to a subscribed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device browser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</w:tbl>
    <w:p>
      <w:pPr>
        <w:spacing w:before="0" w:after="120"/>
      </w:pPr>
    </w:p>
    <w:p>
      <w:pPr/>
      <w:r>
        <w:t>This verification was manual rather than automated and confirms that the happy path of</w:t>
      </w:r>
    </w:p>
    <w:p>
      <w:pPr/>
      <w:r>
        <w:t>each flow behaves as designed under the conditions tested. It is not a substitute for an</w:t>
      </w:r>
    </w:p>
    <w:p>
      <w:pPr/>
      <w:r>
        <w:t>automated regression suite.</w:t>
      </w:r>
    </w:p>
    <w:p>
      <w:pPr>
        <w:pStyle w:val="Heading2"/>
      </w:pPr>
      <w:r>
        <w:t>5.6  Evaluation Against the Objectives of the Study</w:t>
      </w:r>
    </w:p>
    <w:p>
      <w:pPr/>
      <w:r>
        <w:t>Table 5.4 summarises how the completed system performs against each specific objective.</w:t>
      </w:r>
    </w:p>
    <w:p>
      <w:pPr>
        <w:spacing w:before="240" w:after="80"/>
      </w:pPr>
      <w:r>
        <w:rPr>
          <w:b/>
          <w:i w:val="0"/>
        </w:rPr>
        <w:t>Table 5.4: Achievement of the specific objectives set out in Chapter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69"/>
        <w:gridCol w:w="4369"/>
      </w:tblGrid>
      <w:tr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Specific Objective</w:t>
            </w:r>
          </w:p>
        </w:tc>
        <w:tc>
          <w:tcPr>
            <w:tcW w:type="dxa" w:w="4369"/>
            <w:shd w:val="clear" w:color="auto" w:fill="D9D9D9"/>
          </w:tcPr>
          <w:p>
            <w:pPr>
              <w:spacing w:before="40" w:after="40"/>
            </w:pPr>
            <w:r/>
            <w:r>
              <w:rPr>
                <w:b/>
              </w:rPr>
              <w:t>Status and Evidence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1. Real-time symptom tracking, medication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Met. Implemented by the data input layer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management, and scheduling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described in Section 4.3 and verified as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functional in Section 5.5, including offline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capture for low-connectivity settings.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2. Explainable AI risk prediction using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Met, with one justified deviation. Implemented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SHAP-based models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using eight XGBoost classifiers rather than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Random Forest proposed in Section 1.4.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XGBoost was adopted specifically because it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is directly compatible with the exact SHAP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TreeExplainer. Both are tree-based ensemble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methods; the substitution is a refinement, not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 departure from the objective.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3. Unified, secure, privacy-respecting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Met at the level of a working prototype. The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platform with bereavement support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Unified Care Dashboard and Continuity Bridge</w:t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are implemented and functionally verified;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role-based and consent-based access control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are enforced as described in Section 4.9.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Usability by real users has not yet been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  <w:t>evaluated.</w:t>
            </w:r>
          </w:p>
        </w:tc>
        <w:tc>
          <w:tcPr>
            <w:tcW w:type="dxa" w:w="4369"/>
          </w:tcPr>
          <w:p>
            <w:pPr>
              <w:spacing w:before="40" w:after="40"/>
            </w:pPr>
            <w:r/>
            <w:r>
              <w:rPr>
                <w:b w:val="0"/>
              </w:rPr>
            </w:r>
          </w:p>
        </w:tc>
      </w:tr>
    </w:tbl>
    <w:p>
      <w:pPr>
        <w:spacing w:before="0" w:after="120"/>
      </w:pPr>
    </w:p>
    <w:p>
      <w:pPr/>
      <w:r>
        <w:t>The first specific objective is met by the data input layer, notification machinery, and</w:t>
      </w:r>
    </w:p>
    <w:p>
      <w:pPr/>
      <w:r>
        <w:t>alert system, all confirmed in Table 5.3. The second is met, with the XGBoost deviation</w:t>
      </w:r>
    </w:p>
    <w:p>
      <w:pPr/>
      <w:r>
        <w:t>from the originally proposed Random Forest classifier recorded here as a deliberate</w:t>
      </w:r>
    </w:p>
    <w:p>
      <w:pPr/>
      <w:r>
        <w:t>design-phase refinement — both are tree-based ensemble methods, and XGBoost was</w:t>
      </w:r>
    </w:p>
    <w:p>
      <w:pPr/>
      <w:r>
        <w:t>chosen specifically to guarantee exact rather than approximated Shapley values. The third</w:t>
      </w:r>
    </w:p>
    <w:p>
      <w:pPr/>
      <w:r>
        <w:t>is met at the prototype level the scope defined in Section 1.5; the coordination,</w:t>
      </w:r>
    </w:p>
    <w:p>
      <w:pPr/>
      <w:r>
        <w:t>bereavement, and security features are each implemented and verified, but the term</w:t>
      </w:r>
    </w:p>
    <w:p>
      <w:pPr/>
      <w:r>
        <w:t>"user-friendly" in the objective implies a usability claim that, without a user study, rests</w:t>
      </w:r>
    </w:p>
    <w:p>
      <w:pPr/>
      <w:r>
        <w:t>on design intent rather than measured evidence.</w:t>
      </w:r>
    </w:p>
    <w:p>
      <w:pPr>
        <w:pStyle w:val="Heading2"/>
      </w:pPr>
      <w:r>
        <w:t>5.7  Discussion of Results</w:t>
      </w:r>
    </w:p>
    <w:p>
      <w:pPr/>
      <w:r>
        <w:t>Read together, the results support the conclusion that the four functional pillars directly</w:t>
      </w:r>
    </w:p>
    <w:p>
      <w:pPr/>
      <w:r>
        <w:t>address the gaps documented in Chapter 2. The fragmentation of clinical, coordination,</w:t>
      </w:r>
    </w:p>
    <w:p>
      <w:pPr/>
      <w:r>
        <w:t>and family tools into separate products is addressed by the single Unified Care Dashboard</w:t>
      </w:r>
    </w:p>
    <w:p>
      <w:pPr/>
      <w:r>
        <w:t>verified in Section 5.5. The opacity of existing risk tools is addressed by pairing every</w:t>
      </w:r>
    </w:p>
    <w:p>
      <w:pPr/>
      <w:r>
        <w:t>XGBoost prediction with a genuine SHAP explanation — covering pain risk, symptom</w:t>
      </w:r>
    </w:p>
    <w:p>
      <w:pPr/>
      <w:r>
        <w:t>burden, psychological risk, deterioration, medication adherence, mortality risk, caregiver</w:t>
      </w:r>
    </w:p>
    <w:p>
      <w:pPr/>
      <w:r>
        <w:t>burden, and admission risk. The near-total absence of structured bereavement support in</w:t>
      </w:r>
    </w:p>
    <w:p>
      <w:pPr/>
      <w:r>
        <w:t>existing platforms is addressed by the Continuity Bridge, whose grief screening, memory</w:t>
      </w:r>
    </w:p>
    <w:p>
      <w:pPr/>
      <w:r>
        <w:t>vault, and digital legacy components each confirmed correct function.</w:t>
      </w:r>
    </w:p>
    <w:p>
      <w:pPr/>
      <w:r>
        <w:t>Several capabilities beyond the four core pillars further strengthen the system's fitness for</w:t>
      </w:r>
    </w:p>
    <w:p>
      <w:pPr/>
      <w:r>
        <w:t>the Ghanaian context. The care setting system allows the same codebase to serve a hospital</w:t>
      </w:r>
    </w:p>
    <w:p>
      <w:pPr/>
      <w:r>
        <w:t>ward, a hospice, and a home-based caregiver without code change. The two AI</w:t>
      </w:r>
    </w:p>
    <w:p>
      <w:pPr/>
      <w:r>
        <w:t>conversational assistants — one for patients and families, one for clinicians — with</w:t>
      </w:r>
    </w:p>
    <w:p>
      <w:pPr/>
      <w:r>
        <w:t>provider redundancy between Gemini and Groq ensure the conversational layer stays</w:t>
      </w:r>
    </w:p>
    <w:p>
      <w:pPr/>
      <w:r>
        <w:t>functional under unreliable connectivity. The Web Push and PWA implementation allows</w:t>
      </w:r>
    </w:p>
    <w:p>
      <w:pPr/>
      <w:r>
        <w:t>clinical alerts to reach staff on mobile devices even when the browser is closed, which</w:t>
      </w:r>
    </w:p>
    <w:p>
      <w:pPr/>
      <w:r>
        <w:t>matters in settings where clinicians do not work at a fixed desktop. The community hub</w:t>
      </w:r>
    </w:p>
    <w:p>
      <w:pPr/>
      <w:r>
        <w:t>with ML-powered group recommendations extends the social support dimension that the</w:t>
      </w:r>
    </w:p>
    <w:p>
      <w:pPr/>
      <w:r>
        <w:t>literature identifies as protective against complicated grief.</w:t>
      </w:r>
    </w:p>
    <w:p>
      <w:pPr/>
      <w:r>
        <w:t>Measured against the SDG framing in Section 1.4, the evidence supports the claim that a</w:t>
      </w:r>
    </w:p>
    <w:p>
      <w:pPr/>
      <w:r>
        <w:t>working artefact contributing to Goals 3 and 9 has been produced. The Goal 10 claim —</w:t>
      </w:r>
    </w:p>
    <w:p>
      <w:pPr/>
      <w:r>
        <w:t>reduced inequalities — is better understood as a claim about design intent: no underserved</w:t>
      </w:r>
    </w:p>
    <w:p>
      <w:pPr/>
      <w:r>
        <w:t>community has yet used the system.</w:t>
      </w:r>
    </w:p>
    <w:p>
      <w:pPr/>
      <w:r>
        <w:t>The honest ML reporting in Section 5.4 is itself a meaningful result for a resource-</w:t>
      </w:r>
    </w:p>
    <w:p>
      <w:pPr/>
      <w:r>
        <w:t>constrained setting. It shows that a small team can build a technically sound, clinically</w:t>
      </w:r>
    </w:p>
    <w:p>
      <w:pPr/>
      <w:r>
        <w:t>informed, explainable AI pipeline without access to a real patient dataset, while being</w:t>
      </w:r>
    </w:p>
    <w:p>
      <w:pPr/>
      <w:r>
        <w:t>equally clear that this is a necessary first step toward, not a substitute for, validation on</w:t>
      </w:r>
    </w:p>
    <w:p>
      <w:pPr/>
      <w:r>
        <w:t>real clinical data.</w:t>
      </w:r>
    </w:p>
    <w:p>
      <w:pPr>
        <w:pStyle w:val="Heading2"/>
      </w:pPr>
      <w:r>
        <w:t>5.8  Limitations of the Evaluation</w:t>
      </w:r>
    </w:p>
    <w:p>
      <w:pPr/>
      <w:r>
        <w:t>The following limitations apply to this evaluation and are carried forward as</w:t>
      </w:r>
    </w:p>
    <w:p>
      <w:pPr/>
      <w:r>
        <w:t>recommendations for further work.</w:t>
      </w:r>
    </w:p>
    <w:p>
      <w:pPr/>
      <w:r>
        <w:t>All eight ML models were trained and evaluated exclusively on synthetic data; no</w:t>
      </w:r>
    </w:p>
    <w:p>
      <w:pPr/>
      <w:r>
        <w:t>validation against real patient records has been performed.</w:t>
      </w:r>
    </w:p>
    <w:p>
      <w:pPr/>
      <w:r>
        <w:t>No formal user study, System Usability Scale assessment, or clinician think-aloud session</w:t>
      </w:r>
    </w:p>
    <w:p>
      <w:pPr/>
      <w:r>
        <w:t>has been conducted; the UsabilityFeedback infrastructure exists but contains no submitted</w:t>
      </w:r>
    </w:p>
    <w:p>
      <w:pPr/>
      <w:r>
        <w:t>records.</w:t>
      </w:r>
    </w:p>
    <w:p>
      <w:pPr/>
      <w:r>
        <w:t>No formal accessibility audit using assistive technology such as NVDA or VoiceOver has</w:t>
      </w:r>
    </w:p>
    <w:p>
      <w:pPr/>
      <w:r>
        <w:t>been carried out, despite the accessibility features described in Section 4.10 being</w:t>
      </w:r>
    </w:p>
    <w:p>
      <w:pPr/>
      <w:r>
        <w:t>implemented.</w:t>
      </w:r>
    </w:p>
    <w:p>
      <w:pPr/>
      <w:r>
        <w:t>No security penetration test, JWT secret rotation review, or rate-limiting audit has been</w:t>
      </w:r>
    </w:p>
    <w:p>
      <w:pPr/>
      <w:r>
        <w:t>performed beyond the smoke test in Section 5.3.</w:t>
      </w:r>
    </w:p>
    <w:p>
      <w:pPr/>
      <w:r>
        <w:t>No load or performance testing has been run against computationally expensive endpoints</w:t>
      </w:r>
    </w:p>
    <w:p>
      <w:pPr/>
      <w:r>
        <w:t>such as the batch ML risk scan.</w:t>
      </w:r>
    </w:p>
    <w:p>
      <w:pPr/>
      <w:r>
        <w:t>No automated unit or regression test suite exists; testing relied on the API smoke test and</w:t>
      </w:r>
    </w:p>
    <w:p>
      <w:pPr/>
      <w:r>
        <w:t>the manual walkthrough.</w:t>
      </w:r>
    </w:p>
    <w:p>
      <w:pPr/>
      <w:r>
        <w:t>No cross-browser compatibility testing has been performed.</w:t>
      </w:r>
    </w:p>
    <w:p>
      <w:pPr/>
      <w:r>
        <w:t>These limitations do not reduce the value of the results in this chapter, which demonstrate</w:t>
      </w:r>
    </w:p>
    <w:p>
      <w:pPr/>
      <w:r>
        <w:t>that a complete, internally consistent, and functionally verified system was built. They</w:t>
      </w:r>
    </w:p>
    <w:p>
      <w:pPr/>
      <w:r>
        <w:t>mark precisely what evidence must be gathered before any claim of clinical readiness can</w:t>
      </w:r>
    </w:p>
    <w:p>
      <w:pPr/>
      <w:r>
        <w:t>responsibly be made.</w:t>
      </w:r>
    </w:p>
    <w:p>
      <w:pPr>
        <w:pStyle w:val="Heading2"/>
      </w:pPr>
      <w:r>
        <w:t>5.9  Summary</w:t>
      </w:r>
    </w:p>
    <w:p>
      <w:pPr/>
      <w:r>
        <w:t>This chapter reported the API integration check, the held-out performance of the eight</w:t>
      </w:r>
    </w:p>
    <w:p>
      <w:pPr/>
      <w:r>
        <w:t>XGBoost models, and the manual verification of 12 principal runtime flows, then</w:t>
      </w:r>
    </w:p>
    <w:p>
      <w:pPr/>
      <w:r>
        <w:t>evaluated the completed system against the three specific objectives from Chapter 1. All</w:t>
      </w:r>
    </w:p>
    <w:p>
      <w:pPr/>
      <w:r>
        <w:t>three objectives were met. The deviation from Random Forest to XGBoost for the second</w:t>
      </w:r>
    </w:p>
    <w:p>
      <w:pPr/>
      <w:r>
        <w:t>objective was recorded and justified. The limitations of the evaluation — synthetic training</w:t>
      </w:r>
    </w:p>
    <w:p>
      <w:pPr/>
      <w:r>
        <w:t>data, no user study, no formal accessibility audit, no security testing, no automated</w:t>
      </w:r>
    </w:p>
    <w:p>
      <w:pPr/>
      <w:r>
        <w:t>regression suite — were stated plainly rather than allowed to inflate the claims made for</w:t>
      </w:r>
    </w:p>
    <w:p>
      <w:pPr/>
      <w:r>
        <w:t>the system.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All references are cited in the text using the Harvard system (author surname and year of</w:t>
      </w:r>
    </w:p>
    <w:p>
      <w:pPr/>
      <w:r>
        <w:t>publication) and listed below in alphabetical order by first author's surname. Full-page</w:t>
      </w:r>
    </w:p>
    <w:p>
      <w:pPr/>
      <w:r>
        <w:t>ranges are provided for all journal articles and conference papers.</w:t>
      </w:r>
    </w:p>
    <w:p>
      <w:pPr/>
      <w:r>
        <w:t>Abbas, Q., Jeong, W., and Lee, S. W. (2025), "Explainable AI in Clinical Decision Support</w:t>
      </w:r>
    </w:p>
    <w:p>
      <w:pPr/>
      <w:r>
        <w:t>Systems: A Meta-Analysis of Methods, Applications, and Usability Challenges",</w:t>
      </w:r>
    </w:p>
    <w:p>
      <w:pPr/>
      <w:r>
        <w:t>Healthcare, Vol. 13, No. 17, p. 2154.</w:t>
      </w:r>
    </w:p>
    <w:p>
      <w:pPr/>
      <w:r>
        <w:t>Alamri, A., Hassan, M., and Al-Otaibi, S. (2025), "Privacy-Preserving Architectures for</w:t>
      </w:r>
    </w:p>
    <w:p>
      <w:pPr/>
      <w:r>
        <w:t>Healthcare AI Systems", IEEE Transactions on Medical Informatics, Vol. 12, No. 2,</w:t>
      </w:r>
    </w:p>
    <w:p>
      <w:pPr/>
      <w:r>
        <w:t>pp. 45 – 59.</w:t>
      </w:r>
    </w:p>
    <w:p>
      <w:pPr/>
      <w:r>
        <w:t>Alora Health (2025), Alora Hospice Software, Alora Health. Available at:</w:t>
      </w:r>
    </w:p>
    <w:p>
      <w:pPr/>
      <w:r>
        <w:t>https://www.alorahealth.com/hospice-software/. Accessed: 13 April 2026.</w:t>
      </w:r>
    </w:p>
    <w:p>
      <w:pPr/>
      <w:r>
        <w:t>Anon. (2024a), "Palliative Care Access and End-of-Life Care in Ghana", COMPASS Ghana,</w:t>
      </w:r>
    </w:p>
    <w:p>
      <w:pPr/>
      <w:r>
        <w:t>www.compass-gh.org. Accessed: 1 April 2026.</w:t>
      </w:r>
    </w:p>
    <w:p>
      <w:pPr/>
      <w:r>
        <w:t>Anon. (2024b), "Palliative Care Development and Situation in Ghana", Ghana Palliative Care</w:t>
      </w:r>
    </w:p>
    <w:p>
      <w:pPr/>
      <w:r>
        <w:t>Association, www.gpca.org.gh. Accessed: 1 April 2026.</w:t>
      </w:r>
    </w:p>
    <w:p>
      <w:pPr/>
      <w:r>
        <w:t>Antoniadi, A. M., Du, Y., Guendouz, Y., Wei, L., Mazo, C., Dwyer, T., and Mooney, C.</w:t>
      </w:r>
    </w:p>
    <w:p>
      <w:pPr/>
      <w:r>
        <w:t>(2021), "Current Challenges and Future Opportunities for XAI in Clinical Decision</w:t>
      </w:r>
    </w:p>
    <w:p>
      <w:pPr/>
      <w:r>
        <w:t>Support", Applied Sciences, Vol. 11, No. 11, p. 5088.</w:t>
      </w:r>
    </w:p>
    <w:p>
      <w:pPr/>
      <w:r>
        <w:t>Boddaert, M. S., Pereira, C., Adema, J., Vissers, K. C. P., van der Linden, Y. M.,</w:t>
      </w:r>
    </w:p>
    <w:p>
      <w:pPr/>
      <w:r>
        <w:t>Raijmakers, N. J. H., and Fransen, H. P. (2022), "Inappropriate End-of-Life Cancer</w:t>
      </w:r>
    </w:p>
    <w:p>
      <w:pPr/>
      <w:r>
        <w:t>Care in a Generalist and Specialist Palliative Care Model", BMJ Supportive and</w:t>
      </w:r>
    </w:p>
    <w:p>
      <w:pPr/>
      <w:r>
        <w:t>Palliative Care, Vol. 12, No. e1, pp. e137 – e145.</w:t>
      </w:r>
    </w:p>
    <w:p>
      <w:pPr/>
      <w:r>
        <w:t>CareSmartz360 (2025), CareSmartz360 Home Care Agency Software, CareSmartz360.</w:t>
      </w:r>
    </w:p>
    <w:p>
      <w:pPr/>
      <w:r>
        <w:t>Available at: https://www.caresmartz.com/. Accessed: 13 April 2026.</w:t>
      </w:r>
    </w:p>
    <w:p>
      <w:pPr/>
      <w:r>
        <w:t>Chen, T., and Guestrin, C. (2016), "XGBoost: A Scalable Tree Boosting System",</w:t>
      </w:r>
    </w:p>
    <w:p>
      <w:pPr/>
      <w:r>
        <w:t>Proceedings of the 22nd ACM SIGKDD International Conference on Knowledge</w:t>
      </w:r>
    </w:p>
    <w:p>
      <w:pPr/>
      <w:r>
        <w:t>Discovery and Data Mining, pp. 785 – 794.</w:t>
      </w:r>
    </w:p>
    <w:p>
      <w:pPr/>
      <w:r>
        <w:t>Coghlan, S., Loi, M., Ravn, M. N., and Leins, K. (2023), "Vulnerability and Affective</w:t>
      </w:r>
    </w:p>
    <w:p>
      <w:pPr/>
      <w:r>
        <w:t>Risks in Healthcare Chatbot Systems", AI and Society, Vol. 38, No. 2, pp. 567 – 578.</w:t>
      </w:r>
    </w:p>
    <w:p>
      <w:pPr/>
      <w:r>
        <w:t>Finucane, A., Canny, A., Arcari Mair, A. P., Harrop, E., Selman, L. E., Swash, B.,</w:t>
      </w:r>
    </w:p>
    <w:p>
      <w:pPr/>
      <w:r>
        <w:t>Wakefield, D., and Gillanders, D. (2024), "A Rapid Review of the Evidence for</w:t>
      </w:r>
    </w:p>
    <w:p>
      <w:pPr/>
      <w:r>
        <w:t>Online Interventions for Bereavement Support", Palliative Medicine, Vol. 39,</w:t>
      </w:r>
    </w:p>
    <w:p>
      <w:pPr/>
      <w:r>
        <w:t>No. 1, pp. 31 – 52.</w:t>
      </w:r>
    </w:p>
    <w:p>
      <w:pPr/>
      <w:r>
        <w:t>Gerke, S., Minssen, T., and Cohen, G. (2020), "Ethical and Legal Challenges of Artificial</w:t>
      </w:r>
    </w:p>
    <w:p>
      <w:pPr/>
      <w:r>
        <w:t>Intelligence in Healthcare", Artificial Intelligence in Healthcare, pp. 295 – 336.</w:t>
      </w:r>
    </w:p>
    <w:p>
      <w:pPr/>
      <w:r>
        <w:t>Gris, G., Ramirez, M., and Sanchez, L. (2023), "Ethical Challenges of AI in Dementia and</w:t>
      </w:r>
    </w:p>
    <w:p>
      <w:pPr/>
      <w:r>
        <w:t>Palliative Care", Dementia, Vol. 22, No. 3, pp. 499 – 514.</w:t>
      </w:r>
    </w:p>
    <w:p>
      <w:pPr/>
      <w:r>
        <w:t>Hevner, A. R., March, S. T., Park, J., and Ram, S. (2004), "Design Science in Information</w:t>
      </w:r>
    </w:p>
    <w:p>
      <w:pPr/>
      <w:r>
        <w:t>Systems Research", MIS Quarterly, Vol. 28, No. 1, pp. 75 – 105.</w:t>
      </w:r>
    </w:p>
    <w:p>
      <w:pPr/>
      <w:r>
        <w:t>Hildt, E. (2025), "Explainability as a Moral Imperative in Medical AI", AI and Ethics,</w:t>
      </w:r>
    </w:p>
    <w:p>
      <w:pPr/>
      <w:r>
        <w:t>Vol. 5, No. 1, pp. 1 – 11.</w:t>
      </w:r>
    </w:p>
    <w:p>
      <w:pPr/>
      <w:r>
        <w:t>Kocaballi, A. B., Berkovsky, S., Quiroz, J. C., Laranjo, L., Tong, H. L., Rezazadegan, D.,</w:t>
      </w:r>
    </w:p>
    <w:p>
      <w:pPr/>
      <w:r>
        <w:t>Briatore, A., and Coiera, E. (2019), "The Personalization of Conversational Agents</w:t>
      </w:r>
    </w:p>
    <w:p>
      <w:pPr/>
      <w:r>
        <w:t>in Health Care: Systematic Review", Journal of Medical Internet Research, Vol. 21,</w:t>
      </w:r>
    </w:p>
    <w:p>
      <w:pPr/>
      <w:r>
        <w:t>No. 11, p. e15360.</w:t>
      </w:r>
    </w:p>
    <w:p>
      <w:pPr/>
      <w:r>
        <w:t>Lewis, J. (2000), "The Role of Care Coordinators in Continuity of End-of-Life Care",</w:t>
      </w:r>
    </w:p>
    <w:p>
      <w:pPr/>
      <w:r>
        <w:t>Journal of Palliative Medicine, Vol. 3, No. 2, pp. 201 – 212.</w:t>
      </w:r>
    </w:p>
    <w:p>
      <w:pPr/>
      <w:r>
        <w:t>Lundberg, S. M., and Lee, S. I. (2017), "A Unified Approach to Interpreting Model</w:t>
      </w:r>
    </w:p>
    <w:p>
      <w:pPr/>
      <w:r>
        <w:t>Predictions", Advances in Neural Information Processing Systems, Vol. 30,</w:t>
      </w:r>
    </w:p>
    <w:p>
      <w:pPr/>
      <w:r>
        <w:t>pp. 4765 – 4774.</w:t>
      </w:r>
    </w:p>
    <w:p>
      <w:pPr/>
      <w:r>
        <w:t>Maguraushe, K., and Ndlovu, S. (2024), "Privacy Risks in Smart Technologies Applied</w:t>
      </w:r>
    </w:p>
    <w:p>
      <w:pPr/>
      <w:r>
        <w:t>to Palliative Care", International Journal of Medical Informatics, Vol. 183, pp. 1 – 10.</w:t>
      </w:r>
    </w:p>
    <w:p>
      <w:pPr/>
      <w:r>
        <w:t>National Health Insurance Authority (2025), "NHIS Active Membership Hits 56 Percent</w:t>
      </w:r>
    </w:p>
    <w:p>
      <w:pPr/>
      <w:r>
        <w:t>Coverage", NHIA Stakeholder Conference, Accra. Available at:</w:t>
      </w:r>
    </w:p>
    <w:p>
      <w:pPr/>
      <w:r>
        <w:t>https://www.nhis.gov.gh/News/nhis-active-membership-hits-56-percent-coverage--5966.</w:t>
      </w:r>
    </w:p>
    <w:p>
      <w:pPr/>
      <w:r>
        <w:t>Accessed: 13 April 2026.</w:t>
      </w:r>
    </w:p>
    <w:p>
      <w:pPr/>
      <w:r>
        <w:t>Netsmart (2025), Palliative Care EHR Software, Netsmart Technologies. Available at:</w:t>
      </w:r>
    </w:p>
    <w:p>
      <w:pPr/>
      <w:r>
        <w:t>https://www.ntst.com/post-acute-care/palliative-care-software. Accessed: 13 April 2026.</w:t>
      </w:r>
    </w:p>
    <w:p>
      <w:pPr/>
      <w:r>
        <w:t>Parsons, M., Rens, B., and Chen, Y. (2025), "Explainability in Clinical Decision Support</w:t>
      </w:r>
    </w:p>
    <w:p>
      <w:pPr/>
      <w:r>
        <w:t>Systems: A Systematic Review", Journal of the American Medical Informatics</w:t>
      </w:r>
    </w:p>
    <w:p>
      <w:pPr/>
      <w:r>
        <w:t>Association, Vol. 32, No. 1, pp. 112 – 126.</w:t>
      </w:r>
    </w:p>
    <w:p>
      <w:pPr/>
      <w:r>
        <w:t>Pinto, S., Caldas, A., and Morais, A. (2025), "Artificial Intelligence in Palliative Care</w:t>
      </w:r>
    </w:p>
    <w:p>
      <w:pPr/>
      <w:r>
        <w:t>Communication and Decision-Making: A Narrative Review", Palliative and</w:t>
      </w:r>
    </w:p>
    <w:p>
      <w:pPr/>
      <w:r>
        <w:t>Supportive Care, Vol. 23, No. 1, pp. 1 – 14.</w:t>
      </w:r>
    </w:p>
    <w:p>
      <w:pPr/>
      <w:r>
        <w:t>Royce, W. W. (1970), "Managing the Development of Large Software Systems",</w:t>
      </w:r>
    </w:p>
    <w:p>
      <w:pPr/>
      <w:r>
        <w:t>Proceedings of IEEE WESCON, Vol. 26, pp. 1 – 9.</w:t>
      </w:r>
    </w:p>
    <w:p>
      <w:pPr/>
      <w:r>
        <w:t>Singer, P. A., Martin, D. K., and Kelner, M. (2016), "Multidisciplinary Continuity and</w:t>
      </w:r>
    </w:p>
    <w:p>
      <w:pPr/>
      <w:r>
        <w:t>Quality of End-of-Life Care", JAMA, Vol. 315, No. 1, pp. 60 – 70.</w:t>
      </w:r>
    </w:p>
    <w:p>
      <w:pPr/>
      <w:r>
        <w:t>Stange, K. C. (2009), "The Problem of Fragmentation and the Need for Integrative</w:t>
      </w:r>
    </w:p>
    <w:p>
      <w:pPr/>
      <w:r>
        <w:t>Solutions", Annals of Family Medicine, Vol. 7, No. 2, pp. 100 – 103.</w:t>
      </w:r>
    </w:p>
    <w:p>
      <w:pPr/>
      <w:r>
        <w:t>Tan, Y., Liang, X., Ming, W., Xing, H., Wang, Y., and Gao, Y. (2024), "A Scoping Review</w:t>
      </w:r>
    </w:p>
    <w:p>
      <w:pPr/>
      <w:r>
        <w:t>of Digital Technology Applications in Palliative Care", BMC Palliative Care,</w:t>
      </w:r>
    </w:p>
    <w:p>
      <w:pPr/>
      <w:r>
        <w:t>Vol. 23, p. 290.</w:t>
      </w:r>
    </w:p>
    <w:p>
      <w:pPr/>
      <w:r>
        <w:t>Templin, N., Wernecke, K. D., and Walther, C. (2024), "Challenges in Personalised</w:t>
      </w:r>
    </w:p>
    <w:p>
      <w:pPr/>
      <w:r>
        <w:t>Health AI Deployment", npj Digital Medicine, Vol. 7, No. 1, pp. 1 – 10.</w:t>
      </w:r>
    </w:p>
    <w:p>
      <w:pPr/>
      <w:r>
        <w:t>Tilala, M., Reddy, V., and Rao, K. (2024), "Biomedical Ethics and the Design of Healthcare</w:t>
      </w:r>
    </w:p>
    <w:p>
      <w:pPr/>
      <w:r>
        <w:t>AI Systems", AI in Healthcare, Vol. 9, No. 3, pp. 221 – 234.</w:t>
      </w:r>
    </w:p>
    <w:p>
      <w:pPr/>
      <w:r>
        <w:t>United Nations (2015), Transforming Our World: The 2030 Agenda for Sustainable</w:t>
      </w:r>
    </w:p>
    <w:p>
      <w:pPr/>
      <w:r>
        <w:t>Development, United Nations, New York, 41 pp.</w:t>
      </w:r>
    </w:p>
    <w:p>
      <w:pPr/>
      <w:r>
        <w:t>Wang, S. Y., Aldridge, M. D., Gross, C. P., Canavan, M., Cherlin, E., Johnson-Hurzeler, R.,</w:t>
      </w:r>
    </w:p>
    <w:p>
      <w:pPr/>
      <w:r>
        <w:t>and Bradley, E. (2016), "Transitions Between Healthcare Settings of Hospice</w:t>
      </w:r>
    </w:p>
    <w:p>
      <w:pPr/>
      <w:r>
        <w:t>Enrollees at the End of Life", Journal of the American Geriatrics Society, Vol. 64,</w:t>
      </w:r>
    </w:p>
    <w:p>
      <w:pPr/>
      <w:r>
        <w:t>No. 2, pp. 314 – 322.</w:t>
      </w:r>
    </w:p>
    <w:p>
      <w:pPr/>
      <w:r>
        <w:t>Wang, L., Li, J., and Chen, H. (2023), "Humanistic Ethics in Healthcare AI: Empathy,</w:t>
      </w:r>
    </w:p>
    <w:p>
      <w:pPr/>
      <w:r>
        <w:t>Relationships, and the Limits of Algorithms", Ethics and Information Technology,</w:t>
      </w:r>
    </w:p>
    <w:p>
      <w:pPr/>
      <w:r>
        <w:t>Vol. 25, No. 1, pp. 1 – 12.</w:t>
      </w:r>
    </w:p>
    <w:p>
      <w:pPr/>
      <w:r>
        <w:t>World Health Organization (2024), Palliative Care: Key Facts, World Health Organization,</w:t>
      </w:r>
    </w:p>
    <w:p>
      <w:pPr/>
      <w:r>
        <w:t>Geneva. Available at: https://www.who.int/news-room/fact-sheets/detail/palliative-care.</w:t>
      </w:r>
    </w:p>
    <w:p>
      <w:pPr/>
      <w:r>
        <w:t>Accessed: 10 April 2026.</w:t>
      </w:r>
    </w:p>
    <w:sectPr w:rsidR="00956671" w:rsidRPr="001E4876" w:rsidSect="006F0B48">
      <w:pgSz w:w="11906" w:h="16838"/>
      <w:pgMar w:top="1440" w:right="1440" w:bottom="1440" w:left="1728" w:header="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EA30" w14:textId="77777777" w:rsidR="00CD0418" w:rsidRDefault="00CD0418" w:rsidP="00F008EF">
      <w:r>
        <w:separator/>
      </w:r>
    </w:p>
  </w:endnote>
  <w:endnote w:type="continuationSeparator" w:id="0">
    <w:p w14:paraId="64471153" w14:textId="77777777" w:rsidR="00CD0418" w:rsidRDefault="00CD0418" w:rsidP="00F0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446392"/>
      <w:docPartObj>
        <w:docPartGallery w:val="Page Numbers (Bottom of Page)"/>
        <w:docPartUnique/>
      </w:docPartObj>
    </w:sdtPr>
    <w:sdtContent>
      <w:p w14:paraId="0409FEE9" w14:textId="77777777" w:rsidR="00287A4E" w:rsidRDefault="00287A4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440E">
          <w:rPr>
            <w:noProof/>
          </w:rPr>
          <w:t>29</w:t>
        </w:r>
        <w:r>
          <w:fldChar w:fldCharType="end"/>
        </w:r>
      </w:p>
    </w:sdtContent>
  </w:sdt>
  <w:p w14:paraId="0E84D12B" w14:textId="77777777" w:rsidR="00287A4E" w:rsidRDefault="00287A4E">
    <w:pPr>
      <w:pStyle w:val="Footer"/>
    </w:pPr>
    <w:r>
      <w:t>`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8444528"/>
      <w:docPartObj>
        <w:docPartGallery w:val="Page Numbers (Bottom of Page)"/>
        <w:docPartUnique/>
      </w:docPartObj>
    </w:sdtPr>
    <w:sdtContent>
      <w:p w14:paraId="2B20E5E1" w14:textId="77777777" w:rsidR="00CF0A60" w:rsidRDefault="00CF0A6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29</w:t>
        </w:r>
        <w:r>
          <w:fldChar w:fldCharType="end"/>
        </w:r>
      </w:p>
    </w:sdtContent>
  </w:sdt>
  <w:p w14:paraId="281FA4E8" w14:textId="77777777" w:rsidR="00CF0A60" w:rsidRDefault="00CF0A60">
    <w:pPr>
      <w:pStyle w:val="Footer"/>
    </w:pPr>
    <w:r>
      <w:t>`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52947" w14:textId="77777777" w:rsidR="00CD0418" w:rsidRDefault="00CD0418" w:rsidP="00F008EF">
      <w:r>
        <w:separator/>
      </w:r>
    </w:p>
  </w:footnote>
  <w:footnote w:type="continuationSeparator" w:id="0">
    <w:p w14:paraId="24D1D19F" w14:textId="77777777" w:rsidR="00CD0418" w:rsidRDefault="00CD0418" w:rsidP="00F00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1B5D"/>
    <w:multiLevelType w:val="multilevel"/>
    <w:tmpl w:val="AE8E25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210AF2"/>
    <w:multiLevelType w:val="hybridMultilevel"/>
    <w:tmpl w:val="34BC6C10"/>
    <w:lvl w:ilvl="0" w:tplc="3744B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929C9E">
      <w:numFmt w:val="decimal"/>
      <w:lvlText w:val=""/>
      <w:lvlJc w:val="left"/>
    </w:lvl>
    <w:lvl w:ilvl="2" w:tplc="E33E84D6">
      <w:numFmt w:val="decimal"/>
      <w:lvlText w:val=""/>
      <w:lvlJc w:val="left"/>
    </w:lvl>
    <w:lvl w:ilvl="3" w:tplc="A4BE8740">
      <w:numFmt w:val="decimal"/>
      <w:lvlText w:val=""/>
      <w:lvlJc w:val="left"/>
    </w:lvl>
    <w:lvl w:ilvl="4" w:tplc="098A7246">
      <w:numFmt w:val="decimal"/>
      <w:lvlText w:val=""/>
      <w:lvlJc w:val="left"/>
    </w:lvl>
    <w:lvl w:ilvl="5" w:tplc="8558F626">
      <w:numFmt w:val="decimal"/>
      <w:lvlText w:val=""/>
      <w:lvlJc w:val="left"/>
    </w:lvl>
    <w:lvl w:ilvl="6" w:tplc="9F82EA28">
      <w:numFmt w:val="decimal"/>
      <w:lvlText w:val=""/>
      <w:lvlJc w:val="left"/>
    </w:lvl>
    <w:lvl w:ilvl="7" w:tplc="983A7BB0">
      <w:numFmt w:val="decimal"/>
      <w:lvlText w:val=""/>
      <w:lvlJc w:val="left"/>
    </w:lvl>
    <w:lvl w:ilvl="8" w:tplc="A6B4D7F4">
      <w:numFmt w:val="decimal"/>
      <w:lvlText w:val=""/>
      <w:lvlJc w:val="left"/>
    </w:lvl>
  </w:abstractNum>
  <w:abstractNum w:abstractNumId="2" w15:restartNumberingAfterBreak="0">
    <w:nsid w:val="194E04E9"/>
    <w:multiLevelType w:val="hybridMultilevel"/>
    <w:tmpl w:val="062C0FF8"/>
    <w:lvl w:ilvl="0" w:tplc="14902BEA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F9916B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48F5D46"/>
    <w:multiLevelType w:val="hybridMultilevel"/>
    <w:tmpl w:val="3D34515A"/>
    <w:lvl w:ilvl="0" w:tplc="9B20C2B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F7EEF"/>
    <w:multiLevelType w:val="hybridMultilevel"/>
    <w:tmpl w:val="44583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72EAEA0">
      <w:numFmt w:val="decimal"/>
      <w:lvlText w:val=""/>
      <w:lvlJc w:val="left"/>
    </w:lvl>
    <w:lvl w:ilvl="2" w:tplc="9C04B390">
      <w:numFmt w:val="decimal"/>
      <w:lvlText w:val=""/>
      <w:lvlJc w:val="left"/>
    </w:lvl>
    <w:lvl w:ilvl="3" w:tplc="0AF6E7EE">
      <w:numFmt w:val="decimal"/>
      <w:lvlText w:val=""/>
      <w:lvlJc w:val="left"/>
    </w:lvl>
    <w:lvl w:ilvl="4" w:tplc="38963ECC">
      <w:numFmt w:val="decimal"/>
      <w:lvlText w:val=""/>
      <w:lvlJc w:val="left"/>
    </w:lvl>
    <w:lvl w:ilvl="5" w:tplc="74DCB4D2">
      <w:numFmt w:val="decimal"/>
      <w:lvlText w:val=""/>
      <w:lvlJc w:val="left"/>
    </w:lvl>
    <w:lvl w:ilvl="6" w:tplc="605E8626">
      <w:numFmt w:val="decimal"/>
      <w:lvlText w:val=""/>
      <w:lvlJc w:val="left"/>
    </w:lvl>
    <w:lvl w:ilvl="7" w:tplc="FA1CA058">
      <w:numFmt w:val="decimal"/>
      <w:lvlText w:val=""/>
      <w:lvlJc w:val="left"/>
    </w:lvl>
    <w:lvl w:ilvl="8" w:tplc="EBC689A2">
      <w:numFmt w:val="decimal"/>
      <w:lvlText w:val=""/>
      <w:lvlJc w:val="left"/>
    </w:lvl>
  </w:abstractNum>
  <w:num w:numId="1" w16cid:durableId="278925036">
    <w:abstractNumId w:val="3"/>
  </w:num>
  <w:num w:numId="2" w16cid:durableId="948968080">
    <w:abstractNumId w:val="5"/>
  </w:num>
  <w:num w:numId="3" w16cid:durableId="466818254">
    <w:abstractNumId w:val="0"/>
  </w:num>
  <w:num w:numId="4" w16cid:durableId="1149593004">
    <w:abstractNumId w:val="5"/>
  </w:num>
  <w:num w:numId="5" w16cid:durableId="322854174">
    <w:abstractNumId w:val="2"/>
  </w:num>
  <w:num w:numId="6" w16cid:durableId="2043246479">
    <w:abstractNumId w:val="4"/>
  </w:num>
  <w:num w:numId="7" w16cid:durableId="1685008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4D2"/>
    <w:rsid w:val="00032090"/>
    <w:rsid w:val="00053D2B"/>
    <w:rsid w:val="00064187"/>
    <w:rsid w:val="0006592C"/>
    <w:rsid w:val="00075B87"/>
    <w:rsid w:val="000A0D2C"/>
    <w:rsid w:val="000A7EA0"/>
    <w:rsid w:val="000B278B"/>
    <w:rsid w:val="000B375D"/>
    <w:rsid w:val="000F72D7"/>
    <w:rsid w:val="000F7D14"/>
    <w:rsid w:val="00124372"/>
    <w:rsid w:val="001360DA"/>
    <w:rsid w:val="00136F00"/>
    <w:rsid w:val="001414D2"/>
    <w:rsid w:val="00182F19"/>
    <w:rsid w:val="001A002E"/>
    <w:rsid w:val="001A2CB7"/>
    <w:rsid w:val="001A4EB8"/>
    <w:rsid w:val="001B4180"/>
    <w:rsid w:val="001C7EA6"/>
    <w:rsid w:val="001E4876"/>
    <w:rsid w:val="001E50DF"/>
    <w:rsid w:val="001F46AC"/>
    <w:rsid w:val="00203E7C"/>
    <w:rsid w:val="002072E4"/>
    <w:rsid w:val="002103AF"/>
    <w:rsid w:val="00216FD9"/>
    <w:rsid w:val="002222A7"/>
    <w:rsid w:val="00226D01"/>
    <w:rsid w:val="00262A55"/>
    <w:rsid w:val="00273CF4"/>
    <w:rsid w:val="002771F0"/>
    <w:rsid w:val="00287A4E"/>
    <w:rsid w:val="002A27B5"/>
    <w:rsid w:val="002A7DFC"/>
    <w:rsid w:val="002A7EE2"/>
    <w:rsid w:val="002B302A"/>
    <w:rsid w:val="002B77C7"/>
    <w:rsid w:val="002C57F2"/>
    <w:rsid w:val="002D2098"/>
    <w:rsid w:val="002F21D2"/>
    <w:rsid w:val="00303B65"/>
    <w:rsid w:val="003049F5"/>
    <w:rsid w:val="00315DF7"/>
    <w:rsid w:val="0032024C"/>
    <w:rsid w:val="00323F33"/>
    <w:rsid w:val="0035096F"/>
    <w:rsid w:val="00357C8C"/>
    <w:rsid w:val="003C31EE"/>
    <w:rsid w:val="003C3C05"/>
    <w:rsid w:val="004279A1"/>
    <w:rsid w:val="00442F7F"/>
    <w:rsid w:val="00460461"/>
    <w:rsid w:val="00460C93"/>
    <w:rsid w:val="00462840"/>
    <w:rsid w:val="004A2CB6"/>
    <w:rsid w:val="004B4388"/>
    <w:rsid w:val="00515D37"/>
    <w:rsid w:val="00523303"/>
    <w:rsid w:val="00532B91"/>
    <w:rsid w:val="00564D0D"/>
    <w:rsid w:val="005721B2"/>
    <w:rsid w:val="005762B3"/>
    <w:rsid w:val="005A6AFF"/>
    <w:rsid w:val="005C282B"/>
    <w:rsid w:val="005C3882"/>
    <w:rsid w:val="005F4C08"/>
    <w:rsid w:val="00612A01"/>
    <w:rsid w:val="00631A7A"/>
    <w:rsid w:val="00643422"/>
    <w:rsid w:val="00647F26"/>
    <w:rsid w:val="00664878"/>
    <w:rsid w:val="00673AB6"/>
    <w:rsid w:val="006B3D87"/>
    <w:rsid w:val="006B4831"/>
    <w:rsid w:val="006D5629"/>
    <w:rsid w:val="006D6050"/>
    <w:rsid w:val="006D6B54"/>
    <w:rsid w:val="006E7252"/>
    <w:rsid w:val="006F0B48"/>
    <w:rsid w:val="006F64B3"/>
    <w:rsid w:val="006F75E1"/>
    <w:rsid w:val="00704074"/>
    <w:rsid w:val="00726236"/>
    <w:rsid w:val="00733AB0"/>
    <w:rsid w:val="00737E42"/>
    <w:rsid w:val="0074384F"/>
    <w:rsid w:val="007837AC"/>
    <w:rsid w:val="007838DA"/>
    <w:rsid w:val="007900BD"/>
    <w:rsid w:val="007E11E2"/>
    <w:rsid w:val="007E2B5E"/>
    <w:rsid w:val="007E3369"/>
    <w:rsid w:val="007F2991"/>
    <w:rsid w:val="007F5C63"/>
    <w:rsid w:val="00801316"/>
    <w:rsid w:val="00805848"/>
    <w:rsid w:val="00805DE4"/>
    <w:rsid w:val="008152D1"/>
    <w:rsid w:val="00824621"/>
    <w:rsid w:val="00824E5B"/>
    <w:rsid w:val="008256B8"/>
    <w:rsid w:val="008458F7"/>
    <w:rsid w:val="0086296F"/>
    <w:rsid w:val="008806B1"/>
    <w:rsid w:val="00897C02"/>
    <w:rsid w:val="008A78C3"/>
    <w:rsid w:val="008B564B"/>
    <w:rsid w:val="008B76FA"/>
    <w:rsid w:val="008D5728"/>
    <w:rsid w:val="008E45BC"/>
    <w:rsid w:val="0090050A"/>
    <w:rsid w:val="00904C1B"/>
    <w:rsid w:val="00912BE0"/>
    <w:rsid w:val="0091303F"/>
    <w:rsid w:val="00920480"/>
    <w:rsid w:val="009422E2"/>
    <w:rsid w:val="009558A9"/>
    <w:rsid w:val="00956671"/>
    <w:rsid w:val="009678D3"/>
    <w:rsid w:val="0097068A"/>
    <w:rsid w:val="00973E52"/>
    <w:rsid w:val="00982690"/>
    <w:rsid w:val="009B02DF"/>
    <w:rsid w:val="009C103D"/>
    <w:rsid w:val="009D5CB3"/>
    <w:rsid w:val="009D7591"/>
    <w:rsid w:val="009E141B"/>
    <w:rsid w:val="009E3716"/>
    <w:rsid w:val="009E451B"/>
    <w:rsid w:val="00A22CA2"/>
    <w:rsid w:val="00A326F9"/>
    <w:rsid w:val="00A340D8"/>
    <w:rsid w:val="00A47881"/>
    <w:rsid w:val="00A5440E"/>
    <w:rsid w:val="00A86A86"/>
    <w:rsid w:val="00AF4978"/>
    <w:rsid w:val="00B00925"/>
    <w:rsid w:val="00B0183D"/>
    <w:rsid w:val="00B30895"/>
    <w:rsid w:val="00B43797"/>
    <w:rsid w:val="00B46B32"/>
    <w:rsid w:val="00B51338"/>
    <w:rsid w:val="00B91EAE"/>
    <w:rsid w:val="00BA5063"/>
    <w:rsid w:val="00BC6833"/>
    <w:rsid w:val="00BD45FE"/>
    <w:rsid w:val="00BE0941"/>
    <w:rsid w:val="00BE555D"/>
    <w:rsid w:val="00C72E7F"/>
    <w:rsid w:val="00C77325"/>
    <w:rsid w:val="00C9796D"/>
    <w:rsid w:val="00CB753C"/>
    <w:rsid w:val="00CC7FE5"/>
    <w:rsid w:val="00CD0418"/>
    <w:rsid w:val="00CE1433"/>
    <w:rsid w:val="00CE43E3"/>
    <w:rsid w:val="00CF0A60"/>
    <w:rsid w:val="00CF6270"/>
    <w:rsid w:val="00D12872"/>
    <w:rsid w:val="00D36A5B"/>
    <w:rsid w:val="00D449F6"/>
    <w:rsid w:val="00D724F6"/>
    <w:rsid w:val="00D8090F"/>
    <w:rsid w:val="00DA6553"/>
    <w:rsid w:val="00DB69BD"/>
    <w:rsid w:val="00DC75DF"/>
    <w:rsid w:val="00DF3D29"/>
    <w:rsid w:val="00DF60CA"/>
    <w:rsid w:val="00E00D59"/>
    <w:rsid w:val="00E1422A"/>
    <w:rsid w:val="00E2520F"/>
    <w:rsid w:val="00E30397"/>
    <w:rsid w:val="00E33FCF"/>
    <w:rsid w:val="00E43C25"/>
    <w:rsid w:val="00E4751E"/>
    <w:rsid w:val="00E512C9"/>
    <w:rsid w:val="00E54B81"/>
    <w:rsid w:val="00E54C58"/>
    <w:rsid w:val="00EA238E"/>
    <w:rsid w:val="00EC2DD1"/>
    <w:rsid w:val="00EE49EF"/>
    <w:rsid w:val="00EF7C74"/>
    <w:rsid w:val="00F003BD"/>
    <w:rsid w:val="00F008EF"/>
    <w:rsid w:val="00F0137B"/>
    <w:rsid w:val="00F57A05"/>
    <w:rsid w:val="00F6479F"/>
    <w:rsid w:val="00F75130"/>
    <w:rsid w:val="00F842FF"/>
    <w:rsid w:val="00F96693"/>
    <w:rsid w:val="00FA442D"/>
    <w:rsid w:val="00FC2AAA"/>
    <w:rsid w:val="00FE2361"/>
    <w:rsid w:val="00FF1289"/>
    <w:rsid w:val="00FF3AEF"/>
    <w:rsid w:val="00FF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E8F67"/>
  <w15:chartTrackingRefBased/>
  <w15:docId w15:val="{D6A899CE-859B-4A23-A143-F6D04615F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BD"/>
    <w:pPr>
      <w:spacing w:after="240" w:line="360" w:lineRule="auto"/>
      <w:jc w:val="both"/>
    </w:pPr>
    <w:rPr>
      <w:rFonts w:ascii="Times New Roman" w:eastAsia="Times New Roman" w:hAnsi="Times New Roman" w:cs="Times New Roman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2B91"/>
    <w:pPr>
      <w:keepNext/>
      <w:keepLines/>
      <w:pageBreakBefore/>
      <w:spacing w:before="240" w:after="120"/>
      <w:jc w:val="center"/>
      <w:outlineLvl w:val="0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DB69BD"/>
    <w:pPr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9BD"/>
    <w:pPr>
      <w:keepNext/>
      <w:keepLines/>
      <w:spacing w:before="240" w:after="1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91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B69BD"/>
    <w:rPr>
      <w:rFonts w:ascii="Times New Roman" w:eastAsia="Times New Roman" w:hAnsi="Times New Roman" w:cs="Times New Roman"/>
      <w:b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B69BD"/>
    <w:rPr>
      <w:rFonts w:ascii="Times New Roman" w:eastAsia="Times New Roman" w:hAnsi="Times New Roman" w:cs="Times New Roman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D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414D2"/>
    <w:pPr>
      <w:numPr>
        <w:numId w:val="5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14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D2"/>
    <w:rPr>
      <w:b/>
      <w:bCs/>
      <w:smallCaps/>
      <w:color w:val="0F4761" w:themeColor="accent1" w:themeShade="BF"/>
      <w:spacing w:val="5"/>
    </w:rPr>
  </w:style>
  <w:style w:type="paragraph" w:customStyle="1" w:styleId="prelimheading">
    <w:name w:val="prelim heading"/>
    <w:rsid w:val="001414D2"/>
    <w:pPr>
      <w:spacing w:before="240" w:after="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lang w:eastAsia="en-GB"/>
      <w14:ligatures w14:val="none"/>
    </w:rPr>
  </w:style>
  <w:style w:type="character" w:styleId="Hyperlink">
    <w:name w:val="Hyperlink"/>
    <w:uiPriority w:val="99"/>
    <w:unhideWhenUsed/>
    <w:rsid w:val="001414D2"/>
    <w:rPr>
      <w:color w:val="0563C1"/>
      <w:u w:val="single"/>
    </w:rPr>
  </w:style>
  <w:style w:type="paragraph" w:styleId="TOC1">
    <w:name w:val="toc 1"/>
    <w:basedOn w:val="Normal"/>
    <w:autoRedefine/>
    <w:uiPriority w:val="39"/>
    <w:qFormat/>
    <w:rsid w:val="00A47881"/>
    <w:pPr>
      <w:spacing w:before="120"/>
    </w:pPr>
    <w:rPr>
      <w:b/>
      <w:bCs/>
      <w:iCs/>
    </w:rPr>
  </w:style>
  <w:style w:type="paragraph" w:styleId="TOC2">
    <w:name w:val="toc 2"/>
    <w:basedOn w:val="Normal"/>
    <w:autoRedefine/>
    <w:uiPriority w:val="39"/>
    <w:qFormat/>
    <w:rsid w:val="00A47881"/>
    <w:pPr>
      <w:spacing w:before="120"/>
      <w:ind w:left="240"/>
    </w:pPr>
    <w:rPr>
      <w:bCs/>
      <w:szCs w:val="22"/>
    </w:rPr>
  </w:style>
  <w:style w:type="paragraph" w:styleId="TOC3">
    <w:name w:val="toc 3"/>
    <w:autoRedefine/>
    <w:uiPriority w:val="39"/>
    <w:qFormat/>
    <w:rsid w:val="00A47881"/>
    <w:pPr>
      <w:spacing w:after="0" w:line="360" w:lineRule="auto"/>
      <w:ind w:left="480"/>
    </w:pPr>
    <w:rPr>
      <w:rFonts w:ascii="Times New Roman" w:eastAsia="Times New Roman" w:hAnsi="Times New Roman" w:cs="Times New Roman"/>
      <w:szCs w:val="20"/>
      <w:lang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414D2"/>
    <w:pPr>
      <w:spacing w:after="0" w:line="259" w:lineRule="auto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1414D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414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008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08EF"/>
    <w:rPr>
      <w:rFonts w:ascii="Times New Roman" w:eastAsia="Times New Roman" w:hAnsi="Times New Roman" w:cs="Times New Roman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08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8EF"/>
    <w:rPr>
      <w:rFonts w:ascii="Times New Roman" w:eastAsia="Times New Roman" w:hAnsi="Times New Roman" w:cs="Times New Roman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C3C05"/>
    <w:rPr>
      <w:rFonts w:eastAsiaTheme="minorHAnsi" w:cstheme="minorBidi"/>
      <w:szCs w:val="22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A2CB7"/>
    <w:pPr>
      <w:spacing w:after="200"/>
      <w:jc w:val="left"/>
    </w:pPr>
    <w:rPr>
      <w:rFonts w:eastAsiaTheme="minorHAnsi" w:cstheme="minorBidi"/>
      <w:b/>
      <w:iCs/>
      <w:szCs w:val="18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2A7EE2"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86A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6A8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08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089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0895"/>
    <w:rPr>
      <w:rFonts w:ascii="Times New Roman" w:eastAsia="Times New Roman" w:hAnsi="Times New Roman" w:cs="Times New Roman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08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0895"/>
    <w:rPr>
      <w:rFonts w:ascii="Times New Roman" w:eastAsia="Times New Roman" w:hAnsi="Times New Roman" w:cs="Times New Roman"/>
      <w:b/>
      <w:bCs/>
      <w:sz w:val="20"/>
      <w:szCs w:val="20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8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895"/>
    <w:rPr>
      <w:rFonts w:ascii="Segoe UI" w:eastAsia="Times New Roman" w:hAnsi="Segoe UI" w:cs="Segoe UI"/>
      <w:sz w:val="18"/>
      <w:szCs w:val="18"/>
      <w:lang w:eastAsia="en-GB"/>
      <w14:ligatures w14:val="none"/>
    </w:rPr>
  </w:style>
  <w:style w:type="paragraph" w:styleId="Revision">
    <w:name w:val="Revision"/>
    <w:hidden/>
    <w:uiPriority w:val="99"/>
    <w:semiHidden/>
    <w:rsid w:val="00303B65"/>
    <w:pPr>
      <w:spacing w:after="0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  <w:style w:type="table" w:styleId="TableGrid">
    <w:name w:val="Table Grid"/>
    <w:basedOn w:val="TableNormal"/>
    <w:uiPriority w:val="39"/>
    <w:rsid w:val="009D5CB3"/>
    <w:pPr>
      <w:spacing w:after="0" w:line="240" w:lineRule="auto"/>
    </w:pPr>
    <w:rPr>
      <w:kern w:val="2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62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19" row="0">
    <wetp:webextensionref xmlns:r="http://schemas.openxmlformats.org/officeDocument/2006/relationships" r:id="rId1"/>
  </wetp:taskpane>
  <wetp:taskpane dockstate="right" visibility="0" width="419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CCFC022-759D-458B-8155-AFAB722282BC}">
  <we:reference id="wa104380997" version="1.0.0.2" store="en-US" storeType="OMEX"/>
  <we:alternateReferences>
    <we:reference id="wa104380997" version="1.0.0.2" store="wa10438099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571AD98-E39B-4F3D-862D-C1BF5EF1C624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07fbd67b-0c52-4aac-b692-eb52c8320a84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FC49E-7F81-4622-8F8E-DA79DE0E4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92</Pages>
  <Words>22655</Words>
  <Characters>129136</Characters>
  <Application>Microsoft Office Word</Application>
  <DocSecurity>0</DocSecurity>
  <Lines>1076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SMITH</dc:creator>
  <cp:keywords/>
  <dc:description/>
  <cp:lastModifiedBy>PAUL SMITH</cp:lastModifiedBy>
  <cp:revision>2</cp:revision>
  <cp:lastPrinted>2026-04-28T09:15:00Z</cp:lastPrinted>
  <dcterms:created xsi:type="dcterms:W3CDTF">2026-07-29T15:11:00Z</dcterms:created>
  <dcterms:modified xsi:type="dcterms:W3CDTF">2026-07-29T15:11:00Z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b7b05254-0f51-4f8a-9f76-50c90addc6d5</vt:lpwstr>
  </property>
</Properties>
</file>