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Drift Database Design and Normalization</w:t>
      </w:r>
    </w:p>
    <w:p>
      <w:r>
        <w:t>Database Systems project | 7 October 2026</w:t>
      </w:r>
    </w:p>
    <w:p>
      <w:r>
        <w:t>Drift manages a car-rental catalogue, customer accounts, reservations, extras and payment records. This document explains the database relationships and demonstrates how a booking worksheet is transformed from unnormalised form to third normal form using the staged method in the lecture notes.</w:t>
      </w:r>
    </w:p>
    <w:p>
      <w:r>
        <w:t>The implemented MySQL schema contains 21 core tables and 24 declared foreign keys. The ERD describes that physical schema. The worked normalization describes a smaller logical projection so that repeating, partial and transitive dependencies can be followed without hiding the transformation in a large table.</w:t>
      </w:r>
    </w:p>
    <w:p>
      <w:pPr>
        <w:pStyle w:val="Heading1"/>
      </w:pPr>
      <w:r>
        <w:t>How to read the diagrams</w:t>
      </w:r>
    </w:p>
    <w:p>
      <w:r>
        <w:t>The four ERD views form one schema. Shared entities are repeated between views for readability; they are not duplicate tables. Each diagram shows primary and foreign key attributes. Other attributes are described in the entity inventory and normalization example.</w:t>
      </w:r>
    </w:p>
    <w:tbl>
      <w:tblPr>
        <w:tblStyle w:val="LightShading-Accent1"/>
        <w:tblW w:type="auto" w:w="0"/>
        <w:tblLook w:firstColumn="1" w:firstRow="1" w:lastColumn="0" w:lastRow="0" w:noHBand="0" w:noVBand="1" w:val="04A0"/>
      </w:tblPr>
      <w:tblGrid>
        <w:gridCol w:w="4946"/>
        <w:gridCol w:w="4946"/>
      </w:tblGrid>
      <w:tr>
        <w:trPr>
          <w:tblHeader/>
          <w:cantSplit/>
        </w:trPr>
        <w:tc>
          <w:tcPr>
            <w:tcW w:type="dxa" w:w="4946"/>
          </w:tcPr>
          <w:p>
            <w:pPr>
              <w:spacing w:after="60"/>
            </w:pPr>
            <w:r>
              <w:rPr>
                <w:b/>
                <w:sz w:val="18"/>
                <w:u w:val="none"/>
              </w:rPr>
              <w:t>Notation</w:t>
            </w:r>
          </w:p>
        </w:tc>
        <w:tc>
          <w:tcPr>
            <w:tcW w:type="dxa" w:w="4946"/>
          </w:tcPr>
          <w:p>
            <w:pPr>
              <w:spacing w:after="60"/>
            </w:pPr>
            <w:r>
              <w:rPr>
                <w:b/>
                <w:sz w:val="18"/>
                <w:u w:val="none"/>
              </w:rPr>
              <w:t>Meaning</w:t>
            </w:r>
          </w:p>
        </w:tc>
      </w:tr>
      <w:tr>
        <w:trPr>
          <w:cantSplit/>
        </w:trPr>
        <w:tc>
          <w:tcPr>
            <w:tcW w:type="dxa" w:w="4946"/>
          </w:tcPr>
          <w:p>
            <w:pPr>
              <w:spacing w:after="60"/>
            </w:pPr>
            <w:r>
              <w:rPr>
                <w:sz w:val="18"/>
              </w:rPr>
              <w:t>PK</w:t>
            </w:r>
          </w:p>
        </w:tc>
        <w:tc>
          <w:tcPr>
            <w:tcW w:type="dxa" w:w="4946"/>
          </w:tcPr>
          <w:p>
            <w:pPr>
              <w:spacing w:after="60"/>
            </w:pPr>
            <w:r>
              <w:rPr>
                <w:sz w:val="18"/>
              </w:rPr>
              <w:t>Primary key uniquely identifies an entity occurrence.</w:t>
            </w:r>
          </w:p>
        </w:tc>
      </w:tr>
      <w:tr>
        <w:trPr>
          <w:cantSplit/>
        </w:trPr>
        <w:tc>
          <w:tcPr>
            <w:tcW w:type="dxa" w:w="4946"/>
          </w:tcPr>
          <w:p>
            <w:pPr>
              <w:spacing w:after="60"/>
            </w:pPr>
            <w:r>
              <w:rPr>
                <w:sz w:val="18"/>
              </w:rPr>
              <w:t>FK</w:t>
            </w:r>
          </w:p>
        </w:tc>
        <w:tc>
          <w:tcPr>
            <w:tcW w:type="dxa" w:w="4946"/>
          </w:tcPr>
          <w:p>
            <w:pPr>
              <w:spacing w:after="60"/>
            </w:pPr>
            <w:r>
              <w:rPr>
                <w:sz w:val="18"/>
              </w:rPr>
              <w:t>Foreign key references the parent entity key.</w:t>
            </w:r>
          </w:p>
        </w:tc>
      </w:tr>
      <w:tr>
        <w:trPr>
          <w:cantSplit/>
        </w:trPr>
        <w:tc>
          <w:tcPr>
            <w:tcW w:type="dxa" w:w="4946"/>
          </w:tcPr>
          <w:p>
            <w:pPr>
              <w:spacing w:after="60"/>
            </w:pPr>
            <w:r>
              <w:rPr>
                <w:sz w:val="18"/>
              </w:rPr>
              <w:t>Double bar</w:t>
            </w:r>
          </w:p>
        </w:tc>
        <w:tc>
          <w:tcPr>
            <w:tcW w:type="dxa" w:w="4946"/>
          </w:tcPr>
          <w:p>
            <w:pPr>
              <w:spacing w:after="60"/>
            </w:pPr>
            <w:r>
              <w:rPr>
                <w:sz w:val="18"/>
              </w:rPr>
              <w:t>Exactly one related occurrence.</w:t>
            </w:r>
          </w:p>
        </w:tc>
      </w:tr>
      <w:tr>
        <w:trPr>
          <w:cantSplit/>
        </w:trPr>
        <w:tc>
          <w:tcPr>
            <w:tcW w:type="dxa" w:w="4946"/>
          </w:tcPr>
          <w:p>
            <w:pPr>
              <w:spacing w:after="60"/>
            </w:pPr>
            <w:r>
              <w:rPr>
                <w:sz w:val="18"/>
              </w:rPr>
              <w:t>Circle and bar</w:t>
            </w:r>
          </w:p>
        </w:tc>
        <w:tc>
          <w:tcPr>
            <w:tcW w:type="dxa" w:w="4946"/>
          </w:tcPr>
          <w:p>
            <w:pPr>
              <w:spacing w:after="60"/>
            </w:pPr>
            <w:r>
              <w:rPr>
                <w:sz w:val="18"/>
              </w:rPr>
              <w:t>Zero or one related occurrence.</w:t>
            </w:r>
          </w:p>
        </w:tc>
      </w:tr>
      <w:tr>
        <w:trPr>
          <w:cantSplit/>
        </w:trPr>
        <w:tc>
          <w:tcPr>
            <w:tcW w:type="dxa" w:w="4946"/>
          </w:tcPr>
          <w:p>
            <w:pPr>
              <w:spacing w:after="60"/>
            </w:pPr>
            <w:r>
              <w:rPr>
                <w:sz w:val="18"/>
              </w:rPr>
              <w:t>Circle and crow's foot</w:t>
            </w:r>
          </w:p>
        </w:tc>
        <w:tc>
          <w:tcPr>
            <w:tcW w:type="dxa" w:w="4946"/>
          </w:tcPr>
          <w:p>
            <w:pPr>
              <w:spacing w:after="60"/>
            </w:pPr>
            <w:r>
              <w:rPr>
                <w:sz w:val="18"/>
              </w:rPr>
              <w:t>Zero or many related occurrences.</w:t>
            </w:r>
          </w:p>
        </w:tc>
      </w:tr>
      <w:tr>
        <w:trPr>
          <w:cantSplit/>
        </w:trPr>
        <w:tc>
          <w:tcPr>
            <w:tcW w:type="dxa" w:w="4946"/>
          </w:tcPr>
          <w:p>
            <w:pPr>
              <w:spacing w:after="60"/>
            </w:pPr>
            <w:r>
              <w:rPr>
                <w:sz w:val="18"/>
              </w:rPr>
              <w:t>? after an attribute</w:t>
            </w:r>
          </w:p>
        </w:tc>
        <w:tc>
          <w:tcPr>
            <w:tcW w:type="dxa" w:w="4946"/>
          </w:tcPr>
          <w:p>
            <w:pPr>
              <w:spacing w:after="60"/>
            </w:pPr>
            <w:r>
              <w:rPr>
                <w:sz w:val="18"/>
              </w:rPr>
              <w:t>The physical column permits NULL.</w:t>
            </w:r>
          </w:p>
        </w:tc>
      </w:tr>
      <w:tr>
        <w:trPr>
          <w:cantSplit/>
        </w:trPr>
        <w:tc>
          <w:tcPr>
            <w:tcW w:type="dxa" w:w="4946"/>
          </w:tcPr>
          <w:p>
            <w:pPr>
              <w:spacing w:after="60"/>
            </w:pPr>
            <w:r>
              <w:rPr>
                <w:sz w:val="18"/>
              </w:rPr>
              <w:t>Underlined text in normalization tables</w:t>
            </w:r>
          </w:p>
        </w:tc>
        <w:tc>
          <w:tcPr>
            <w:tcW w:type="dxa" w:w="4946"/>
          </w:tcPr>
          <w:p>
            <w:pPr>
              <w:spacing w:after="60"/>
            </w:pPr>
            <w:r>
              <w:rPr>
                <w:sz w:val="18"/>
              </w:rPr>
              <w:t>The chosen primary key. An asterisk marks a foreign key.</w:t>
            </w:r>
          </w:p>
        </w:tc>
      </w:tr>
    </w:tbl>
    <w:p>
      <w:r>
        <w:t>The lecture introduces entity rectangles, relationships and cardinality on pages 11–20. These implementation diagrams use crow’s-foot notation rather than the Chen diamonds shown on page 20; the same relationship meanings are preserved, with optionality shown explicitly.</w:t>
      </w:r>
    </w:p>
    <w:p>
      <w:pPr>
        <w:pStyle w:val="Heading1"/>
      </w:pPr>
      <w:r>
        <w:t>Design assumptions</w:t>
      </w:r>
    </w:p>
    <w:p>
      <w:r>
        <w:t>One booking reserves one vehicle. A booking may select several different extras; quantity records multiple units of an extra. The agreed price may differ between bookings. A vehicle can have multiple images and features. Pickup and return branches are separate roles and can refer to the same branch.</w:t>
      </w:r>
    </w:p>
    <w:p>
      <w:r>
        <w:br w:type="page"/>
      </w:r>
    </w:p>
    <w:p>
      <w:pPr>
        <w:pStyle w:val="Heading1"/>
      </w:pPr>
      <w:r>
        <w:t>Fleet and location ERD</w:t>
      </w:r>
    </w:p>
    <w:p>
      <w:r>
        <w:t>A province contains cities; a city contains branches. Each vehicle belongs to one branch and model. A model belongs to one category. VehicleFeature resolves the many-to-many relationship between vehicles and features using the compound primary key (vehicle_id, feature_id).</w:t>
      </w:r>
    </w:p>
    <w:p>
      <w:pPr>
        <w:jc w:val="center"/>
      </w:pPr>
      <w:r>
        <w:drawing>
          <wp:inline xmlns:a="http://schemas.openxmlformats.org/drawingml/2006/main" xmlns:pic="http://schemas.openxmlformats.org/drawingml/2006/picture">
            <wp:extent cx="3127955" cy="6949438"/>
            <wp:docPr id="1" name="Picture 1" descr="fleet entity relationship diagram showing keys and cardinalities"/>
            <wp:cNvGraphicFramePr>
              <a:graphicFrameLocks noChangeAspect="1"/>
            </wp:cNvGraphicFramePr>
            <a:graphic>
              <a:graphicData uri="http://schemas.openxmlformats.org/drawingml/2006/picture">
                <pic:pic>
                  <pic:nvPicPr>
                    <pic:cNvPr id="0" name="fleet.png"/>
                    <pic:cNvPicPr/>
                  </pic:nvPicPr>
                  <pic:blipFill>
                    <a:blip r:embed="rId10"/>
                    <a:stretch>
                      <a:fillRect/>
                    </a:stretch>
                  </pic:blipFill>
                  <pic:spPr>
                    <a:xfrm>
                      <a:off x="0" y="0"/>
                      <a:ext cx="3127955" cy="6949438"/>
                    </a:xfrm>
                    <a:prstGeom prst="rect"/>
                  </pic:spPr>
                </pic:pic>
              </a:graphicData>
            </a:graphic>
          </wp:inline>
        </w:drawing>
      </w:r>
    </w:p>
    <w:p>
      <w:r>
        <w:t>PK = primary key; FK = foreign key; ? = nullable. Lines show the declared SQL relationships.</w:t>
      </w:r>
    </w:p>
    <w:p>
      <w:r>
        <w:br w:type="page"/>
      </w:r>
    </w:p>
    <w:p>
      <w:pPr>
        <w:pStyle w:val="Heading1"/>
      </w:pPr>
      <w:r>
        <w:t>Booking and payment ERD</w:t>
      </w:r>
    </w:p>
    <w:p>
      <w:r>
        <w:t>Pickup and return are separate foreign keys. Booking.customer_id permits NULL in the schema, although the website requires a signed-in customer. One booking may have several payment attempts. BookingExtra has its own primary key and also enforces UNIQUE(booking_id, extra_id).</w:t>
      </w:r>
    </w:p>
    <w:p>
      <w:pPr>
        <w:jc w:val="center"/>
      </w:pPr>
      <w:r>
        <w:drawing>
          <wp:inline xmlns:a="http://schemas.openxmlformats.org/drawingml/2006/main" xmlns:pic="http://schemas.openxmlformats.org/drawingml/2006/picture">
            <wp:extent cx="4474729" cy="6949440"/>
            <wp:docPr id="2" name="Picture 2" descr="bookings entity relationship diagram showing keys and cardinalities"/>
            <wp:cNvGraphicFramePr>
              <a:graphicFrameLocks noChangeAspect="1"/>
            </wp:cNvGraphicFramePr>
            <a:graphic>
              <a:graphicData uri="http://schemas.openxmlformats.org/drawingml/2006/picture">
                <pic:pic>
                  <pic:nvPicPr>
                    <pic:cNvPr id="0" name="bookings.png"/>
                    <pic:cNvPicPr/>
                  </pic:nvPicPr>
                  <pic:blipFill>
                    <a:blip r:embed="rId11"/>
                    <a:stretch>
                      <a:fillRect/>
                    </a:stretch>
                  </pic:blipFill>
                  <pic:spPr>
                    <a:xfrm>
                      <a:off x="0" y="0"/>
                      <a:ext cx="4474729" cy="6949440"/>
                    </a:xfrm>
                    <a:prstGeom prst="rect"/>
                  </pic:spPr>
                </pic:pic>
              </a:graphicData>
            </a:graphic>
          </wp:inline>
        </w:drawing>
      </w:r>
    </w:p>
    <w:p>
      <w:r>
        <w:t>PK = primary key; FK = foreign key; ? = nullable. Lines show the declared SQL relationships.</w:t>
      </w:r>
    </w:p>
    <w:p>
      <w:r>
        <w:br w:type="page"/>
      </w:r>
    </w:p>
    <w:p>
      <w:pPr>
        <w:pStyle w:val="Heading1"/>
      </w:pPr>
      <w:r>
        <w:t>Account ERD</w:t>
      </w:r>
    </w:p>
    <w:p>
      <w:r>
        <w:t>AppUser.customer_id is nullable and unique: the physical customer-account association is optional one-to-one. A CHECK constraint requires a customer link for Customer-role accounts; Admin accounts may omit it. Sessions and password-reset records belong to exactly one account.</w:t>
      </w:r>
    </w:p>
    <w:p>
      <w:pPr>
        <w:jc w:val="center"/>
      </w:pPr>
      <w:r>
        <w:drawing>
          <wp:inline xmlns:a="http://schemas.openxmlformats.org/drawingml/2006/main" xmlns:pic="http://schemas.openxmlformats.org/drawingml/2006/picture">
            <wp:extent cx="4814255" cy="5943599"/>
            <wp:docPr id="3" name="Picture 3" descr="accounts entity relationship diagram showing keys and cardinalities"/>
            <wp:cNvGraphicFramePr>
              <a:graphicFrameLocks noChangeAspect="1"/>
            </wp:cNvGraphicFramePr>
            <a:graphic>
              <a:graphicData uri="http://schemas.openxmlformats.org/drawingml/2006/picture">
                <pic:pic>
                  <pic:nvPicPr>
                    <pic:cNvPr id="0" name="accounts.png"/>
                    <pic:cNvPicPr/>
                  </pic:nvPicPr>
                  <pic:blipFill>
                    <a:blip r:embed="rId12"/>
                    <a:stretch>
                      <a:fillRect/>
                    </a:stretch>
                  </pic:blipFill>
                  <pic:spPr>
                    <a:xfrm>
                      <a:off x="0" y="0"/>
                      <a:ext cx="4814255" cy="5943599"/>
                    </a:xfrm>
                    <a:prstGeom prst="rect"/>
                  </pic:spPr>
                </pic:pic>
              </a:graphicData>
            </a:graphic>
          </wp:inline>
        </w:drawing>
      </w:r>
    </w:p>
    <w:p>
      <w:r>
        <w:t>PK = primary key; FK = foreign key; ? = nullable. Lines show the declared SQL relationships.</w:t>
      </w:r>
    </w:p>
    <w:p>
      <w:r>
        <w:br w:type="page"/>
      </w:r>
    </w:p>
    <w:p>
      <w:pPr>
        <w:pStyle w:val="Heading1"/>
      </w:pPr>
      <w:r>
        <w:t>History and review ERD</w:t>
      </w:r>
    </w:p>
    <w:p>
      <w:r>
        <w:t>VehicleReview.booking_id is unique, so a booking has at most one review. Cancellation requests and status history may have no reviewing or changing user yet. Several cancellation requests can exist over time, but a generated unique key permits at most one pending request per booking.</w:t>
      </w:r>
    </w:p>
    <w:p>
      <w:pPr>
        <w:jc w:val="center"/>
      </w:pPr>
      <w:r>
        <w:drawing>
          <wp:inline xmlns:a="http://schemas.openxmlformats.org/drawingml/2006/main" xmlns:pic="http://schemas.openxmlformats.org/drawingml/2006/picture">
            <wp:extent cx="6172200" cy="3625104"/>
            <wp:docPr id="4" name="Picture 4" descr="history entity relationship diagram showing keys and cardinalities"/>
            <wp:cNvGraphicFramePr>
              <a:graphicFrameLocks noChangeAspect="1"/>
            </wp:cNvGraphicFramePr>
            <a:graphic>
              <a:graphicData uri="http://schemas.openxmlformats.org/drawingml/2006/picture">
                <pic:pic>
                  <pic:nvPicPr>
                    <pic:cNvPr id="0" name="history.png"/>
                    <pic:cNvPicPr/>
                  </pic:nvPicPr>
                  <pic:blipFill>
                    <a:blip r:embed="rId13"/>
                    <a:stretch>
                      <a:fillRect/>
                    </a:stretch>
                  </pic:blipFill>
                  <pic:spPr>
                    <a:xfrm>
                      <a:off x="0" y="0"/>
                      <a:ext cx="6172200" cy="3625104"/>
                    </a:xfrm>
                    <a:prstGeom prst="rect"/>
                  </pic:spPr>
                </pic:pic>
              </a:graphicData>
            </a:graphic>
          </wp:inline>
        </w:drawing>
      </w:r>
    </w:p>
    <w:p>
      <w:r>
        <w:t>PK = primary key; FK = foreign key; ? = nullable. Lines show the declared SQL relationships.</w:t>
      </w:r>
    </w:p>
    <w:p>
      <w:r>
        <w:br w:type="page"/>
      </w:r>
    </w:p>
    <w:p>
      <w:pPr>
        <w:pStyle w:val="Heading1"/>
      </w:pPr>
      <w:r>
        <w:t>Step 1 Select the source and identify UNF</w:t>
      </w:r>
    </w:p>
    <w:p>
      <w:r>
        <w:t>Source: the booking screen and its selected-extras list. Following lecture pages 36–40, list the source attributes, choose BookingID as the key, and identify the repeating extras. Omit RentalDays, RentalSubtotal, ExtrasTotal, TotalCost and LineTotal from the logical exercise because they are calculated.</w:t>
      </w:r>
    </w:p>
    <w:p>
      <w:pPr>
        <w:spacing w:after="160"/>
      </w:pPr>
      <w:r>
        <w:rPr>
          <w:b/>
        </w:rPr>
        <w:t>RentalWorksheet (</w:t>
      </w:r>
      <w:r>
        <w:rPr>
          <w:sz w:val="20"/>
          <w:u w:val="single"/>
        </w:rPr>
        <w:t>BookingID</w:t>
      </w:r>
      <w:r>
        <w:t xml:space="preserve">, </w:t>
      </w:r>
      <w:r>
        <w:rPr>
          <w:sz w:val="20"/>
          <w:u w:val="none"/>
        </w:rPr>
        <w:t>CustomerID</w:t>
      </w:r>
      <w:r>
        <w:t xml:space="preserve">, </w:t>
      </w:r>
      <w:r>
        <w:rPr>
          <w:sz w:val="20"/>
          <w:u w:val="none"/>
        </w:rPr>
        <w:t>CustomerName</w:t>
      </w:r>
      <w:r>
        <w:t xml:space="preserve">, </w:t>
      </w:r>
      <w:r>
        <w:rPr>
          <w:sz w:val="20"/>
          <w:u w:val="none"/>
        </w:rPr>
        <w:t>VehicleID</w:t>
      </w:r>
      <w:r>
        <w:t xml:space="preserve">, </w:t>
      </w:r>
      <w:r>
        <w:rPr>
          <w:sz w:val="20"/>
          <w:u w:val="none"/>
        </w:rPr>
        <w:t>PickupBranchID</w:t>
      </w:r>
      <w:r>
        <w:t xml:space="preserve">, </w:t>
      </w:r>
      <w:r>
        <w:rPr>
          <w:sz w:val="20"/>
          <w:u w:val="none"/>
        </w:rPr>
        <w:t>PickupBranchName</w:t>
      </w:r>
      <w:r>
        <w:t xml:space="preserve">, </w:t>
      </w:r>
      <w:r>
        <w:rPr>
          <w:sz w:val="20"/>
          <w:u w:val="none"/>
        </w:rPr>
        <w:t>CityID</w:t>
      </w:r>
      <w:r>
        <w:t xml:space="preserve">, </w:t>
      </w:r>
      <w:r>
        <w:rPr>
          <w:sz w:val="20"/>
          <w:u w:val="none"/>
        </w:rPr>
        <w:t>CityName</w:t>
      </w:r>
      <w:r>
        <w:t xml:space="preserve">, </w:t>
      </w:r>
      <w:r>
        <w:rPr>
          <w:sz w:val="20"/>
          <w:u w:val="none"/>
        </w:rPr>
        <w:t>ProvinceID</w:t>
      </w:r>
      <w:r>
        <w:t xml:space="preserve">, </w:t>
      </w:r>
      <w:r>
        <w:rPr>
          <w:sz w:val="20"/>
          <w:u w:val="none"/>
        </w:rPr>
        <w:t>ProvinceName</w:t>
      </w:r>
      <w:r>
        <w:t xml:space="preserve">, </w:t>
      </w:r>
      <w:r>
        <w:rPr>
          <w:sz w:val="20"/>
          <w:u w:val="none"/>
        </w:rPr>
        <w:t>StartDate</w:t>
      </w:r>
      <w:r>
        <w:t xml:space="preserve">, </w:t>
      </w:r>
      <w:r>
        <w:rPr>
          <w:sz w:val="20"/>
          <w:u w:val="none"/>
        </w:rPr>
        <w:t>EndDate</w:t>
      </w:r>
      <w:r>
        <w:t xml:space="preserve">, </w:t>
      </w:r>
      <w:r>
        <w:rPr>
          <w:sz w:val="20"/>
          <w:u w:val="none"/>
        </w:rPr>
        <w:t>DailyRateApplied</w:t>
      </w:r>
      <w:r>
        <w:t xml:space="preserve">, </w:t>
      </w:r>
      <w:r>
        <w:rPr>
          <w:sz w:val="20"/>
          <w:u w:val="none"/>
        </w:rPr>
        <w:t>{ExtraID, ExtraName, Quantity, UnitPrice}</w:t>
      </w:r>
      <w:r>
        <w:t>)</w:t>
      </w:r>
    </w:p>
    <w:p>
      <w:r>
        <w:t>The representative rows below illustrate the dependencies only. They are teaching examples, not customer records or records added to the running database. The same extra E1 has a different agreed price on B102, just as the lecture allows one employee to have different rates on different projects.</w:t>
      </w:r>
    </w:p>
    <w:tbl>
      <w:tblPr>
        <w:tblStyle w:val="LightShading-Accent1"/>
        <w:tblW w:type="auto" w:w="0"/>
        <w:tblLook w:firstColumn="1" w:firstRow="1" w:lastColumn="0" w:lastRow="0" w:noHBand="0" w:noVBand="1" w:val="04A0"/>
      </w:tblPr>
      <w:tblGrid>
        <w:gridCol w:w="1979"/>
        <w:gridCol w:w="1979"/>
        <w:gridCol w:w="1979"/>
        <w:gridCol w:w="1979"/>
        <w:gridCol w:w="1979"/>
      </w:tblGrid>
      <w:tr>
        <w:trPr>
          <w:tblHeader/>
          <w:cantSplit/>
        </w:trPr>
        <w:tc>
          <w:tcPr>
            <w:tcW w:type="dxa" w:w="1979"/>
          </w:tcPr>
          <w:p>
            <w:pPr>
              <w:spacing w:after="60"/>
            </w:pPr>
            <w:r>
              <w:rPr>
                <w:b/>
                <w:sz w:val="18"/>
                <w:u w:val="single"/>
              </w:rPr>
              <w:t>BookingID</w:t>
            </w:r>
          </w:p>
        </w:tc>
        <w:tc>
          <w:tcPr>
            <w:tcW w:type="dxa" w:w="1979"/>
          </w:tcPr>
          <w:p>
            <w:pPr>
              <w:spacing w:after="60"/>
            </w:pPr>
            <w:r>
              <w:rPr>
                <w:b/>
                <w:sz w:val="18"/>
                <w:u w:val="none"/>
              </w:rPr>
              <w:t>CustomerID</w:t>
            </w:r>
          </w:p>
        </w:tc>
        <w:tc>
          <w:tcPr>
            <w:tcW w:type="dxa" w:w="1979"/>
          </w:tcPr>
          <w:p>
            <w:pPr>
              <w:spacing w:after="60"/>
            </w:pPr>
            <w:r>
              <w:rPr>
                <w:b/>
                <w:sz w:val="18"/>
                <w:u w:val="none"/>
              </w:rPr>
              <w:t>CustomerName</w:t>
            </w:r>
          </w:p>
        </w:tc>
        <w:tc>
          <w:tcPr>
            <w:tcW w:type="dxa" w:w="1979"/>
          </w:tcPr>
          <w:p>
            <w:pPr>
              <w:spacing w:after="60"/>
            </w:pPr>
            <w:r>
              <w:rPr>
                <w:b/>
                <w:sz w:val="18"/>
                <w:u w:val="none"/>
              </w:rPr>
              <w:t>VehicleID</w:t>
            </w:r>
          </w:p>
        </w:tc>
        <w:tc>
          <w:tcPr>
            <w:tcW w:type="dxa" w:w="1979"/>
          </w:tcPr>
          <w:p>
            <w:pPr>
              <w:spacing w:after="60"/>
            </w:pPr>
            <w:r>
              <w:rPr>
                <w:b/>
                <w:sz w:val="18"/>
                <w:u w:val="none"/>
              </w:rPr>
              <w:t>PickupBranchID</w:t>
            </w:r>
          </w:p>
        </w:tc>
      </w:tr>
      <w:tr>
        <w:trPr>
          <w:cantSplit/>
        </w:trPr>
        <w:tc>
          <w:tcPr>
            <w:tcW w:type="dxa" w:w="1979"/>
          </w:tcPr>
          <w:p>
            <w:pPr>
              <w:spacing w:after="60"/>
            </w:pPr>
            <w:r>
              <w:rPr>
                <w:sz w:val="18"/>
              </w:rPr>
              <w:t>B101</w:t>
            </w:r>
          </w:p>
        </w:tc>
        <w:tc>
          <w:tcPr>
            <w:tcW w:type="dxa" w:w="1979"/>
          </w:tcPr>
          <w:p>
            <w:pPr>
              <w:spacing w:after="60"/>
            </w:pPr>
            <w:r>
              <w:rPr>
                <w:sz w:val="18"/>
              </w:rPr>
              <w:t>C1</w:t>
            </w:r>
          </w:p>
        </w:tc>
        <w:tc>
          <w:tcPr>
            <w:tcW w:type="dxa" w:w="1979"/>
          </w:tcPr>
          <w:p>
            <w:pPr>
              <w:spacing w:after="60"/>
            </w:pPr>
            <w:r>
              <w:rPr>
                <w:sz w:val="18"/>
              </w:rPr>
              <w:t>Customer A</w:t>
            </w:r>
          </w:p>
        </w:tc>
        <w:tc>
          <w:tcPr>
            <w:tcW w:type="dxa" w:w="1979"/>
          </w:tcPr>
          <w:p>
            <w:pPr>
              <w:spacing w:after="60"/>
            </w:pPr>
            <w:r>
              <w:rPr>
                <w:sz w:val="18"/>
              </w:rPr>
              <w:t>V1</w:t>
            </w:r>
          </w:p>
        </w:tc>
        <w:tc>
          <w:tcPr>
            <w:tcW w:type="dxa" w:w="1979"/>
          </w:tcPr>
          <w:p>
            <w:pPr>
              <w:spacing w:after="60"/>
            </w:pPr>
            <w:r>
              <w:rPr>
                <w:sz w:val="18"/>
              </w:rPr>
              <w:t>BR1</w:t>
            </w:r>
          </w:p>
        </w:tc>
      </w:tr>
      <w:tr>
        <w:trPr>
          <w:cantSplit/>
        </w:trPr>
        <w:tc>
          <w:tcPr>
            <w:tcW w:type="dxa" w:w="1979"/>
          </w:tcPr>
          <w:p>
            <w:pPr>
              <w:spacing w:after="60"/>
            </w:pPr>
            <w:r>
              <w:rPr>
                <w:sz w:val="18"/>
              </w:rPr>
              <w:t>B102</w:t>
            </w:r>
          </w:p>
        </w:tc>
        <w:tc>
          <w:tcPr>
            <w:tcW w:type="dxa" w:w="1979"/>
          </w:tcPr>
          <w:p>
            <w:pPr>
              <w:spacing w:after="60"/>
            </w:pPr>
            <w:r>
              <w:rPr>
                <w:sz w:val="18"/>
              </w:rPr>
              <w:t>C1</w:t>
            </w:r>
          </w:p>
        </w:tc>
        <w:tc>
          <w:tcPr>
            <w:tcW w:type="dxa" w:w="1979"/>
          </w:tcPr>
          <w:p>
            <w:pPr>
              <w:spacing w:after="60"/>
            </w:pPr>
            <w:r>
              <w:rPr>
                <w:sz w:val="18"/>
              </w:rPr>
              <w:t>Customer A</w:t>
            </w:r>
          </w:p>
        </w:tc>
        <w:tc>
          <w:tcPr>
            <w:tcW w:type="dxa" w:w="1979"/>
          </w:tcPr>
          <w:p>
            <w:pPr>
              <w:spacing w:after="60"/>
            </w:pPr>
            <w:r>
              <w:rPr>
                <w:sz w:val="18"/>
              </w:rPr>
              <w:t>V2</w:t>
            </w:r>
          </w:p>
        </w:tc>
        <w:tc>
          <w:tcPr>
            <w:tcW w:type="dxa" w:w="1979"/>
          </w:tcPr>
          <w:p>
            <w:pPr>
              <w:spacing w:after="60"/>
            </w:pPr>
            <w:r>
              <w:rPr>
                <w:sz w:val="18"/>
              </w:rPr>
              <w:t>BR1</w:t>
            </w:r>
          </w:p>
        </w:tc>
      </w:tr>
    </w:tbl>
    <w:p>
      <w:pPr>
        <w:pStyle w:val="Heading2"/>
      </w:pPr>
      <w:r>
        <w:t>Repeating group within each booking</w:t>
      </w:r>
    </w:p>
    <w:tbl>
      <w:tblPr>
        <w:tblStyle w:val="LightShading-Accent1"/>
        <w:tblW w:type="auto" w:w="0"/>
        <w:tblLook w:firstColumn="1" w:firstRow="1" w:lastColumn="0" w:lastRow="0" w:noHBand="0" w:noVBand="1" w:val="04A0"/>
      </w:tblPr>
      <w:tblGrid>
        <w:gridCol w:w="4946"/>
        <w:gridCol w:w="4946"/>
      </w:tblGrid>
      <w:tr>
        <w:trPr>
          <w:tblHeader/>
          <w:cantSplit/>
        </w:trPr>
        <w:tc>
          <w:tcPr>
            <w:tcW w:type="dxa" w:w="4946"/>
          </w:tcPr>
          <w:p>
            <w:pPr>
              <w:spacing w:after="60"/>
            </w:pPr>
            <w:r>
              <w:rPr>
                <w:b/>
                <w:sz w:val="18"/>
                <w:u w:val="single"/>
              </w:rPr>
              <w:t>BookingID</w:t>
            </w:r>
          </w:p>
        </w:tc>
        <w:tc>
          <w:tcPr>
            <w:tcW w:type="dxa" w:w="4946"/>
          </w:tcPr>
          <w:p>
            <w:pPr>
              <w:spacing w:after="60"/>
            </w:pPr>
            <w:r>
              <w:rPr>
                <w:b/>
                <w:sz w:val="18"/>
                <w:u w:val="none"/>
              </w:rPr>
              <w:t>Extras {ExtraID, ExtraName, Quantity, UnitPrice}</w:t>
            </w:r>
          </w:p>
        </w:tc>
      </w:tr>
      <w:tr>
        <w:trPr>
          <w:cantSplit/>
        </w:trPr>
        <w:tc>
          <w:tcPr>
            <w:tcW w:type="dxa" w:w="4946"/>
          </w:tcPr>
          <w:p>
            <w:pPr>
              <w:spacing w:after="60"/>
            </w:pPr>
            <w:r>
              <w:rPr>
                <w:sz w:val="18"/>
              </w:rPr>
              <w:t>B101</w:t>
            </w:r>
          </w:p>
        </w:tc>
        <w:tc>
          <w:tcPr>
            <w:tcW w:type="dxa" w:w="4946"/>
          </w:tcPr>
          <w:p>
            <w:pPr>
              <w:spacing w:after="60"/>
            </w:pPr>
            <w:r>
              <w:rPr>
                <w:sz w:val="18"/>
              </w:rPr>
              <w:t>{E1, GPS, 1, 50}; {E2, Child seat, 1, 80}</w:t>
            </w:r>
          </w:p>
        </w:tc>
      </w:tr>
      <w:tr>
        <w:trPr>
          <w:cantSplit/>
        </w:trPr>
        <w:tc>
          <w:tcPr>
            <w:tcW w:type="dxa" w:w="4946"/>
          </w:tcPr>
          <w:p>
            <w:pPr>
              <w:spacing w:after="60"/>
            </w:pPr>
            <w:r>
              <w:rPr>
                <w:sz w:val="18"/>
              </w:rPr>
              <w:t>B102</w:t>
            </w:r>
          </w:p>
        </w:tc>
        <w:tc>
          <w:tcPr>
            <w:tcW w:type="dxa" w:w="4946"/>
          </w:tcPr>
          <w:p>
            <w:pPr>
              <w:spacing w:after="60"/>
            </w:pPr>
            <w:r>
              <w:rPr>
                <w:sz w:val="18"/>
              </w:rPr>
              <w:t>{E1, GPS, 1, 45}</w:t>
            </w:r>
          </w:p>
        </w:tc>
      </w:tr>
    </w:tbl>
    <w:p>
      <w:pPr>
        <w:pStyle w:val="Heading2"/>
      </w:pPr>
      <w:r>
        <w:t>Location and date attributes</w:t>
      </w:r>
    </w:p>
    <w:tbl>
      <w:tblPr>
        <w:tblStyle w:val="LightShading-Accent1"/>
        <w:tblW w:type="auto" w:w="0"/>
        <w:tblLook w:firstColumn="1" w:firstRow="1" w:lastColumn="0" w:lastRow="0" w:noHBand="0" w:noVBand="1" w:val="04A0"/>
      </w:tblPr>
      <w:tblGrid>
        <w:gridCol w:w="2473"/>
        <w:gridCol w:w="2473"/>
        <w:gridCol w:w="2473"/>
        <w:gridCol w:w="2473"/>
      </w:tblGrid>
      <w:tr>
        <w:trPr>
          <w:tblHeader/>
          <w:cantSplit/>
        </w:trPr>
        <w:tc>
          <w:tcPr>
            <w:tcW w:type="dxa" w:w="2473"/>
          </w:tcPr>
          <w:p>
            <w:pPr>
              <w:spacing w:after="60"/>
            </w:pPr>
            <w:r>
              <w:rPr>
                <w:b/>
                <w:sz w:val="18"/>
                <w:u w:val="single"/>
              </w:rPr>
              <w:t>BookingID</w:t>
            </w:r>
          </w:p>
        </w:tc>
        <w:tc>
          <w:tcPr>
            <w:tcW w:type="dxa" w:w="2473"/>
          </w:tcPr>
          <w:p>
            <w:pPr>
              <w:spacing w:after="60"/>
            </w:pPr>
            <w:r>
              <w:rPr>
                <w:b/>
                <w:sz w:val="18"/>
                <w:u w:val="none"/>
              </w:rPr>
              <w:t>PickupBranchName</w:t>
            </w:r>
          </w:p>
        </w:tc>
        <w:tc>
          <w:tcPr>
            <w:tcW w:type="dxa" w:w="2473"/>
          </w:tcPr>
          <w:p>
            <w:pPr>
              <w:spacing w:after="60"/>
            </w:pPr>
            <w:r>
              <w:rPr>
                <w:b/>
                <w:sz w:val="18"/>
                <w:u w:val="none"/>
              </w:rPr>
              <w:t>CityID / CityName</w:t>
            </w:r>
          </w:p>
        </w:tc>
        <w:tc>
          <w:tcPr>
            <w:tcW w:type="dxa" w:w="2473"/>
          </w:tcPr>
          <w:p>
            <w:pPr>
              <w:spacing w:after="60"/>
            </w:pPr>
            <w:r>
              <w:rPr>
                <w:b/>
                <w:sz w:val="18"/>
                <w:u w:val="none"/>
              </w:rPr>
              <w:t>ProvinceID / ProvinceName</w:t>
            </w:r>
          </w:p>
        </w:tc>
      </w:tr>
      <w:tr>
        <w:trPr>
          <w:cantSplit/>
        </w:trPr>
        <w:tc>
          <w:tcPr>
            <w:tcW w:type="dxa" w:w="2473"/>
          </w:tcPr>
          <w:p>
            <w:pPr>
              <w:spacing w:after="60"/>
            </w:pPr>
            <w:r>
              <w:rPr>
                <w:sz w:val="18"/>
              </w:rPr>
              <w:t>B101</w:t>
            </w:r>
          </w:p>
        </w:tc>
        <w:tc>
          <w:tcPr>
            <w:tcW w:type="dxa" w:w="2473"/>
          </w:tcPr>
          <w:p>
            <w:pPr>
              <w:spacing w:after="60"/>
            </w:pPr>
            <w:r>
              <w:rPr>
                <w:sz w:val="18"/>
              </w:rPr>
              <w:t>Central</w:t>
            </w:r>
          </w:p>
        </w:tc>
        <w:tc>
          <w:tcPr>
            <w:tcW w:type="dxa" w:w="2473"/>
          </w:tcPr>
          <w:p>
            <w:pPr>
              <w:spacing w:after="60"/>
            </w:pPr>
            <w:r>
              <w:rPr>
                <w:sz w:val="18"/>
              </w:rPr>
              <w:t>CT1 / Kimberley</w:t>
            </w:r>
          </w:p>
        </w:tc>
        <w:tc>
          <w:tcPr>
            <w:tcW w:type="dxa" w:w="2473"/>
          </w:tcPr>
          <w:p>
            <w:pPr>
              <w:spacing w:after="60"/>
            </w:pPr>
            <w:r>
              <w:rPr>
                <w:sz w:val="18"/>
              </w:rPr>
              <w:t>P1 / Northern Cape</w:t>
            </w:r>
          </w:p>
        </w:tc>
      </w:tr>
      <w:tr>
        <w:trPr>
          <w:cantSplit/>
        </w:trPr>
        <w:tc>
          <w:tcPr>
            <w:tcW w:type="dxa" w:w="2473"/>
          </w:tcPr>
          <w:p>
            <w:pPr>
              <w:spacing w:after="60"/>
            </w:pPr>
            <w:r>
              <w:rPr>
                <w:sz w:val="18"/>
              </w:rPr>
              <w:t>B102</w:t>
            </w:r>
          </w:p>
        </w:tc>
        <w:tc>
          <w:tcPr>
            <w:tcW w:type="dxa" w:w="2473"/>
          </w:tcPr>
          <w:p>
            <w:pPr>
              <w:spacing w:after="60"/>
            </w:pPr>
            <w:r>
              <w:rPr>
                <w:sz w:val="18"/>
              </w:rPr>
              <w:t>Central</w:t>
            </w:r>
          </w:p>
        </w:tc>
        <w:tc>
          <w:tcPr>
            <w:tcW w:type="dxa" w:w="2473"/>
          </w:tcPr>
          <w:p>
            <w:pPr>
              <w:spacing w:after="60"/>
            </w:pPr>
            <w:r>
              <w:rPr>
                <w:sz w:val="18"/>
              </w:rPr>
              <w:t>CT1 / Kimberley</w:t>
            </w:r>
          </w:p>
        </w:tc>
        <w:tc>
          <w:tcPr>
            <w:tcW w:type="dxa" w:w="2473"/>
          </w:tcPr>
          <w:p>
            <w:pPr>
              <w:spacing w:after="60"/>
            </w:pPr>
            <w:r>
              <w:rPr>
                <w:sz w:val="18"/>
              </w:rPr>
              <w:t>P1 / Northern Cape</w:t>
            </w:r>
          </w:p>
        </w:tc>
      </w:tr>
    </w:tbl>
    <w:tbl>
      <w:tblPr>
        <w:tblStyle w:val="LightShading-Accent1"/>
        <w:tblW w:type="auto" w:w="0"/>
        <w:tblLook w:firstColumn="1" w:firstRow="1" w:lastColumn="0" w:lastRow="0" w:noHBand="0" w:noVBand="1" w:val="04A0"/>
      </w:tblPr>
      <w:tblGrid>
        <w:gridCol w:w="2473"/>
        <w:gridCol w:w="2473"/>
        <w:gridCol w:w="2473"/>
        <w:gridCol w:w="2473"/>
      </w:tblGrid>
      <w:tr>
        <w:trPr>
          <w:tblHeader/>
          <w:cantSplit/>
        </w:trPr>
        <w:tc>
          <w:tcPr>
            <w:tcW w:type="dxa" w:w="2473"/>
          </w:tcPr>
          <w:p>
            <w:pPr>
              <w:spacing w:after="60"/>
            </w:pPr>
            <w:r>
              <w:rPr>
                <w:b/>
                <w:sz w:val="18"/>
                <w:u w:val="single"/>
              </w:rPr>
              <w:t>BookingID</w:t>
            </w:r>
          </w:p>
        </w:tc>
        <w:tc>
          <w:tcPr>
            <w:tcW w:type="dxa" w:w="2473"/>
          </w:tcPr>
          <w:p>
            <w:pPr>
              <w:spacing w:after="60"/>
            </w:pPr>
            <w:r>
              <w:rPr>
                <w:b/>
                <w:sz w:val="18"/>
                <w:u w:val="none"/>
              </w:rPr>
              <w:t>StartDate</w:t>
            </w:r>
          </w:p>
        </w:tc>
        <w:tc>
          <w:tcPr>
            <w:tcW w:type="dxa" w:w="2473"/>
          </w:tcPr>
          <w:p>
            <w:pPr>
              <w:spacing w:after="60"/>
            </w:pPr>
            <w:r>
              <w:rPr>
                <w:b/>
                <w:sz w:val="18"/>
                <w:u w:val="none"/>
              </w:rPr>
              <w:t>EndDate</w:t>
            </w:r>
          </w:p>
        </w:tc>
        <w:tc>
          <w:tcPr>
            <w:tcW w:type="dxa" w:w="2473"/>
          </w:tcPr>
          <w:p>
            <w:pPr>
              <w:spacing w:after="60"/>
            </w:pPr>
            <w:r>
              <w:rPr>
                <w:b/>
                <w:sz w:val="18"/>
                <w:u w:val="none"/>
              </w:rPr>
              <w:t>DailyRateApplied</w:t>
            </w:r>
          </w:p>
        </w:tc>
      </w:tr>
      <w:tr>
        <w:trPr>
          <w:cantSplit/>
        </w:trPr>
        <w:tc>
          <w:tcPr>
            <w:tcW w:type="dxa" w:w="2473"/>
          </w:tcPr>
          <w:p>
            <w:pPr>
              <w:spacing w:after="60"/>
            </w:pPr>
            <w:r>
              <w:rPr>
                <w:sz w:val="18"/>
              </w:rPr>
              <w:t>B101</w:t>
            </w:r>
          </w:p>
        </w:tc>
        <w:tc>
          <w:tcPr>
            <w:tcW w:type="dxa" w:w="2473"/>
          </w:tcPr>
          <w:p>
            <w:pPr>
              <w:spacing w:after="60"/>
            </w:pPr>
            <w:r>
              <w:rPr>
                <w:sz w:val="18"/>
              </w:rPr>
              <w:t>2026-11-01</w:t>
            </w:r>
          </w:p>
        </w:tc>
        <w:tc>
          <w:tcPr>
            <w:tcW w:type="dxa" w:w="2473"/>
          </w:tcPr>
          <w:p>
            <w:pPr>
              <w:spacing w:after="60"/>
            </w:pPr>
            <w:r>
              <w:rPr>
                <w:sz w:val="18"/>
              </w:rPr>
              <w:t>2026-11-03</w:t>
            </w:r>
          </w:p>
        </w:tc>
        <w:tc>
          <w:tcPr>
            <w:tcW w:type="dxa" w:w="2473"/>
          </w:tcPr>
          <w:p>
            <w:pPr>
              <w:spacing w:after="60"/>
            </w:pPr>
            <w:r>
              <w:rPr>
                <w:sz w:val="18"/>
              </w:rPr>
              <w:t>500</w:t>
            </w:r>
          </w:p>
        </w:tc>
      </w:tr>
      <w:tr>
        <w:trPr>
          <w:cantSplit/>
        </w:trPr>
        <w:tc>
          <w:tcPr>
            <w:tcW w:type="dxa" w:w="2473"/>
          </w:tcPr>
          <w:p>
            <w:pPr>
              <w:spacing w:after="60"/>
            </w:pPr>
            <w:r>
              <w:rPr>
                <w:sz w:val="18"/>
              </w:rPr>
              <w:t>B102</w:t>
            </w:r>
          </w:p>
        </w:tc>
        <w:tc>
          <w:tcPr>
            <w:tcW w:type="dxa" w:w="2473"/>
          </w:tcPr>
          <w:p>
            <w:pPr>
              <w:spacing w:after="60"/>
            </w:pPr>
            <w:r>
              <w:rPr>
                <w:sz w:val="18"/>
              </w:rPr>
              <w:t>2026-11-05</w:t>
            </w:r>
          </w:p>
        </w:tc>
        <w:tc>
          <w:tcPr>
            <w:tcW w:type="dxa" w:w="2473"/>
          </w:tcPr>
          <w:p>
            <w:pPr>
              <w:spacing w:after="60"/>
            </w:pPr>
            <w:r>
              <w:rPr>
                <w:sz w:val="18"/>
              </w:rPr>
              <w:t>2026-11-07</w:t>
            </w:r>
          </w:p>
        </w:tc>
        <w:tc>
          <w:tcPr>
            <w:tcW w:type="dxa" w:w="2473"/>
          </w:tcPr>
          <w:p>
            <w:pPr>
              <w:spacing w:after="60"/>
            </w:pPr>
            <w:r>
              <w:rPr>
                <w:sz w:val="18"/>
              </w:rPr>
              <w:t>600</w:t>
            </w:r>
          </w:p>
        </w:tc>
      </w:tr>
    </w:tbl>
    <w:p>
      <w:r>
        <w:t>Update anomaly: a branch name is repeated across bookings. Insert anomaly: in one worksheet, an extra definition cannot be recorded without a booking. Delete anomaly: deleting the final booking for an extra could lose its definition. Separate entity tables remove these dependencies between unrelated operations.</w:t>
      </w:r>
    </w:p>
    <w:p>
      <w:r>
        <w:br w:type="page"/>
      </w:r>
    </w:p>
    <w:p>
      <w:pPr>
        <w:pStyle w:val="Heading1"/>
      </w:pPr>
      <w:r>
        <w:t>Step 2 Remove repeating attributes for 1NF</w:t>
      </w:r>
    </w:p>
    <w:p>
      <w:r>
        <w:t>Following lecture pages 41–44, move the repeating extras to a new relation. Copy BookingID into it and choose the compound key (BookingID, ExtraID). BookingHeader keeps one row per booking, including bookings with no extras.</w:t>
      </w:r>
    </w:p>
    <w:p>
      <w:pPr>
        <w:spacing w:after="160"/>
      </w:pPr>
      <w:r>
        <w:rPr>
          <w:b/>
        </w:rPr>
        <w:t>BookingHeader (</w:t>
      </w:r>
      <w:r>
        <w:rPr>
          <w:sz w:val="20"/>
          <w:u w:val="single"/>
        </w:rPr>
        <w:t>BookingID</w:t>
      </w:r>
      <w:r>
        <w:t xml:space="preserve">, </w:t>
      </w:r>
      <w:r>
        <w:rPr>
          <w:sz w:val="20"/>
          <w:u w:val="none"/>
        </w:rPr>
        <w:t>CustomerID</w:t>
      </w:r>
      <w:r>
        <w:t xml:space="preserve">, </w:t>
      </w:r>
      <w:r>
        <w:rPr>
          <w:sz w:val="20"/>
          <w:u w:val="none"/>
        </w:rPr>
        <w:t>CustomerName</w:t>
      </w:r>
      <w:r>
        <w:t xml:space="preserve">, </w:t>
      </w:r>
      <w:r>
        <w:rPr>
          <w:sz w:val="20"/>
          <w:u w:val="none"/>
        </w:rPr>
        <w:t>VehicleID</w:t>
      </w:r>
      <w:r>
        <w:t xml:space="preserve">, </w:t>
      </w:r>
      <w:r>
        <w:rPr>
          <w:sz w:val="20"/>
          <w:u w:val="none"/>
        </w:rPr>
        <w:t>PickupBranchID</w:t>
      </w:r>
      <w:r>
        <w:t xml:space="preserve">, </w:t>
      </w:r>
      <w:r>
        <w:rPr>
          <w:sz w:val="20"/>
          <w:u w:val="none"/>
        </w:rPr>
        <w:t>PickupBranchName</w:t>
      </w:r>
      <w:r>
        <w:t xml:space="preserve">, </w:t>
      </w:r>
      <w:r>
        <w:rPr>
          <w:sz w:val="20"/>
          <w:u w:val="none"/>
        </w:rPr>
        <w:t>CityID</w:t>
      </w:r>
      <w:r>
        <w:t xml:space="preserve">, </w:t>
      </w:r>
      <w:r>
        <w:rPr>
          <w:sz w:val="20"/>
          <w:u w:val="none"/>
        </w:rPr>
        <w:t>CityName</w:t>
      </w:r>
      <w:r>
        <w:t xml:space="preserve">, </w:t>
      </w:r>
      <w:r>
        <w:rPr>
          <w:sz w:val="20"/>
          <w:u w:val="none"/>
        </w:rPr>
        <w:t>ProvinceID</w:t>
      </w:r>
      <w:r>
        <w:t xml:space="preserve">, </w:t>
      </w:r>
      <w:r>
        <w:rPr>
          <w:sz w:val="20"/>
          <w:u w:val="none"/>
        </w:rPr>
        <w:t>ProvinceName</w:t>
      </w:r>
      <w:r>
        <w:t xml:space="preserve">, </w:t>
      </w:r>
      <w:r>
        <w:rPr>
          <w:sz w:val="20"/>
          <w:u w:val="none"/>
        </w:rPr>
        <w:t>StartDate</w:t>
      </w:r>
      <w:r>
        <w:t xml:space="preserve">, </w:t>
      </w:r>
      <w:r>
        <w:rPr>
          <w:sz w:val="20"/>
          <w:u w:val="none"/>
        </w:rPr>
        <w:t>EndDate</w:t>
      </w:r>
      <w:r>
        <w:t xml:space="preserve">, </w:t>
      </w:r>
      <w:r>
        <w:rPr>
          <w:sz w:val="20"/>
          <w:u w:val="none"/>
        </w:rPr>
        <w:t>DailyRateApplied</w:t>
      </w:r>
      <w:r>
        <w:t>)</w:t>
      </w:r>
    </w:p>
    <w:p>
      <w:pPr>
        <w:spacing w:after="160"/>
      </w:pPr>
      <w:r>
        <w:rPr>
          <w:b/>
        </w:rPr>
        <w:t>BookingExtraFlat (</w:t>
      </w:r>
      <w:r>
        <w:rPr>
          <w:sz w:val="20"/>
          <w:u w:val="single"/>
        </w:rPr>
        <w:t>BookingID</w:t>
      </w:r>
      <w:r>
        <w:t>*</w:t>
      </w:r>
      <w:r>
        <w:t xml:space="preserve">, </w:t>
      </w:r>
      <w:r>
        <w:rPr>
          <w:sz w:val="20"/>
          <w:u w:val="single"/>
        </w:rPr>
        <w:t>ExtraID</w:t>
      </w:r>
      <w:r>
        <w:t xml:space="preserve">, </w:t>
      </w:r>
      <w:r>
        <w:rPr>
          <w:sz w:val="20"/>
          <w:u w:val="none"/>
        </w:rPr>
        <w:t>ExtraName</w:t>
      </w:r>
      <w:r>
        <w:t xml:space="preserve">, </w:t>
      </w:r>
      <w:r>
        <w:rPr>
          <w:sz w:val="20"/>
          <w:u w:val="none"/>
        </w:rPr>
        <w:t>Quantity</w:t>
      </w:r>
      <w:r>
        <w:t xml:space="preserve">, </w:t>
      </w:r>
      <w:r>
        <w:rPr>
          <w:sz w:val="20"/>
          <w:u w:val="none"/>
        </w:rPr>
        <w:t>UnitPrice</w:t>
      </w:r>
      <w:r>
        <w:t>)</w:t>
      </w:r>
    </w:p>
    <w:tbl>
      <w:tblPr>
        <w:tblStyle w:val="LightShading-Accent1"/>
        <w:tblW w:type="auto" w:w="0"/>
        <w:tblLook w:firstColumn="1" w:firstRow="1" w:lastColumn="0" w:lastRow="0" w:noHBand="0" w:noVBand="1" w:val="04A0"/>
      </w:tblPr>
      <w:tblGrid>
        <w:gridCol w:w="1979"/>
        <w:gridCol w:w="1979"/>
        <w:gridCol w:w="1979"/>
        <w:gridCol w:w="1979"/>
        <w:gridCol w:w="1979"/>
      </w:tblGrid>
      <w:tr>
        <w:trPr>
          <w:tblHeader/>
          <w:cantSplit/>
        </w:trPr>
        <w:tc>
          <w:tcPr>
            <w:tcW w:type="dxa" w:w="1979"/>
          </w:tcPr>
          <w:p>
            <w:pPr>
              <w:spacing w:after="60"/>
            </w:pPr>
            <w:r>
              <w:rPr>
                <w:b/>
                <w:sz w:val="18"/>
                <w:u w:val="single"/>
              </w:rPr>
              <w:t>BookingID*</w:t>
            </w:r>
          </w:p>
        </w:tc>
        <w:tc>
          <w:tcPr>
            <w:tcW w:type="dxa" w:w="1979"/>
          </w:tcPr>
          <w:p>
            <w:pPr>
              <w:spacing w:after="60"/>
            </w:pPr>
            <w:r>
              <w:rPr>
                <w:b/>
                <w:sz w:val="18"/>
                <w:u w:val="single"/>
              </w:rPr>
              <w:t>ExtraID</w:t>
            </w:r>
          </w:p>
        </w:tc>
        <w:tc>
          <w:tcPr>
            <w:tcW w:type="dxa" w:w="1979"/>
          </w:tcPr>
          <w:p>
            <w:pPr>
              <w:spacing w:after="60"/>
            </w:pPr>
            <w:r>
              <w:rPr>
                <w:b/>
                <w:sz w:val="18"/>
                <w:u w:val="none"/>
              </w:rPr>
              <w:t>ExtraName</w:t>
            </w:r>
          </w:p>
        </w:tc>
        <w:tc>
          <w:tcPr>
            <w:tcW w:type="dxa" w:w="1979"/>
          </w:tcPr>
          <w:p>
            <w:pPr>
              <w:spacing w:after="60"/>
            </w:pPr>
            <w:r>
              <w:rPr>
                <w:b/>
                <w:sz w:val="18"/>
                <w:u w:val="none"/>
              </w:rPr>
              <w:t>Quantity</w:t>
            </w:r>
          </w:p>
        </w:tc>
        <w:tc>
          <w:tcPr>
            <w:tcW w:type="dxa" w:w="1979"/>
          </w:tcPr>
          <w:p>
            <w:pPr>
              <w:spacing w:after="60"/>
            </w:pPr>
            <w:r>
              <w:rPr>
                <w:b/>
                <w:sz w:val="18"/>
                <w:u w:val="none"/>
              </w:rPr>
              <w:t>UnitPrice</w:t>
            </w:r>
          </w:p>
        </w:tc>
      </w:tr>
      <w:tr>
        <w:trPr>
          <w:cantSplit/>
        </w:trPr>
        <w:tc>
          <w:tcPr>
            <w:tcW w:type="dxa" w:w="1979"/>
          </w:tcPr>
          <w:p>
            <w:pPr>
              <w:spacing w:after="60"/>
            </w:pPr>
            <w:r>
              <w:rPr>
                <w:sz w:val="18"/>
              </w:rPr>
              <w:t>B101</w:t>
            </w:r>
          </w:p>
        </w:tc>
        <w:tc>
          <w:tcPr>
            <w:tcW w:type="dxa" w:w="1979"/>
          </w:tcPr>
          <w:p>
            <w:pPr>
              <w:spacing w:after="60"/>
            </w:pPr>
            <w:r>
              <w:rPr>
                <w:sz w:val="18"/>
              </w:rPr>
              <w:t>E1</w:t>
            </w:r>
          </w:p>
        </w:tc>
        <w:tc>
          <w:tcPr>
            <w:tcW w:type="dxa" w:w="1979"/>
          </w:tcPr>
          <w:p>
            <w:pPr>
              <w:spacing w:after="60"/>
            </w:pPr>
            <w:r>
              <w:rPr>
                <w:sz w:val="18"/>
              </w:rPr>
              <w:t>GPS</w:t>
            </w:r>
          </w:p>
        </w:tc>
        <w:tc>
          <w:tcPr>
            <w:tcW w:type="dxa" w:w="1979"/>
          </w:tcPr>
          <w:p>
            <w:pPr>
              <w:spacing w:after="60"/>
            </w:pPr>
            <w:r>
              <w:rPr>
                <w:sz w:val="18"/>
              </w:rPr>
              <w:t>1</w:t>
            </w:r>
          </w:p>
        </w:tc>
        <w:tc>
          <w:tcPr>
            <w:tcW w:type="dxa" w:w="1979"/>
          </w:tcPr>
          <w:p>
            <w:pPr>
              <w:spacing w:after="60"/>
            </w:pPr>
            <w:r>
              <w:rPr>
                <w:sz w:val="18"/>
              </w:rPr>
              <w:t>50</w:t>
            </w:r>
          </w:p>
        </w:tc>
      </w:tr>
      <w:tr>
        <w:trPr>
          <w:cantSplit/>
        </w:trPr>
        <w:tc>
          <w:tcPr>
            <w:tcW w:type="dxa" w:w="1979"/>
          </w:tcPr>
          <w:p>
            <w:pPr>
              <w:spacing w:after="60"/>
            </w:pPr>
            <w:r>
              <w:rPr>
                <w:sz w:val="18"/>
              </w:rPr>
              <w:t>B101</w:t>
            </w:r>
          </w:p>
        </w:tc>
        <w:tc>
          <w:tcPr>
            <w:tcW w:type="dxa" w:w="1979"/>
          </w:tcPr>
          <w:p>
            <w:pPr>
              <w:spacing w:after="60"/>
            </w:pPr>
            <w:r>
              <w:rPr>
                <w:sz w:val="18"/>
              </w:rPr>
              <w:t>E2</w:t>
            </w:r>
          </w:p>
        </w:tc>
        <w:tc>
          <w:tcPr>
            <w:tcW w:type="dxa" w:w="1979"/>
          </w:tcPr>
          <w:p>
            <w:pPr>
              <w:spacing w:after="60"/>
            </w:pPr>
            <w:r>
              <w:rPr>
                <w:sz w:val="18"/>
              </w:rPr>
              <w:t>Child seat</w:t>
            </w:r>
          </w:p>
        </w:tc>
        <w:tc>
          <w:tcPr>
            <w:tcW w:type="dxa" w:w="1979"/>
          </w:tcPr>
          <w:p>
            <w:pPr>
              <w:spacing w:after="60"/>
            </w:pPr>
            <w:r>
              <w:rPr>
                <w:sz w:val="18"/>
              </w:rPr>
              <w:t>1</w:t>
            </w:r>
          </w:p>
        </w:tc>
        <w:tc>
          <w:tcPr>
            <w:tcW w:type="dxa" w:w="1979"/>
          </w:tcPr>
          <w:p>
            <w:pPr>
              <w:spacing w:after="60"/>
            </w:pPr>
            <w:r>
              <w:rPr>
                <w:sz w:val="18"/>
              </w:rPr>
              <w:t>80</w:t>
            </w:r>
          </w:p>
        </w:tc>
      </w:tr>
      <w:tr>
        <w:trPr>
          <w:cantSplit/>
        </w:trPr>
        <w:tc>
          <w:tcPr>
            <w:tcW w:type="dxa" w:w="1979"/>
          </w:tcPr>
          <w:p>
            <w:pPr>
              <w:spacing w:after="60"/>
            </w:pPr>
            <w:r>
              <w:rPr>
                <w:sz w:val="18"/>
              </w:rPr>
              <w:t>B102</w:t>
            </w:r>
          </w:p>
        </w:tc>
        <w:tc>
          <w:tcPr>
            <w:tcW w:type="dxa" w:w="1979"/>
          </w:tcPr>
          <w:p>
            <w:pPr>
              <w:spacing w:after="60"/>
            </w:pPr>
            <w:r>
              <w:rPr>
                <w:sz w:val="18"/>
              </w:rPr>
              <w:t>E1</w:t>
            </w:r>
          </w:p>
        </w:tc>
        <w:tc>
          <w:tcPr>
            <w:tcW w:type="dxa" w:w="1979"/>
          </w:tcPr>
          <w:p>
            <w:pPr>
              <w:spacing w:after="60"/>
            </w:pPr>
            <w:r>
              <w:rPr>
                <w:sz w:val="18"/>
              </w:rPr>
              <w:t>GPS</w:t>
            </w:r>
          </w:p>
        </w:tc>
        <w:tc>
          <w:tcPr>
            <w:tcW w:type="dxa" w:w="1979"/>
          </w:tcPr>
          <w:p>
            <w:pPr>
              <w:spacing w:after="60"/>
            </w:pPr>
            <w:r>
              <w:rPr>
                <w:sz w:val="18"/>
              </w:rPr>
              <w:t>1</w:t>
            </w:r>
          </w:p>
        </w:tc>
        <w:tc>
          <w:tcPr>
            <w:tcW w:type="dxa" w:w="1979"/>
          </w:tcPr>
          <w:p>
            <w:pPr>
              <w:spacing w:after="60"/>
            </w:pPr>
            <w:r>
              <w:rPr>
                <w:sz w:val="18"/>
              </w:rPr>
              <w:t>45</w:t>
            </w:r>
          </w:p>
        </w:tc>
      </w:tr>
    </w:tbl>
    <w:p>
      <w:pPr>
        <w:pStyle w:val="Heading2"/>
      </w:pPr>
      <w:r>
        <w:t>Functional dependencies</w:t>
      </w:r>
    </w:p>
    <w:p>
      <w:r>
        <w:t>BookingID → all BookingHeader attributes.</w:t>
        <w:br/>
        <w:t>(BookingID, ExtraID) → Quantity, UnitPrice.</w:t>
        <w:br/>
        <w:t>ExtraID → ExtraName.</w:t>
      </w:r>
    </w:p>
    <w:p>
      <w:r>
        <w:t>Every field holds one value, and the chosen key identifies each row. However, ExtraName depends on ExtraID alone, which is only part of the compound key. Therefore BookingExtraFlat is in 1NF but not 2NF.</w:t>
      </w:r>
    </w:p>
    <w:p>
      <w:r>
        <w:t>The header is not duplicated for each extra. A join on BookingID can reconstruct the detail rows for bookings that have extras; a left join preserves bookings with none. No extra combinations or facts are introduced by this separation.</w:t>
      </w:r>
    </w:p>
    <w:p>
      <w:pPr>
        <w:pStyle w:val="Heading2"/>
      </w:pPr>
      <w:r>
        <w:t>Why the agreed price stays on the detail row</w:t>
      </w:r>
    </w:p>
    <w:p>
      <w:r>
        <w:t>E1 costs 50 on B101 and 45 on B102. Therefore ExtraID alone does not determine UnitPrice. The booking-extra pair determines the agreed price. Current catalogue prices are different facts and are stored in RentalExtra in the application.</w:t>
      </w:r>
    </w:p>
    <w:p>
      <w:r>
        <w:br w:type="page"/>
      </w:r>
    </w:p>
    <w:p>
      <w:pPr>
        <w:pStyle w:val="Heading1"/>
      </w:pPr>
      <w:r>
        <w:t>Step 3 Remove partial dependencies for 2NF</w:t>
      </w:r>
    </w:p>
    <w:p>
      <w:r>
        <w:t>Following lecture pages 45–49, examine each non-key attribute against each part of the compound key. Move ExtraName to RentalExtra because ExtraID determines it. Leave ExtraID in BookingExtra as a foreign key. The header has a simple key and carries forward unchanged.</w:t>
      </w:r>
    </w:p>
    <w:p>
      <w:pPr>
        <w:spacing w:after="160"/>
      </w:pPr>
      <w:r>
        <w:rPr>
          <w:b/>
        </w:rPr>
        <w:t>BookingHeader (</w:t>
      </w:r>
      <w:r>
        <w:rPr>
          <w:sz w:val="20"/>
          <w:u w:val="single"/>
        </w:rPr>
        <w:t>BookingID</w:t>
      </w:r>
      <w:r>
        <w:t xml:space="preserve">, </w:t>
      </w:r>
      <w:r>
        <w:rPr>
          <w:sz w:val="20"/>
          <w:u w:val="none"/>
        </w:rPr>
        <w:t>CustomerID</w:t>
      </w:r>
      <w:r>
        <w:t xml:space="preserve">, </w:t>
      </w:r>
      <w:r>
        <w:rPr>
          <w:sz w:val="20"/>
          <w:u w:val="none"/>
        </w:rPr>
        <w:t>CustomerName</w:t>
      </w:r>
      <w:r>
        <w:t xml:space="preserve">, </w:t>
      </w:r>
      <w:r>
        <w:rPr>
          <w:sz w:val="20"/>
          <w:u w:val="none"/>
        </w:rPr>
        <w:t>VehicleID</w:t>
      </w:r>
      <w:r>
        <w:t xml:space="preserve">, </w:t>
      </w:r>
      <w:r>
        <w:rPr>
          <w:sz w:val="20"/>
          <w:u w:val="none"/>
        </w:rPr>
        <w:t>PickupBranchID</w:t>
      </w:r>
      <w:r>
        <w:t xml:space="preserve">, </w:t>
      </w:r>
      <w:r>
        <w:rPr>
          <w:sz w:val="20"/>
          <w:u w:val="none"/>
        </w:rPr>
        <w:t>PickupBranchName</w:t>
      </w:r>
      <w:r>
        <w:t xml:space="preserve">, </w:t>
      </w:r>
      <w:r>
        <w:rPr>
          <w:sz w:val="20"/>
          <w:u w:val="none"/>
        </w:rPr>
        <w:t>CityID</w:t>
      </w:r>
      <w:r>
        <w:t xml:space="preserve">, </w:t>
      </w:r>
      <w:r>
        <w:rPr>
          <w:sz w:val="20"/>
          <w:u w:val="none"/>
        </w:rPr>
        <w:t>CityName</w:t>
      </w:r>
      <w:r>
        <w:t xml:space="preserve">, </w:t>
      </w:r>
      <w:r>
        <w:rPr>
          <w:sz w:val="20"/>
          <w:u w:val="none"/>
        </w:rPr>
        <w:t>ProvinceID</w:t>
      </w:r>
      <w:r>
        <w:t xml:space="preserve">, </w:t>
      </w:r>
      <w:r>
        <w:rPr>
          <w:sz w:val="20"/>
          <w:u w:val="none"/>
        </w:rPr>
        <w:t>ProvinceName</w:t>
      </w:r>
      <w:r>
        <w:t xml:space="preserve">, </w:t>
      </w:r>
      <w:r>
        <w:rPr>
          <w:sz w:val="20"/>
          <w:u w:val="none"/>
        </w:rPr>
        <w:t>StartDate</w:t>
      </w:r>
      <w:r>
        <w:t xml:space="preserve">, </w:t>
      </w:r>
      <w:r>
        <w:rPr>
          <w:sz w:val="20"/>
          <w:u w:val="none"/>
        </w:rPr>
        <w:t>EndDate</w:t>
      </w:r>
      <w:r>
        <w:t xml:space="preserve">, </w:t>
      </w:r>
      <w:r>
        <w:rPr>
          <w:sz w:val="20"/>
          <w:u w:val="none"/>
        </w:rPr>
        <w:t>DailyRateApplied</w:t>
      </w:r>
      <w:r>
        <w:t>)</w:t>
      </w:r>
    </w:p>
    <w:p>
      <w:pPr>
        <w:spacing w:after="160"/>
      </w:pPr>
      <w:r>
        <w:rPr>
          <w:b/>
        </w:rPr>
        <w:t>RentalExtra (</w:t>
      </w:r>
      <w:r>
        <w:rPr>
          <w:sz w:val="20"/>
          <w:u w:val="single"/>
        </w:rPr>
        <w:t>ExtraID</w:t>
      </w:r>
      <w:r>
        <w:t xml:space="preserve">, </w:t>
      </w:r>
      <w:r>
        <w:rPr>
          <w:sz w:val="20"/>
          <w:u w:val="none"/>
        </w:rPr>
        <w:t>ExtraName</w:t>
      </w:r>
      <w:r>
        <w:t>)</w:t>
      </w:r>
    </w:p>
    <w:p>
      <w:pPr>
        <w:spacing w:after="160"/>
      </w:pPr>
      <w:r>
        <w:rPr>
          <w:b/>
        </w:rPr>
        <w:t>BookingExtra (</w:t>
      </w:r>
      <w:r>
        <w:rPr>
          <w:sz w:val="20"/>
          <w:u w:val="single"/>
        </w:rPr>
        <w:t>BookingID</w:t>
      </w:r>
      <w:r>
        <w:t>*</w:t>
      </w:r>
      <w:r>
        <w:t xml:space="preserve">, </w:t>
      </w:r>
      <w:r>
        <w:rPr>
          <w:sz w:val="20"/>
          <w:u w:val="single"/>
        </w:rPr>
        <w:t>ExtraID</w:t>
      </w:r>
      <w:r>
        <w:t>*</w:t>
      </w:r>
      <w:r>
        <w:t xml:space="preserve">, </w:t>
      </w:r>
      <w:r>
        <w:rPr>
          <w:sz w:val="20"/>
          <w:u w:val="none"/>
        </w:rPr>
        <w:t>Quantity</w:t>
      </w:r>
      <w:r>
        <w:t xml:space="preserve">, </w:t>
      </w:r>
      <w:r>
        <w:rPr>
          <w:sz w:val="20"/>
          <w:u w:val="none"/>
        </w:rPr>
        <w:t>UnitPrice</w:t>
      </w:r>
      <w:r>
        <w:t>)</w:t>
      </w:r>
    </w:p>
    <w:tbl>
      <w:tblPr>
        <w:tblStyle w:val="LightShading-Accent1"/>
        <w:tblW w:type="auto" w:w="0"/>
        <w:tblLook w:firstColumn="1" w:firstRow="1" w:lastColumn="0" w:lastRow="0" w:noHBand="0" w:noVBand="1" w:val="04A0"/>
      </w:tblPr>
      <w:tblGrid>
        <w:gridCol w:w="4946"/>
        <w:gridCol w:w="4946"/>
      </w:tblGrid>
      <w:tr>
        <w:trPr>
          <w:tblHeader/>
          <w:cantSplit/>
        </w:trPr>
        <w:tc>
          <w:tcPr>
            <w:tcW w:type="dxa" w:w="4946"/>
          </w:tcPr>
          <w:p>
            <w:pPr>
              <w:spacing w:after="60"/>
            </w:pPr>
            <w:r>
              <w:rPr>
                <w:b/>
                <w:sz w:val="18"/>
                <w:u w:val="single"/>
              </w:rPr>
              <w:t>ExtraID</w:t>
            </w:r>
          </w:p>
        </w:tc>
        <w:tc>
          <w:tcPr>
            <w:tcW w:type="dxa" w:w="4946"/>
          </w:tcPr>
          <w:p>
            <w:pPr>
              <w:spacing w:after="60"/>
            </w:pPr>
            <w:r>
              <w:rPr>
                <w:b/>
                <w:sz w:val="18"/>
                <w:u w:val="none"/>
              </w:rPr>
              <w:t>ExtraName</w:t>
            </w:r>
          </w:p>
        </w:tc>
      </w:tr>
      <w:tr>
        <w:trPr>
          <w:cantSplit/>
        </w:trPr>
        <w:tc>
          <w:tcPr>
            <w:tcW w:type="dxa" w:w="4946"/>
          </w:tcPr>
          <w:p>
            <w:pPr>
              <w:spacing w:after="60"/>
            </w:pPr>
            <w:r>
              <w:rPr>
                <w:sz w:val="18"/>
              </w:rPr>
              <w:t>E1</w:t>
            </w:r>
          </w:p>
        </w:tc>
        <w:tc>
          <w:tcPr>
            <w:tcW w:type="dxa" w:w="4946"/>
          </w:tcPr>
          <w:p>
            <w:pPr>
              <w:spacing w:after="60"/>
            </w:pPr>
            <w:r>
              <w:rPr>
                <w:sz w:val="18"/>
              </w:rPr>
              <w:t>GPS</w:t>
            </w:r>
          </w:p>
        </w:tc>
      </w:tr>
      <w:tr>
        <w:trPr>
          <w:cantSplit/>
        </w:trPr>
        <w:tc>
          <w:tcPr>
            <w:tcW w:type="dxa" w:w="4946"/>
          </w:tcPr>
          <w:p>
            <w:pPr>
              <w:spacing w:after="60"/>
            </w:pPr>
            <w:r>
              <w:rPr>
                <w:sz w:val="18"/>
              </w:rPr>
              <w:t>E2</w:t>
            </w:r>
          </w:p>
        </w:tc>
        <w:tc>
          <w:tcPr>
            <w:tcW w:type="dxa" w:w="4946"/>
          </w:tcPr>
          <w:p>
            <w:pPr>
              <w:spacing w:after="60"/>
            </w:pPr>
            <w:r>
              <w:rPr>
                <w:sz w:val="18"/>
              </w:rPr>
              <w:t>Child seat</w:t>
            </w:r>
          </w:p>
        </w:tc>
      </w:tr>
    </w:tbl>
    <w:p>
      <w:r>
        <w:t>BookingExtra retains the attributes that depend on both key parts:</w:t>
      </w:r>
    </w:p>
    <w:tbl>
      <w:tblPr>
        <w:tblStyle w:val="LightShading-Accent1"/>
        <w:tblW w:type="auto" w:w="0"/>
        <w:tblLook w:firstColumn="1" w:firstRow="1" w:lastColumn="0" w:lastRow="0" w:noHBand="0" w:noVBand="1" w:val="04A0"/>
      </w:tblPr>
      <w:tblGrid>
        <w:gridCol w:w="2473"/>
        <w:gridCol w:w="2473"/>
        <w:gridCol w:w="2473"/>
        <w:gridCol w:w="2473"/>
      </w:tblGrid>
      <w:tr>
        <w:trPr>
          <w:tblHeader/>
          <w:cantSplit/>
        </w:trPr>
        <w:tc>
          <w:tcPr>
            <w:tcW w:type="dxa" w:w="2473"/>
          </w:tcPr>
          <w:p>
            <w:pPr>
              <w:spacing w:after="60"/>
            </w:pPr>
            <w:r>
              <w:rPr>
                <w:b/>
                <w:sz w:val="18"/>
                <w:u w:val="single"/>
              </w:rPr>
              <w:t>BookingID*</w:t>
            </w:r>
          </w:p>
        </w:tc>
        <w:tc>
          <w:tcPr>
            <w:tcW w:type="dxa" w:w="2473"/>
          </w:tcPr>
          <w:p>
            <w:pPr>
              <w:spacing w:after="60"/>
            </w:pPr>
            <w:r>
              <w:rPr>
                <w:b/>
                <w:sz w:val="18"/>
                <w:u w:val="single"/>
              </w:rPr>
              <w:t>ExtraID*</w:t>
            </w:r>
          </w:p>
        </w:tc>
        <w:tc>
          <w:tcPr>
            <w:tcW w:type="dxa" w:w="2473"/>
          </w:tcPr>
          <w:p>
            <w:pPr>
              <w:spacing w:after="60"/>
            </w:pPr>
            <w:r>
              <w:rPr>
                <w:b/>
                <w:sz w:val="18"/>
                <w:u w:val="none"/>
              </w:rPr>
              <w:t>Quantity</w:t>
            </w:r>
          </w:p>
        </w:tc>
        <w:tc>
          <w:tcPr>
            <w:tcW w:type="dxa" w:w="2473"/>
          </w:tcPr>
          <w:p>
            <w:pPr>
              <w:spacing w:after="60"/>
            </w:pPr>
            <w:r>
              <w:rPr>
                <w:b/>
                <w:sz w:val="18"/>
                <w:u w:val="none"/>
              </w:rPr>
              <w:t>UnitPrice</w:t>
            </w:r>
          </w:p>
        </w:tc>
      </w:tr>
      <w:tr>
        <w:trPr>
          <w:cantSplit/>
        </w:trPr>
        <w:tc>
          <w:tcPr>
            <w:tcW w:type="dxa" w:w="2473"/>
          </w:tcPr>
          <w:p>
            <w:pPr>
              <w:spacing w:after="60"/>
            </w:pPr>
            <w:r>
              <w:rPr>
                <w:sz w:val="18"/>
              </w:rPr>
              <w:t>B101</w:t>
            </w:r>
          </w:p>
        </w:tc>
        <w:tc>
          <w:tcPr>
            <w:tcW w:type="dxa" w:w="2473"/>
          </w:tcPr>
          <w:p>
            <w:pPr>
              <w:spacing w:after="60"/>
            </w:pPr>
            <w:r>
              <w:rPr>
                <w:sz w:val="18"/>
              </w:rPr>
              <w:t>E1</w:t>
            </w:r>
          </w:p>
        </w:tc>
        <w:tc>
          <w:tcPr>
            <w:tcW w:type="dxa" w:w="2473"/>
          </w:tcPr>
          <w:p>
            <w:pPr>
              <w:spacing w:after="60"/>
            </w:pPr>
            <w:r>
              <w:rPr>
                <w:sz w:val="18"/>
              </w:rPr>
              <w:t>1</w:t>
            </w:r>
          </w:p>
        </w:tc>
        <w:tc>
          <w:tcPr>
            <w:tcW w:type="dxa" w:w="2473"/>
          </w:tcPr>
          <w:p>
            <w:pPr>
              <w:spacing w:after="60"/>
            </w:pPr>
            <w:r>
              <w:rPr>
                <w:sz w:val="18"/>
              </w:rPr>
              <w:t>50</w:t>
            </w:r>
          </w:p>
        </w:tc>
      </w:tr>
      <w:tr>
        <w:trPr>
          <w:cantSplit/>
        </w:trPr>
        <w:tc>
          <w:tcPr>
            <w:tcW w:type="dxa" w:w="2473"/>
          </w:tcPr>
          <w:p>
            <w:pPr>
              <w:spacing w:after="60"/>
            </w:pPr>
            <w:r>
              <w:rPr>
                <w:sz w:val="18"/>
              </w:rPr>
              <w:t>B101</w:t>
            </w:r>
          </w:p>
        </w:tc>
        <w:tc>
          <w:tcPr>
            <w:tcW w:type="dxa" w:w="2473"/>
          </w:tcPr>
          <w:p>
            <w:pPr>
              <w:spacing w:after="60"/>
            </w:pPr>
            <w:r>
              <w:rPr>
                <w:sz w:val="18"/>
              </w:rPr>
              <w:t>E2</w:t>
            </w:r>
          </w:p>
        </w:tc>
        <w:tc>
          <w:tcPr>
            <w:tcW w:type="dxa" w:w="2473"/>
          </w:tcPr>
          <w:p>
            <w:pPr>
              <w:spacing w:after="60"/>
            </w:pPr>
            <w:r>
              <w:rPr>
                <w:sz w:val="18"/>
              </w:rPr>
              <w:t>1</w:t>
            </w:r>
          </w:p>
        </w:tc>
        <w:tc>
          <w:tcPr>
            <w:tcW w:type="dxa" w:w="2473"/>
          </w:tcPr>
          <w:p>
            <w:pPr>
              <w:spacing w:after="60"/>
            </w:pPr>
            <w:r>
              <w:rPr>
                <w:sz w:val="18"/>
              </w:rPr>
              <w:t>80</w:t>
            </w:r>
          </w:p>
        </w:tc>
      </w:tr>
      <w:tr>
        <w:trPr>
          <w:cantSplit/>
        </w:trPr>
        <w:tc>
          <w:tcPr>
            <w:tcW w:type="dxa" w:w="2473"/>
          </w:tcPr>
          <w:p>
            <w:pPr>
              <w:spacing w:after="60"/>
            </w:pPr>
            <w:r>
              <w:rPr>
                <w:sz w:val="18"/>
              </w:rPr>
              <w:t>B102</w:t>
            </w:r>
          </w:p>
        </w:tc>
        <w:tc>
          <w:tcPr>
            <w:tcW w:type="dxa" w:w="2473"/>
          </w:tcPr>
          <w:p>
            <w:pPr>
              <w:spacing w:after="60"/>
            </w:pPr>
            <w:r>
              <w:rPr>
                <w:sz w:val="18"/>
              </w:rPr>
              <w:t>E1</w:t>
            </w:r>
          </w:p>
        </w:tc>
        <w:tc>
          <w:tcPr>
            <w:tcW w:type="dxa" w:w="2473"/>
          </w:tcPr>
          <w:p>
            <w:pPr>
              <w:spacing w:after="60"/>
            </w:pPr>
            <w:r>
              <w:rPr>
                <w:sz w:val="18"/>
              </w:rPr>
              <w:t>1</w:t>
            </w:r>
          </w:p>
        </w:tc>
        <w:tc>
          <w:tcPr>
            <w:tcW w:type="dxa" w:w="2473"/>
          </w:tcPr>
          <w:p>
            <w:pPr>
              <w:spacing w:after="60"/>
            </w:pPr>
            <w:r>
              <w:rPr>
                <w:sz w:val="18"/>
              </w:rPr>
              <w:t>45</w:t>
            </w:r>
          </w:p>
        </w:tc>
      </w:tr>
    </w:tbl>
    <w:p>
      <w:r>
        <w:t>Partial dependency removed: ExtraID → ExtraName.</w:t>
        <w:br/>
        <w:t>Full dependency retained: (BookingID, ExtraID) → Quantity, UnitPrice.</w:t>
      </w:r>
    </w:p>
    <w:p>
      <w:r>
        <w:t>Joining RentalExtra back to BookingExtra on ExtraID restores ExtraName without ambiguity because ExtraID is unique in RentalExtra. Choosing a surrogate key alone would not fix the original partial dependency: the compound candidate key must still be considered.</w:t>
      </w:r>
    </w:p>
    <w:p>
      <w:r>
        <w:br w:type="page"/>
      </w:r>
    </w:p>
    <w:p>
      <w:pPr>
        <w:pStyle w:val="Heading1"/>
      </w:pPr>
      <w:r>
        <w:t>Step 4 Remove transitive dependencies for 3NF</w:t>
      </w:r>
    </w:p>
    <w:p>
      <w:r>
        <w:t>Following lecture pages 50–55, move descriptions determined by another non-key attribute into a separate relation. Copy that determinant as the new key and keep a foreign key in the original relation.</w:t>
      </w:r>
    </w:p>
    <w:p>
      <w:pPr>
        <w:spacing w:after="160"/>
      </w:pPr>
      <w:r>
        <w:rPr>
          <w:b/>
        </w:rPr>
        <w:t>Booking (</w:t>
      </w:r>
      <w:r>
        <w:rPr>
          <w:sz w:val="20"/>
          <w:u w:val="single"/>
        </w:rPr>
        <w:t>BookingID</w:t>
      </w:r>
      <w:r>
        <w:t xml:space="preserve">, </w:t>
      </w:r>
      <w:r>
        <w:rPr>
          <w:sz w:val="20"/>
          <w:u w:val="none"/>
        </w:rPr>
        <w:t>CustomerID</w:t>
      </w:r>
      <w:r>
        <w:t>*</w:t>
      </w:r>
      <w:r>
        <w:t xml:space="preserve">, </w:t>
      </w:r>
      <w:r>
        <w:rPr>
          <w:sz w:val="20"/>
          <w:u w:val="none"/>
        </w:rPr>
        <w:t>VehicleID</w:t>
      </w:r>
      <w:r>
        <w:t>*</w:t>
      </w:r>
      <w:r>
        <w:t xml:space="preserve">, </w:t>
      </w:r>
      <w:r>
        <w:rPr>
          <w:sz w:val="20"/>
          <w:u w:val="none"/>
        </w:rPr>
        <w:t>PickupBranchID</w:t>
      </w:r>
      <w:r>
        <w:t>*</w:t>
      </w:r>
      <w:r>
        <w:t xml:space="preserve">, </w:t>
      </w:r>
      <w:r>
        <w:rPr>
          <w:sz w:val="20"/>
          <w:u w:val="none"/>
        </w:rPr>
        <w:t>StartDate</w:t>
      </w:r>
      <w:r>
        <w:t xml:space="preserve">, </w:t>
      </w:r>
      <w:r>
        <w:rPr>
          <w:sz w:val="20"/>
          <w:u w:val="none"/>
        </w:rPr>
        <w:t>EndDate</w:t>
      </w:r>
      <w:r>
        <w:t xml:space="preserve">, </w:t>
      </w:r>
      <w:r>
        <w:rPr>
          <w:sz w:val="20"/>
          <w:u w:val="none"/>
        </w:rPr>
        <w:t>DailyRateApplied</w:t>
      </w:r>
      <w:r>
        <w:t>)</w:t>
      </w:r>
    </w:p>
    <w:p>
      <w:pPr>
        <w:spacing w:after="160"/>
      </w:pPr>
      <w:r>
        <w:rPr>
          <w:b/>
        </w:rPr>
        <w:t>Customer (</w:t>
      </w:r>
      <w:r>
        <w:rPr>
          <w:sz w:val="20"/>
          <w:u w:val="single"/>
        </w:rPr>
        <w:t>CustomerID</w:t>
      </w:r>
      <w:r>
        <w:t xml:space="preserve">, </w:t>
      </w:r>
      <w:r>
        <w:rPr>
          <w:sz w:val="20"/>
          <w:u w:val="none"/>
        </w:rPr>
        <w:t>CustomerName</w:t>
      </w:r>
      <w:r>
        <w:t>)</w:t>
      </w:r>
    </w:p>
    <w:p>
      <w:pPr>
        <w:spacing w:after="160"/>
      </w:pPr>
      <w:r>
        <w:rPr>
          <w:b/>
        </w:rPr>
        <w:t>Branch (</w:t>
      </w:r>
      <w:r>
        <w:rPr>
          <w:sz w:val="20"/>
          <w:u w:val="single"/>
        </w:rPr>
        <w:t>BranchID</w:t>
      </w:r>
      <w:r>
        <w:t xml:space="preserve">, </w:t>
      </w:r>
      <w:r>
        <w:rPr>
          <w:sz w:val="20"/>
          <w:u w:val="none"/>
        </w:rPr>
        <w:t>BranchName</w:t>
      </w:r>
      <w:r>
        <w:t xml:space="preserve">, </w:t>
      </w:r>
      <w:r>
        <w:rPr>
          <w:sz w:val="20"/>
          <w:u w:val="none"/>
        </w:rPr>
        <w:t>CityID</w:t>
      </w:r>
      <w:r>
        <w:t>*</w:t>
      </w:r>
      <w:r>
        <w:t>)</w:t>
      </w:r>
    </w:p>
    <w:p>
      <w:pPr>
        <w:spacing w:after="160"/>
      </w:pPr>
      <w:r>
        <w:rPr>
          <w:b/>
        </w:rPr>
        <w:t>City (</w:t>
      </w:r>
      <w:r>
        <w:rPr>
          <w:sz w:val="20"/>
          <w:u w:val="single"/>
        </w:rPr>
        <w:t>CityID</w:t>
      </w:r>
      <w:r>
        <w:t xml:space="preserve">, </w:t>
      </w:r>
      <w:r>
        <w:rPr>
          <w:sz w:val="20"/>
          <w:u w:val="none"/>
        </w:rPr>
        <w:t>CityName</w:t>
      </w:r>
      <w:r>
        <w:t xml:space="preserve">, </w:t>
      </w:r>
      <w:r>
        <w:rPr>
          <w:sz w:val="20"/>
          <w:u w:val="none"/>
        </w:rPr>
        <w:t>ProvinceID</w:t>
      </w:r>
      <w:r>
        <w:t>*</w:t>
      </w:r>
      <w:r>
        <w:t>)</w:t>
      </w:r>
    </w:p>
    <w:p>
      <w:pPr>
        <w:spacing w:after="160"/>
      </w:pPr>
      <w:r>
        <w:rPr>
          <w:b/>
        </w:rPr>
        <w:t>Province (</w:t>
      </w:r>
      <w:r>
        <w:rPr>
          <w:sz w:val="20"/>
          <w:u w:val="single"/>
        </w:rPr>
        <w:t>ProvinceID</w:t>
      </w:r>
      <w:r>
        <w:t xml:space="preserve">, </w:t>
      </w:r>
      <w:r>
        <w:rPr>
          <w:sz w:val="20"/>
          <w:u w:val="none"/>
        </w:rPr>
        <w:t>ProvinceName</w:t>
      </w:r>
      <w:r>
        <w:t>)</w:t>
      </w:r>
    </w:p>
    <w:p>
      <w:pPr>
        <w:spacing w:after="160"/>
      </w:pPr>
      <w:r>
        <w:rPr>
          <w:b/>
        </w:rPr>
        <w:t>RentalExtra (</w:t>
      </w:r>
      <w:r>
        <w:rPr>
          <w:sz w:val="20"/>
          <w:u w:val="single"/>
        </w:rPr>
        <w:t>ExtraID</w:t>
      </w:r>
      <w:r>
        <w:t xml:space="preserve">, </w:t>
      </w:r>
      <w:r>
        <w:rPr>
          <w:sz w:val="20"/>
          <w:u w:val="none"/>
        </w:rPr>
        <w:t>ExtraName</w:t>
      </w:r>
      <w:r>
        <w:t>)</w:t>
      </w:r>
    </w:p>
    <w:p>
      <w:pPr>
        <w:spacing w:after="160"/>
      </w:pPr>
      <w:r>
        <w:rPr>
          <w:b/>
        </w:rPr>
        <w:t>BookingExtra (</w:t>
      </w:r>
      <w:r>
        <w:rPr>
          <w:sz w:val="20"/>
          <w:u w:val="single"/>
        </w:rPr>
        <w:t>BookingID</w:t>
      </w:r>
      <w:r>
        <w:t>*</w:t>
      </w:r>
      <w:r>
        <w:t xml:space="preserve">, </w:t>
      </w:r>
      <w:r>
        <w:rPr>
          <w:sz w:val="20"/>
          <w:u w:val="single"/>
        </w:rPr>
        <w:t>ExtraID</w:t>
      </w:r>
      <w:r>
        <w:t>*</w:t>
      </w:r>
      <w:r>
        <w:t xml:space="preserve">, </w:t>
      </w:r>
      <w:r>
        <w:rPr>
          <w:sz w:val="20"/>
          <w:u w:val="none"/>
        </w:rPr>
        <w:t>Quantity</w:t>
      </w:r>
      <w:r>
        <w:t xml:space="preserve">, </w:t>
      </w:r>
      <w:r>
        <w:rPr>
          <w:sz w:val="20"/>
          <w:u w:val="none"/>
        </w:rPr>
        <w:t>UnitPrice</w:t>
      </w:r>
      <w:r>
        <w:t>)</w:t>
      </w:r>
    </w:p>
    <w:p>
      <w:r>
        <w:t>Dependencies separated:</w:t>
        <w:br/>
        <w:t>CustomerID → CustomerName</w:t>
        <w:br/>
        <w:t>BranchID → BranchName, CityID</w:t>
        <w:br/>
        <w:t>CityID → CityName, ProvinceID</w:t>
        <w:br/>
        <w:t>ProvinceID → ProvinceName</w:t>
      </w:r>
    </w:p>
    <w:p>
      <w:r>
        <w:t>Originally BookingID → CustomerID → CustomerName and BookingID → PickupBranchID → CityID → ProvinceID caused indirect dependencies. Customer and location descriptions now depend on their own relation keys. RentalExtra and BookingExtra already satisfy 3NF for the stated attributes and assumptions.</w:t>
      </w:r>
    </w:p>
    <w:p>
      <w:r>
        <w:t>PickupBranchID references BranchID. VehicleID references the independently normalised Vehicle relation. The live system applies the same Branch reference to ReturnBranchID. Underlined attributes are primary keys; * marks foreign keys. These are projected relations, not a replacement migration script.</w:t>
      </w:r>
    </w:p>
    <w:p>
      <w:r>
        <w:br w:type="page"/>
      </w:r>
    </w:p>
    <w:p>
      <w:pPr>
        <w:pStyle w:val="Heading1"/>
      </w:pPr>
      <w:r>
        <w:t>Other entities and physical implementation</w:t>
      </w:r>
    </w:p>
    <w:p>
      <w:pPr>
        <w:pStyle w:val="Heading2"/>
      </w:pPr>
      <w:r>
        <w:t>Vehicle catalogue normalization</w:t>
      </w:r>
    </w:p>
    <w:p>
      <w:r>
        <w:t>UNF: VehicleSheet(VehicleID, ModelID, Brand, ModelName, CategoryID, CategoryName, {FeatureID, FeatureName}, {ImagePosition, ImageURL}).</w:t>
        <w:br/>
        <w:t>1NF: remove the repeating groups to VehicleFeatureFlat(VehicleID, FeatureID, FeatureName) and VehicleImage(VehicleID, ImagePosition, ImageURL). The copied VehicleID is part of each new compound key.</w:t>
        <w:br/>
        <w:t>2NF: move FeatureName, determined by FeatureID, to Feature. Keep VehicleFeature(VehicleID, FeatureID).</w:t>
        <w:br/>
        <w:t>3NF: separate VehicleModel(ModelID, Brand, ModelName, CategoryID) and VehicleCategory(CategoryID, CategoryName). Vehicle retains ModelID as its foreign key. Each step uses the same tests as the booking example.</w:t>
      </w:r>
    </w:p>
    <w:p>
      <w:pPr>
        <w:pStyle w:val="Heading2"/>
      </w:pPr>
      <w:r>
        <w:t>How the logical design maps to MySQL</w:t>
      </w:r>
    </w:p>
    <w:tbl>
      <w:tblPr>
        <w:tblStyle w:val="LightShading-Accent1"/>
        <w:tblW w:type="auto" w:w="0"/>
        <w:tblLook w:firstColumn="1" w:firstRow="1" w:lastColumn="0" w:lastRow="0" w:noHBand="0" w:noVBand="1" w:val="04A0"/>
      </w:tblPr>
      <w:tblGrid>
        <w:gridCol w:w="4946"/>
        <w:gridCol w:w="4946"/>
      </w:tblGrid>
      <w:tr>
        <w:trPr>
          <w:tblHeader/>
          <w:cantSplit/>
        </w:trPr>
        <w:tc>
          <w:tcPr>
            <w:tcW w:type="dxa" w:w="4946"/>
          </w:tcPr>
          <w:p>
            <w:pPr>
              <w:spacing w:after="60"/>
            </w:pPr>
            <w:r>
              <w:rPr>
                <w:b/>
                <w:sz w:val="18"/>
                <w:u w:val="none"/>
              </w:rPr>
              <w:t>Logical design</w:t>
            </w:r>
          </w:p>
        </w:tc>
        <w:tc>
          <w:tcPr>
            <w:tcW w:type="dxa" w:w="4946"/>
          </w:tcPr>
          <w:p>
            <w:pPr>
              <w:spacing w:after="60"/>
            </w:pPr>
            <w:r>
              <w:rPr>
                <w:b/>
                <w:sz w:val="18"/>
                <w:u w:val="none"/>
              </w:rPr>
              <w:t>Implemented choice</w:t>
            </w:r>
          </w:p>
        </w:tc>
      </w:tr>
      <w:tr>
        <w:trPr>
          <w:cantSplit/>
        </w:trPr>
        <w:tc>
          <w:tcPr>
            <w:tcW w:type="dxa" w:w="4946"/>
          </w:tcPr>
          <w:p>
            <w:pPr>
              <w:spacing w:after="60"/>
            </w:pPr>
            <w:r>
              <w:rPr>
                <w:sz w:val="18"/>
              </w:rPr>
              <w:t>CustomerName</w:t>
            </w:r>
          </w:p>
        </w:tc>
        <w:tc>
          <w:tcPr>
            <w:tcW w:type="dxa" w:w="4946"/>
          </w:tcPr>
          <w:p>
            <w:pPr>
              <w:spacing w:after="60"/>
            </w:pPr>
            <w:r>
              <w:rPr>
                <w:sz w:val="18"/>
              </w:rPr>
              <w:t>Customer stores first_name and last_name.</w:t>
            </w:r>
          </w:p>
        </w:tc>
      </w:tr>
      <w:tr>
        <w:trPr>
          <w:cantSplit/>
        </w:trPr>
        <w:tc>
          <w:tcPr>
            <w:tcW w:type="dxa" w:w="4946"/>
          </w:tcPr>
          <w:p>
            <w:pPr>
              <w:spacing w:after="60"/>
            </w:pPr>
            <w:r>
              <w:rPr>
                <w:sz w:val="18"/>
              </w:rPr>
              <w:t>BookingExtra compound key</w:t>
            </w:r>
          </w:p>
        </w:tc>
        <w:tc>
          <w:tcPr>
            <w:tcW w:type="dxa" w:w="4946"/>
          </w:tcPr>
          <w:p>
            <w:pPr>
              <w:spacing w:after="60"/>
            </w:pPr>
            <w:r>
              <w:rPr>
                <w:sz w:val="18"/>
              </w:rPr>
              <w:t>booking_extra_id is the primary key; UNIQUE(booking_id, extra_id) preserves the business key.</w:t>
            </w:r>
          </w:p>
        </w:tc>
      </w:tr>
      <w:tr>
        <w:trPr>
          <w:cantSplit/>
        </w:trPr>
        <w:tc>
          <w:tcPr>
            <w:tcW w:type="dxa" w:w="4946"/>
          </w:tcPr>
          <w:p>
            <w:pPr>
              <w:spacing w:after="60"/>
            </w:pPr>
            <w:r>
              <w:rPr>
                <w:sz w:val="18"/>
              </w:rPr>
              <w:t>Vehicle image compound key</w:t>
            </w:r>
          </w:p>
        </w:tc>
        <w:tc>
          <w:tcPr>
            <w:tcW w:type="dxa" w:w="4946"/>
          </w:tcPr>
          <w:p>
            <w:pPr>
              <w:spacing w:after="60"/>
            </w:pPr>
            <w:r>
              <w:rPr>
                <w:sz w:val="18"/>
              </w:rPr>
              <w:t>image_id is the primary key; the live schema also controls image ordering and cover selection.</w:t>
            </w:r>
          </w:p>
        </w:tc>
      </w:tr>
      <w:tr>
        <w:trPr>
          <w:cantSplit/>
        </w:trPr>
        <w:tc>
          <w:tcPr>
            <w:tcW w:type="dxa" w:w="4946"/>
          </w:tcPr>
          <w:p>
            <w:pPr>
              <w:spacing w:after="60"/>
            </w:pPr>
            <w:r>
              <w:rPr>
                <w:sz w:val="18"/>
              </w:rPr>
              <w:t>Current descriptions</w:t>
            </w:r>
          </w:p>
        </w:tc>
        <w:tc>
          <w:tcPr>
            <w:tcW w:type="dxa" w:w="4946"/>
          </w:tcPr>
          <w:p>
            <w:pPr>
              <w:spacing w:after="60"/>
            </w:pPr>
            <w:r>
              <w:rPr>
                <w:sz w:val="18"/>
              </w:rPr>
              <w:t>Booking retains customer and vehicle name snapshots; BookingExtra retains the agreed extra description. These describe the booking-time state, not necessarily current catalogue values.</w:t>
            </w:r>
          </w:p>
        </w:tc>
      </w:tr>
      <w:tr>
        <w:trPr>
          <w:cantSplit/>
        </w:trPr>
        <w:tc>
          <w:tcPr>
            <w:tcW w:type="dxa" w:w="4946"/>
          </w:tcPr>
          <w:p>
            <w:pPr>
              <w:spacing w:after="60"/>
            </w:pPr>
            <w:r>
              <w:rPr>
                <w:sz w:val="18"/>
              </w:rPr>
              <w:t>Agreed prices</w:t>
            </w:r>
          </w:p>
        </w:tc>
        <w:tc>
          <w:tcPr>
            <w:tcW w:type="dxa" w:w="4946"/>
          </w:tcPr>
          <w:p>
            <w:pPr>
              <w:spacing w:after="60"/>
            </w:pPr>
            <w:r>
              <w:rPr>
                <w:sz w:val="18"/>
              </w:rPr>
              <w:t>daily_rate_applied and unit_price preserve the original agreement. Repricing the catalogue must not rewrite old bookings.</w:t>
            </w:r>
          </w:p>
        </w:tc>
      </w:tr>
      <w:tr>
        <w:trPr>
          <w:cantSplit/>
        </w:trPr>
        <w:tc>
          <w:tcPr>
            <w:tcW w:type="dxa" w:w="4946"/>
          </w:tcPr>
          <w:p>
            <w:pPr>
              <w:spacing w:after="60"/>
            </w:pPr>
            <w:r>
              <w:rPr>
                <w:sz w:val="18"/>
              </w:rPr>
              <w:t>Calculated values</w:t>
            </w:r>
          </w:p>
        </w:tc>
        <w:tc>
          <w:tcPr>
            <w:tcW w:type="dxa" w:w="4946"/>
          </w:tcPr>
          <w:p>
            <w:pPr>
              <w:spacing w:after="60"/>
            </w:pPr>
            <w:r>
              <w:rPr>
                <w:sz w:val="18"/>
              </w:rPr>
              <w:t>MySQL generates rental_days, rental_subtotal, total_cost and line_total. extras_total is a stored aggregate managed with booking extras in the application transaction.</w:t>
            </w:r>
          </w:p>
        </w:tc>
      </w:tr>
    </w:tbl>
    <w:p>
      <w:r>
        <w:t>The logical projection is normalised to 3NF under the stated dependencies. The full physical schema should not be presented as strictly 3NF without qualification: it includes calculated values, stored aggregates and historical snapshots. Historical prices are time-specific facts; they are not automatically erroneous duplicates of current prices.</w:t>
      </w:r>
    </w:p>
    <w:p>
      <w:r>
        <w:br w:type="page"/>
      </w:r>
    </w:p>
    <w:p>
      <w:pPr>
        <w:pStyle w:val="Heading1"/>
      </w:pPr>
      <w:r>
        <w:t>Entity inventory and sources</w:t>
      </w:r>
    </w:p>
    <w:tbl>
      <w:tblPr>
        <w:tblStyle w:val="LightShading-Accent1"/>
        <w:tblW w:type="auto" w:w="0"/>
        <w:tblLook w:firstColumn="1" w:firstRow="1" w:lastColumn="0" w:lastRow="0" w:noHBand="0" w:noVBand="1" w:val="04A0"/>
      </w:tblPr>
      <w:tblGrid>
        <w:gridCol w:w="4946"/>
        <w:gridCol w:w="4946"/>
      </w:tblGrid>
      <w:tr>
        <w:trPr>
          <w:tblHeader/>
          <w:cantSplit/>
        </w:trPr>
        <w:tc>
          <w:tcPr>
            <w:tcW w:type="dxa" w:w="4946"/>
          </w:tcPr>
          <w:p>
            <w:pPr>
              <w:spacing w:after="60"/>
            </w:pPr>
            <w:r>
              <w:rPr>
                <w:b/>
                <w:sz w:val="18"/>
                <w:u w:val="none"/>
              </w:rPr>
              <w:t>Entity</w:t>
            </w:r>
          </w:p>
        </w:tc>
        <w:tc>
          <w:tcPr>
            <w:tcW w:type="dxa" w:w="4946"/>
          </w:tcPr>
          <w:p>
            <w:pPr>
              <w:spacing w:after="60"/>
            </w:pPr>
            <w:r>
              <w:rPr>
                <w:b/>
                <w:sz w:val="18"/>
                <w:u w:val="none"/>
              </w:rPr>
              <w:t>Purpose</w:t>
            </w:r>
          </w:p>
        </w:tc>
      </w:tr>
      <w:tr>
        <w:trPr>
          <w:cantSplit/>
        </w:trPr>
        <w:tc>
          <w:tcPr>
            <w:tcW w:type="dxa" w:w="4946"/>
          </w:tcPr>
          <w:p>
            <w:pPr>
              <w:spacing w:after="60"/>
            </w:pPr>
            <w:r>
              <w:rPr>
                <w:sz w:val="18"/>
              </w:rPr>
              <w:t>Province / City / Branch</w:t>
            </w:r>
          </w:p>
        </w:tc>
        <w:tc>
          <w:tcPr>
            <w:tcW w:type="dxa" w:w="4946"/>
          </w:tcPr>
          <w:p>
            <w:pPr>
              <w:spacing w:after="60"/>
            </w:pPr>
            <w:r>
              <w:rPr>
                <w:sz w:val="18"/>
              </w:rPr>
              <w:t>Geographic hierarchy and rental locations (3 tables).</w:t>
            </w:r>
          </w:p>
        </w:tc>
      </w:tr>
      <w:tr>
        <w:trPr>
          <w:cantSplit/>
        </w:trPr>
        <w:tc>
          <w:tcPr>
            <w:tcW w:type="dxa" w:w="4946"/>
          </w:tcPr>
          <w:p>
            <w:pPr>
              <w:spacing w:after="60"/>
            </w:pPr>
            <w:r>
              <w:rPr>
                <w:sz w:val="18"/>
              </w:rPr>
              <w:t>VehicleCategory / VehicleModel</w:t>
            </w:r>
          </w:p>
        </w:tc>
        <w:tc>
          <w:tcPr>
            <w:tcW w:type="dxa" w:w="4946"/>
          </w:tcPr>
          <w:p>
            <w:pPr>
              <w:spacing w:after="60"/>
            </w:pPr>
            <w:r>
              <w:rPr>
                <w:sz w:val="18"/>
              </w:rPr>
              <w:t>Category and shared model definitions (2 tables).</w:t>
            </w:r>
          </w:p>
        </w:tc>
      </w:tr>
      <w:tr>
        <w:trPr>
          <w:cantSplit/>
        </w:trPr>
        <w:tc>
          <w:tcPr>
            <w:tcW w:type="dxa" w:w="4946"/>
          </w:tcPr>
          <w:p>
            <w:pPr>
              <w:spacing w:after="60"/>
            </w:pPr>
            <w:r>
              <w:rPr>
                <w:sz w:val="18"/>
              </w:rPr>
              <w:t>Vehicle</w:t>
            </w:r>
          </w:p>
        </w:tc>
        <w:tc>
          <w:tcPr>
            <w:tcW w:type="dxa" w:w="4946"/>
          </w:tcPr>
          <w:p>
            <w:pPr>
              <w:spacing w:after="60"/>
            </w:pPr>
            <w:r>
              <w:rPr>
                <w:sz w:val="18"/>
              </w:rPr>
              <w:t>Individual registered vehicle, rate and branch.</w:t>
            </w:r>
          </w:p>
        </w:tc>
      </w:tr>
      <w:tr>
        <w:trPr>
          <w:cantSplit/>
        </w:trPr>
        <w:tc>
          <w:tcPr>
            <w:tcW w:type="dxa" w:w="4946"/>
          </w:tcPr>
          <w:p>
            <w:pPr>
              <w:spacing w:after="60"/>
            </w:pPr>
            <w:r>
              <w:rPr>
                <w:sz w:val="18"/>
              </w:rPr>
              <w:t>VehicleImage</w:t>
            </w:r>
          </w:p>
        </w:tc>
        <w:tc>
          <w:tcPr>
            <w:tcW w:type="dxa" w:w="4946"/>
          </w:tcPr>
          <w:p>
            <w:pPr>
              <w:spacing w:after="60"/>
            </w:pPr>
            <w:r>
              <w:rPr>
                <w:sz w:val="18"/>
              </w:rPr>
              <w:t>Vehicle photographs and ordering.</w:t>
            </w:r>
          </w:p>
        </w:tc>
      </w:tr>
      <w:tr>
        <w:trPr>
          <w:cantSplit/>
        </w:trPr>
        <w:tc>
          <w:tcPr>
            <w:tcW w:type="dxa" w:w="4946"/>
          </w:tcPr>
          <w:p>
            <w:pPr>
              <w:spacing w:after="60"/>
            </w:pPr>
            <w:r>
              <w:rPr>
                <w:sz w:val="18"/>
              </w:rPr>
              <w:t>Feature / VehicleFeature</w:t>
            </w:r>
          </w:p>
        </w:tc>
        <w:tc>
          <w:tcPr>
            <w:tcW w:type="dxa" w:w="4946"/>
          </w:tcPr>
          <w:p>
            <w:pPr>
              <w:spacing w:after="60"/>
            </w:pPr>
            <w:r>
              <w:rPr>
                <w:sz w:val="18"/>
              </w:rPr>
              <w:t>Equipment definitions and vehicle-feature links (2 tables).</w:t>
            </w:r>
          </w:p>
        </w:tc>
      </w:tr>
      <w:tr>
        <w:trPr>
          <w:cantSplit/>
        </w:trPr>
        <w:tc>
          <w:tcPr>
            <w:tcW w:type="dxa" w:w="4946"/>
          </w:tcPr>
          <w:p>
            <w:pPr>
              <w:spacing w:after="60"/>
            </w:pPr>
            <w:r>
              <w:rPr>
                <w:sz w:val="18"/>
              </w:rPr>
              <w:t>Customer</w:t>
            </w:r>
          </w:p>
        </w:tc>
        <w:tc>
          <w:tcPr>
            <w:tcW w:type="dxa" w:w="4946"/>
          </w:tcPr>
          <w:p>
            <w:pPr>
              <w:spacing w:after="60"/>
            </w:pPr>
            <w:r>
              <w:rPr>
                <w:sz w:val="18"/>
              </w:rPr>
              <w:t>Personal and licence details.</w:t>
            </w:r>
          </w:p>
        </w:tc>
      </w:tr>
      <w:tr>
        <w:trPr>
          <w:cantSplit/>
        </w:trPr>
        <w:tc>
          <w:tcPr>
            <w:tcW w:type="dxa" w:w="4946"/>
          </w:tcPr>
          <w:p>
            <w:pPr>
              <w:spacing w:after="60"/>
            </w:pPr>
            <w:r>
              <w:rPr>
                <w:sz w:val="18"/>
              </w:rPr>
              <w:t>AppUser</w:t>
            </w:r>
          </w:p>
        </w:tc>
        <w:tc>
          <w:tcPr>
            <w:tcW w:type="dxa" w:w="4946"/>
          </w:tcPr>
          <w:p>
            <w:pPr>
              <w:spacing w:after="60"/>
            </w:pPr>
            <w:r>
              <w:rPr>
                <w:sz w:val="18"/>
              </w:rPr>
              <w:t>Login identity, password hash and account role.</w:t>
            </w:r>
          </w:p>
        </w:tc>
      </w:tr>
      <w:tr>
        <w:trPr>
          <w:cantSplit/>
        </w:trPr>
        <w:tc>
          <w:tcPr>
            <w:tcW w:type="dxa" w:w="4946"/>
          </w:tcPr>
          <w:p>
            <w:pPr>
              <w:spacing w:after="60"/>
            </w:pPr>
            <w:r>
              <w:rPr>
                <w:sz w:val="18"/>
              </w:rPr>
              <w:t>UserSession / PasswordResetToken</w:t>
            </w:r>
          </w:p>
        </w:tc>
        <w:tc>
          <w:tcPr>
            <w:tcW w:type="dxa" w:w="4946"/>
          </w:tcPr>
          <w:p>
            <w:pPr>
              <w:spacing w:after="60"/>
            </w:pPr>
            <w:r>
              <w:rPr>
                <w:sz w:val="18"/>
              </w:rPr>
              <w:t>Session and reset-token hashes (2 tables).</w:t>
            </w:r>
          </w:p>
        </w:tc>
      </w:tr>
      <w:tr>
        <w:trPr>
          <w:cantSplit/>
        </w:trPr>
        <w:tc>
          <w:tcPr>
            <w:tcW w:type="dxa" w:w="4946"/>
          </w:tcPr>
          <w:p>
            <w:pPr>
              <w:spacing w:after="60"/>
            </w:pPr>
            <w:r>
              <w:rPr>
                <w:sz w:val="18"/>
              </w:rPr>
              <w:t>Booking</w:t>
            </w:r>
          </w:p>
        </w:tc>
        <w:tc>
          <w:tcPr>
            <w:tcW w:type="dxa" w:w="4946"/>
          </w:tcPr>
          <w:p>
            <w:pPr>
              <w:spacing w:after="60"/>
            </w:pPr>
            <w:r>
              <w:rPr>
                <w:sz w:val="18"/>
              </w:rPr>
              <w:t>Reservation dates, parties, vehicle and agreed values.</w:t>
            </w:r>
          </w:p>
        </w:tc>
      </w:tr>
      <w:tr>
        <w:trPr>
          <w:cantSplit/>
        </w:trPr>
        <w:tc>
          <w:tcPr>
            <w:tcW w:type="dxa" w:w="4946"/>
          </w:tcPr>
          <w:p>
            <w:pPr>
              <w:spacing w:after="60"/>
            </w:pPr>
            <w:r>
              <w:rPr>
                <w:sz w:val="18"/>
              </w:rPr>
              <w:t>RentalExtra / BookingExtra</w:t>
            </w:r>
          </w:p>
        </w:tc>
        <w:tc>
          <w:tcPr>
            <w:tcW w:type="dxa" w:w="4946"/>
          </w:tcPr>
          <w:p>
            <w:pPr>
              <w:spacing w:after="60"/>
            </w:pPr>
            <w:r>
              <w:rPr>
                <w:sz w:val="18"/>
              </w:rPr>
              <w:t>Extra definitions and booking selections (2 tables).</w:t>
            </w:r>
          </w:p>
        </w:tc>
      </w:tr>
      <w:tr>
        <w:trPr>
          <w:cantSplit/>
        </w:trPr>
        <w:tc>
          <w:tcPr>
            <w:tcW w:type="dxa" w:w="4946"/>
          </w:tcPr>
          <w:p>
            <w:pPr>
              <w:spacing w:after="60"/>
            </w:pPr>
            <w:r>
              <w:rPr>
                <w:sz w:val="18"/>
              </w:rPr>
              <w:t>Payment</w:t>
            </w:r>
          </w:p>
        </w:tc>
        <w:tc>
          <w:tcPr>
            <w:tcW w:type="dxa" w:w="4946"/>
          </w:tcPr>
          <w:p>
            <w:pPr>
              <w:spacing w:after="60"/>
            </w:pPr>
            <w:r>
              <w:rPr>
                <w:sz w:val="18"/>
              </w:rPr>
              <w:t>Payment attempts and outcomes.</w:t>
            </w:r>
          </w:p>
        </w:tc>
      </w:tr>
      <w:tr>
        <w:trPr>
          <w:cantSplit/>
        </w:trPr>
        <w:tc>
          <w:tcPr>
            <w:tcW w:type="dxa" w:w="4946"/>
          </w:tcPr>
          <w:p>
            <w:pPr>
              <w:spacing w:after="60"/>
            </w:pPr>
            <w:r>
              <w:rPr>
                <w:sz w:val="18"/>
              </w:rPr>
              <w:t>CancellationRequest</w:t>
            </w:r>
          </w:p>
        </w:tc>
        <w:tc>
          <w:tcPr>
            <w:tcW w:type="dxa" w:w="4946"/>
          </w:tcPr>
          <w:p>
            <w:pPr>
              <w:spacing w:after="60"/>
            </w:pPr>
            <w:r>
              <w:rPr>
                <w:sz w:val="18"/>
              </w:rPr>
              <w:t>Cancellation requests and review decisions.</w:t>
            </w:r>
          </w:p>
        </w:tc>
      </w:tr>
      <w:tr>
        <w:trPr>
          <w:cantSplit/>
        </w:trPr>
        <w:tc>
          <w:tcPr>
            <w:tcW w:type="dxa" w:w="4946"/>
          </w:tcPr>
          <w:p>
            <w:pPr>
              <w:spacing w:after="60"/>
            </w:pPr>
            <w:r>
              <w:rPr>
                <w:sz w:val="18"/>
              </w:rPr>
              <w:t>BookingStatusHistory</w:t>
            </w:r>
          </w:p>
        </w:tc>
        <w:tc>
          <w:tcPr>
            <w:tcW w:type="dxa" w:w="4946"/>
          </w:tcPr>
          <w:p>
            <w:pPr>
              <w:spacing w:after="60"/>
            </w:pPr>
            <w:r>
              <w:rPr>
                <w:sz w:val="18"/>
              </w:rPr>
              <w:t>Booking status audit trail.</w:t>
            </w:r>
          </w:p>
        </w:tc>
      </w:tr>
      <w:tr>
        <w:trPr>
          <w:cantSplit/>
        </w:trPr>
        <w:tc>
          <w:tcPr>
            <w:tcW w:type="dxa" w:w="4946"/>
          </w:tcPr>
          <w:p>
            <w:pPr>
              <w:spacing w:after="60"/>
            </w:pPr>
            <w:r>
              <w:rPr>
                <w:sz w:val="18"/>
              </w:rPr>
              <w:t>BookingEmail</w:t>
            </w:r>
          </w:p>
        </w:tc>
        <w:tc>
          <w:tcPr>
            <w:tcW w:type="dxa" w:w="4946"/>
          </w:tcPr>
          <w:p>
            <w:pPr>
              <w:spacing w:after="60"/>
            </w:pPr>
            <w:r>
              <w:rPr>
                <w:sz w:val="18"/>
              </w:rPr>
              <w:t>Booking email queue and delivery records.</w:t>
            </w:r>
          </w:p>
        </w:tc>
      </w:tr>
      <w:tr>
        <w:trPr>
          <w:cantSplit/>
        </w:trPr>
        <w:tc>
          <w:tcPr>
            <w:tcW w:type="dxa" w:w="4946"/>
          </w:tcPr>
          <w:p>
            <w:pPr>
              <w:spacing w:after="60"/>
            </w:pPr>
            <w:r>
              <w:rPr>
                <w:sz w:val="18"/>
              </w:rPr>
              <w:t>VehicleReview</w:t>
            </w:r>
          </w:p>
        </w:tc>
        <w:tc>
          <w:tcPr>
            <w:tcW w:type="dxa" w:w="4946"/>
          </w:tcPr>
          <w:p>
            <w:pPr>
              <w:spacing w:after="60"/>
            </w:pPr>
            <w:r>
              <w:rPr>
                <w:sz w:val="18"/>
              </w:rPr>
              <w:t>At most one review per booking.</w:t>
            </w:r>
          </w:p>
        </w:tc>
      </w:tr>
    </w:tbl>
    <w:p>
      <w:pPr>
        <w:pStyle w:val="Heading2"/>
      </w:pPr>
      <w:r>
        <w:t>Sources and scope</w:t>
      </w:r>
    </w:p>
    <w:p>
      <w:r>
        <w:t>Entity Relationships to Normal Forms, supplied lecture PDF: pages 11–27 for entities, relationships and keys; pages 28–35 for anomalies and stages; pages 36–55 for the worked transformation; pages 56–57 for the normal-form rules.</w:t>
      </w:r>
    </w:p>
    <w:p>
      <w:r>
        <w:t>MySQL drift_car_rental: table, column, index and foreign-key metadata inspected on 7 October 2026. The ERD represents all 21 core tables and all 24 declared foreign keys. Generated cancellation constraints and unique review/account links were checked against the schema.</w:t>
      </w:r>
    </w:p>
    <w:p>
      <w:r>
        <w:t>Transaction Management and Concurrency Control and Recovery in DBMS, pages 3 and 7–8, provides the transaction context for preserving booking consistency. Distributed Database Management Systems, pages 3–4, distinguishes a distributed database from a central database. The Data Warehouse and Data Mining, pages 2–6, distinguishes analytical reporting from operational storage. Drift’s operational schema is not described here as a distributed database or a data warehouse.</w:t>
      </w:r>
    </w:p>
    <w:p>
      <w:r>
        <w:t>The normalization examples follow the lecturer’s method, using underlined keys and * for foreign keys. Later normal forms are outside this worked UNF-to-3NF example.</w:t>
      </w:r>
    </w:p>
    <w:sectPr w:rsidR="00FC693F" w:rsidRPr="0006063C" w:rsidSect="00034616">
      <w:footerReference w:type="default" r:id="rId9"/>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b/>
      <w:bCs/>
      <w:color w:val="111111"/>
      <w:sz w:val="38"/>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00"/>
      <w:contextualSpacing/>
    </w:pPr>
    <w:rPr>
      <w:rFonts w:asciiTheme="majorHAnsi" w:eastAsiaTheme="majorEastAsia" w:hAnsiTheme="majorHAnsi" w:cstheme="majorBidi" w:ascii="Calibri" w:hAnsi="Calibri"/>
      <w:color w:val="111111"/>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