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377440" cy="1828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#2</w:t>
      </w:r>
    </w:p>
    <w:p>
      <w:pPr>
        <w:spacing w:before="0" w:after="40"/>
        <w:pBdr>
          <w:bottom w:val="single" w:sz="6" w:color="C8960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280" w:hRule="exact"/>
        </w:trPr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Student Name: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Teacher: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City, State: ___________________</w:t>
            </w:r>
          </w:p>
        </w:tc>
      </w:tr>
      <w:tr>
        <w:trPr>
          <w:trHeight w:val="280" w:hRule="exact"/>
        </w:trPr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Name: ____________________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Email: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WhatsApp: 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3CD"/>
          </w:tcPr>
          <w:p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</w:tbl>
    <w:p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>
      <w:pPr>
        <w:spacing w:before="0" w:after="40"/>
        <w:pBdr>
          <w:bottom w:val="single" w:sz="6" w:color="C8960C"/>
        </w:pBdr>
      </w:pPr>
    </w:p>
    <w:p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Misra Chapu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A composition that started on the samam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Malayalam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 Muthuswamy Dikshitar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A composition that started before the samam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Thyagaraja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A Sanskrit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A composition that started after the samam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Gopalakrishna Bharati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A Shyama Shastri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prati-madhyama ragam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 Tamil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Khanda Chapu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Adi thalam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A Purandaradasa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A composition by a non-trinity composer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A ragam with no Pa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A Papanasam Sivan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A ragam or composition sung only for mic testing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A ragam with no madhyamam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A Telugu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A Thani Avarthanam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 Kannada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</w:tr>
    </w:tbl>
    <w:p>
      <w:r>
        <w:br w:type="page"/>
      </w: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2194560" cy="1688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b/>
          <w:color w:val="1B6B6B"/>
          <w:sz w:val="20"/>
        </w:rPr>
        <w:t>Carnatic Bingo  |  Bingo Sheet #2</w:t>
      </w:r>
    </w:p>
    <w:p>
      <w:pPr>
        <w:spacing w:before="0" w:after="60"/>
        <w:pBdr>
          <w:bottom w:val="single" w:sz="6" w:color="C8960C"/>
        </w:pBdr>
      </w:pPr>
    </w:p>
    <w:p>
      <w:pPr>
        <w:spacing w:before="40" w:after="40"/>
        <w:jc w:val="center"/>
      </w:pPr>
      <w:r>
        <w:rPr>
          <w:b/>
          <w:color w:val="1B6B6B"/>
          <w:sz w:val="20"/>
        </w:rPr>
        <w:t>Concert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  <w:br/>
              <w:t>(A/T/N/K)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</w:tbl>
    <w:p>
      <w:pPr>
        <w:spacing w:before="100" w:after="40"/>
        <w:jc w:val="center"/>
      </w:pPr>
      <w:r>
        <w:rPr>
          <w:b/>
          <w:color w:val="1B6B6B"/>
          <w:sz w:val="20"/>
        </w:rPr>
        <w:t>Concert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val="36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</w:tbl>
    <w:p>
      <w:pPr>
        <w:spacing w:before="100" w:after="40"/>
        <w:jc w:val="center"/>
      </w:pPr>
      <w:r>
        <w:rPr>
          <w:b/>
          <w:color w:val="1B6B6B"/>
          <w:sz w:val="20"/>
        </w:rPr>
        <w:t>Multiple Choice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7776"/>
            <w:shd w:val="clear" w:color="auto" w:fill="FFF3CD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In Carnatic music, the rāga Todi belongs to which Melakarta?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A)  Hanumatodi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B)  Kharaharapriya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C)  Mayamalavagowla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D)  Shankarabharanam</w:t>
            </w:r>
          </w:p>
        </w:tc>
      </w:tr>
    </w:tbl>
    <w:p>
      <w:pPr>
        <w:spacing w:before="120" w:after="0"/>
        <w:pBdr>
          <w:top w:val="single" w:sz="6" w:color="C8960C"/>
        </w:pBdr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C693F" w:rsidRPr="0006063C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