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color w:val="000000"/>
          <w:sz w:val="26"/>
          <w:szCs w:val="26"/>
        </w:rPr>
      </w:pPr>
      <w:bookmarkStart w:colFirst="0" w:colLast="0" w:name="_n9yvkvxj3ba2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2024 NASA Space Apps Challenge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color w:val="000000"/>
          <w:sz w:val="26"/>
          <w:szCs w:val="26"/>
        </w:rPr>
      </w:pPr>
      <w:bookmarkStart w:colFirst="0" w:colLast="0" w:name="_1nqzzrq28ayj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SDGs in the classroom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kvmu6ngv0ix3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"Transforming the World: The Road of the SDGs"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color w:val="000000"/>
          <w:sz w:val="26"/>
          <w:szCs w:val="26"/>
        </w:rPr>
      </w:pPr>
      <w:bookmarkStart w:colFirst="0" w:colLast="0" w:name="_5lsupns61vf6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Lesson Plan: Sustainable Development Goals (SDG)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Educational level</w:t>
      </w:r>
      <w:r w:rsidDel="00000000" w:rsidR="00000000" w:rsidRPr="00000000">
        <w:rPr>
          <w:rtl w:val="0"/>
        </w:rPr>
        <w:t xml:space="preserve">: High School.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Duration of the class</w:t>
      </w:r>
      <w:r w:rsidDel="00000000" w:rsidR="00000000" w:rsidRPr="00000000">
        <w:rPr>
          <w:rtl w:val="0"/>
        </w:rPr>
        <w:t xml:space="preserve">: 50 minutes.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 of the Lesson Plan</w:t>
      </w:r>
      <w:r w:rsidDel="00000000" w:rsidR="00000000" w:rsidRPr="00000000">
        <w:rPr>
          <w:rtl w:val="0"/>
        </w:rPr>
        <w:t xml:space="preserve">: Reflect on individual and collective actions to contribute to the achievement of the Sustainable Development Goals (SDGs), focusing on SDG 15 through 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Informative Class 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Understand what the Sustainable Development Goals (SDGs) are and their global importance.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Identify the 17 SDGs and their relationship to local and global issues.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Theoretical introduction with a Canva presentation (10 min)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Educational Game (30 min)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closure with Kahoot (10 min)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 Projector, pre-made game, one electronic device per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Assess the acquired knowledge through student participation and interest, and conclude with a brief Kahoot! to reinforce the knowledge.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