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1: Ovarian Cancer Analytic Dataset Preparation</w:t>
      </w:r>
    </w:p>
    <w:p>
      <w:pPr>
        <w:pStyle w:val="Author"/>
      </w:pPr>
      <w:r>
        <w:t xml:space="preserve">Jiaqi Wang</w:t>
      </w:r>
    </w:p>
    <w:p>
      <w:pPr>
        <w:pStyle w:val="Date"/>
      </w:pPr>
      <w:r>
        <w:t xml:space="preserve">2025-10-10</w:t>
      </w:r>
    </w:p>
    <w:bookmarkStart w:id="20" w:name="introduction"/>
    <w:p>
      <w:pPr>
        <w:pStyle w:val="Heading2"/>
      </w:pPr>
      <w:r>
        <w:t xml:space="preserve">Introduction</w:t>
      </w:r>
    </w:p>
    <w:p>
      <w:pPr>
        <w:pStyle w:val="FirstParagraph"/>
      </w:pPr>
      <w:r>
        <w:t xml:space="preserve">Women with active ovarian cancer receive chemotherapy approximately every two to three weeks. Physicians are concerned about patients visiting the emergency department (ED) or being hospitalized between chemotherapy appointments. The goal of this project is to</w:t>
      </w:r>
      <w:r>
        <w:t xml:space="preserve"> </w:t>
      </w:r>
      <w:r>
        <w:rPr>
          <w:b/>
          <w:bCs/>
        </w:rPr>
        <w:t xml:space="preserve">process patient-level and encounter-level data</w:t>
      </w:r>
      <w:r>
        <w:t xml:space="preserve"> </w:t>
      </w:r>
      <w:r>
        <w:t xml:space="preserve">to create a clean, analytic dataset that will support future modeling of unanticipated hospital admissions (UHA).</w:t>
      </w:r>
    </w:p>
    <w:bookmarkEnd w:id="20"/>
    <w:bookmarkStart w:id="21" w:name="data-import"/>
    <w:p>
      <w:pPr>
        <w:pStyle w:val="Heading2"/>
      </w:pPr>
      <w:r>
        <w:t xml:space="preserve">1. Data Import</w:t>
      </w:r>
    </w:p>
    <w:p>
      <w:pPr>
        <w:pStyle w:val="FirstParagraph"/>
      </w:pPr>
      <w:r>
        <w:t xml:space="preserve">Both datasets are imported without hard-coding file paths using the here package.</w:t>
      </w:r>
    </w:p>
    <w:bookmarkEnd w:id="21"/>
    <w:bookmarkStart w:id="22" w:name="X25c682ac1ccfaf34c3e07df635b7e2e972ee1dc"/>
    <w:p>
      <w:pPr>
        <w:pStyle w:val="Heading2"/>
      </w:pPr>
      <w:r>
        <w:t xml:space="preserve">2. Merge the patient-level data into the encounter-level data</w:t>
      </w:r>
    </w:p>
    <w:p>
      <w:pPr>
        <w:pStyle w:val="FirstParagraph"/>
      </w:pPr>
      <w:r>
        <w:t xml:space="preserve">After merging the patient-level and encounter-level datasets using **MRN** as the unique identifier,  the analytic dataset now contains all encounter records with corresponding patient information.  </w:t>
      </w:r>
    </w:p>
    <w:p>
      <w:pPr>
        <w:pStyle w:val="BodyText"/>
      </w:pPr>
      <w:r>
        <w:t xml:space="preserve">Below is a brief preview showing the number of rows, variables, and the first few records.</w:t>
      </w:r>
    </w:p>
    <w:p>
      <w:pPr>
        <w:pStyle w:val="TableCaption"/>
      </w:pPr>
      <w:r>
        <w:t xml:space="preserve">Preview of Analytic Dataset (first 10 rows)</w:t>
      </w:r>
    </w:p>
    <w:tbl>
      <w:tblPr>
        <w:tblStyle w:val="Table"/>
        <w:tblW w:type="pct" w:w="5000"/>
        <w:tblLayout w:type="fixed"/>
        <w:tblLook w:firstRow="1" w:lastRow="0" w:firstColumn="0" w:lastColumn="0" w:noHBand="0" w:noVBand="0" w:val="0020"/>
        <w:tblCaption w:val="Preview of Analytic Dataset (first 10 rows)"/>
      </w:tblPr>
      <w:tblGrid>
        <w:gridCol w:w="548"/>
        <w:gridCol w:w="1097"/>
        <w:gridCol w:w="1568"/>
        <w:gridCol w:w="548"/>
        <w:gridCol w:w="548"/>
        <w:gridCol w:w="705"/>
        <w:gridCol w:w="548"/>
        <w:gridCol w:w="1097"/>
        <w:gridCol w:w="1254"/>
      </w:tblGrid>
      <w:tr>
        <w:trPr>
          <w:tblHeader w:val="on"/>
        </w:trPr>
        <w:tc>
          <w:tcPr/>
          <w:p>
            <w:pPr>
              <w:pStyle w:val="Compact"/>
              <w:jc w:val="left"/>
            </w:pPr>
            <w:r>
              <w:t xml:space="preserve">MRN</w:t>
            </w:r>
          </w:p>
        </w:tc>
        <w:tc>
          <w:tcPr/>
          <w:p>
            <w:pPr>
              <w:pStyle w:val="Compact"/>
              <w:jc w:val="center"/>
            </w:pPr>
            <w:r>
              <w:t xml:space="preserve">contact_date</w:t>
            </w:r>
          </w:p>
        </w:tc>
        <w:tc>
          <w:tcPr/>
          <w:p>
            <w:pPr>
              <w:pStyle w:val="Compact"/>
              <w:jc w:val="center"/>
            </w:pPr>
            <w:r>
              <w:t xml:space="preserve">enc_type</w:t>
            </w:r>
          </w:p>
        </w:tc>
        <w:tc>
          <w:tcPr/>
          <w:p>
            <w:pPr>
              <w:pStyle w:val="Compact"/>
              <w:jc w:val="center"/>
            </w:pPr>
            <w:r>
              <w:t xml:space="preserve">temp</w:t>
            </w:r>
          </w:p>
        </w:tc>
        <w:tc>
          <w:tcPr/>
          <w:p>
            <w:pPr>
              <w:pStyle w:val="Compact"/>
              <w:jc w:val="center"/>
            </w:pPr>
            <w:r>
              <w:t xml:space="preserve">WBC</w:t>
            </w:r>
          </w:p>
        </w:tc>
        <w:tc>
          <w:tcPr/>
          <w:p>
            <w:pPr>
              <w:pStyle w:val="Compact"/>
              <w:jc w:val="center"/>
            </w:pPr>
            <w:r>
              <w:t xml:space="preserve">BMI.r</w:t>
            </w:r>
          </w:p>
        </w:tc>
        <w:tc>
          <w:tcPr/>
          <w:p>
            <w:pPr>
              <w:pStyle w:val="Compact"/>
              <w:jc w:val="center"/>
            </w:pPr>
            <w:r>
              <w:t xml:space="preserve">race</w:t>
            </w:r>
          </w:p>
        </w:tc>
        <w:tc>
          <w:tcPr/>
          <w:p>
            <w:pPr>
              <w:pStyle w:val="Compact"/>
              <w:jc w:val="center"/>
            </w:pPr>
            <w:r>
              <w:t xml:space="preserve">ethnicity</w:t>
            </w:r>
          </w:p>
        </w:tc>
        <w:tc>
          <w:tcPr/>
          <w:p>
            <w:pPr>
              <w:pStyle w:val="Compact"/>
              <w:jc w:val="center"/>
            </w:pPr>
            <w:r>
              <w:t xml:space="preserve">financialclass</w:t>
            </w:r>
          </w:p>
        </w:tc>
      </w:tr>
      <w:tr>
        <w:tc>
          <w:tcPr/>
          <w:p>
            <w:pPr>
              <w:pStyle w:val="Compact"/>
              <w:jc w:val="left"/>
            </w:pPr>
            <w:r>
              <w:t xml:space="preserve">HJ9754</w:t>
            </w:r>
          </w:p>
        </w:tc>
        <w:tc>
          <w:tcPr/>
          <w:p>
            <w:pPr>
              <w:pStyle w:val="Compact"/>
              <w:jc w:val="center"/>
            </w:pPr>
            <w:r>
              <w:t xml:space="preserve">2016-06-26</w:t>
            </w:r>
          </w:p>
        </w:tc>
        <w:tc>
          <w:tcPr/>
          <w:p>
            <w:pPr>
              <w:pStyle w:val="Compact"/>
              <w:jc w:val="center"/>
            </w:pPr>
            <w:r>
              <w:t xml:space="preserve">Office visit</w:t>
            </w:r>
          </w:p>
        </w:tc>
        <w:tc>
          <w:tcPr/>
          <w:p>
            <w:pPr>
              <w:pStyle w:val="Compact"/>
              <w:jc w:val="center"/>
            </w:pPr>
            <w:r>
              <w:t xml:space="preserve">97.91</w:t>
            </w:r>
          </w:p>
        </w:tc>
        <w:tc>
          <w:tcPr/>
          <w:p>
            <w:pPr>
              <w:pStyle w:val="Compact"/>
              <w:jc w:val="center"/>
            </w:pPr>
            <w:r>
              <w:t xml:space="preserve">15.12</w:t>
            </w:r>
          </w:p>
        </w:tc>
        <w:tc>
          <w:tcPr/>
          <w:p>
            <w:pPr>
              <w:pStyle w:val="Compact"/>
              <w:jc w:val="center"/>
            </w:pPr>
            <w:r>
              <w:t xml:space="preserve">28.33</w:t>
            </w:r>
          </w:p>
        </w:tc>
        <w:tc>
          <w:tcPr/>
          <w:p>
            <w:pPr>
              <w:pStyle w:val="Compact"/>
              <w:jc w:val="center"/>
            </w:pPr>
            <w:r>
              <w:t xml:space="preserve">White</w:t>
            </w:r>
          </w:p>
        </w:tc>
        <w:tc>
          <w:tcPr/>
          <w:p>
            <w:pPr>
              <w:pStyle w:val="Compact"/>
              <w:jc w:val="center"/>
            </w:pPr>
            <w:r>
              <w:t xml:space="preserve">non-Hispanic</w:t>
            </w:r>
          </w:p>
        </w:tc>
        <w:tc>
          <w:tcPr/>
          <w:p>
            <w:pPr>
              <w:pStyle w:val="Compact"/>
              <w:jc w:val="center"/>
            </w:pPr>
            <w:r>
              <w:t xml:space="preserve">Private</w:t>
            </w:r>
          </w:p>
        </w:tc>
      </w:tr>
      <w:tr>
        <w:tc>
          <w:tcPr/>
          <w:p>
            <w:pPr>
              <w:pStyle w:val="Compact"/>
              <w:jc w:val="left"/>
            </w:pPr>
            <w:r>
              <w:t xml:space="preserve">GE5166</w:t>
            </w:r>
          </w:p>
        </w:tc>
        <w:tc>
          <w:tcPr/>
          <w:p>
            <w:pPr>
              <w:pStyle w:val="Compact"/>
              <w:jc w:val="center"/>
            </w:pPr>
            <w:r>
              <w:t xml:space="preserve">2016-08-08</w:t>
            </w:r>
          </w:p>
        </w:tc>
        <w:tc>
          <w:tcPr/>
          <w:p>
            <w:pPr>
              <w:pStyle w:val="Compact"/>
              <w:jc w:val="center"/>
            </w:pPr>
            <w:r>
              <w:t xml:space="preserve">Office visit</w:t>
            </w:r>
          </w:p>
        </w:tc>
        <w:tc>
          <w:tcPr/>
          <w:p>
            <w:pPr>
              <w:pStyle w:val="Compact"/>
              <w:jc w:val="center"/>
            </w:pPr>
            <w:r>
              <w:t xml:space="preserve">99.03</w:t>
            </w:r>
          </w:p>
        </w:tc>
        <w:tc>
          <w:tcPr/>
          <w:p>
            <w:pPr>
              <w:pStyle w:val="Compact"/>
              <w:jc w:val="center"/>
            </w:pPr>
            <w:r>
              <w:t xml:space="preserve">6.86</w:t>
            </w:r>
          </w:p>
        </w:tc>
        <w:tc>
          <w:tcPr/>
          <w:p>
            <w:pPr>
              <w:pStyle w:val="Compact"/>
              <w:jc w:val="center"/>
            </w:pPr>
            <w:r>
              <w:t xml:space="preserve">38.22</w:t>
            </w:r>
          </w:p>
        </w:tc>
        <w:tc>
          <w:tcPr/>
          <w:p>
            <w:pPr>
              <w:pStyle w:val="Compact"/>
              <w:jc w:val="center"/>
            </w:pPr>
            <w:r>
              <w:t xml:space="preserve">White</w:t>
            </w:r>
          </w:p>
        </w:tc>
        <w:tc>
          <w:tcPr/>
          <w:p>
            <w:pPr>
              <w:pStyle w:val="Compact"/>
              <w:jc w:val="center"/>
            </w:pPr>
            <w:r>
              <w:t xml:space="preserve">non-Hispanic</w:t>
            </w:r>
          </w:p>
        </w:tc>
        <w:tc>
          <w:tcPr/>
          <w:p>
            <w:pPr>
              <w:pStyle w:val="Compact"/>
              <w:jc w:val="center"/>
            </w:pPr>
            <w:r>
              <w:t xml:space="preserve">Private</w:t>
            </w:r>
          </w:p>
        </w:tc>
      </w:tr>
      <w:tr>
        <w:tc>
          <w:tcPr/>
          <w:p>
            <w:pPr>
              <w:pStyle w:val="Compact"/>
              <w:jc w:val="left"/>
            </w:pPr>
            <w:r>
              <w:t xml:space="preserve">XV9573</w:t>
            </w:r>
          </w:p>
        </w:tc>
        <w:tc>
          <w:tcPr/>
          <w:p>
            <w:pPr>
              <w:pStyle w:val="Compact"/>
              <w:jc w:val="center"/>
            </w:pPr>
            <w:r>
              <w:t xml:space="preserve">2018-01-20</w:t>
            </w:r>
          </w:p>
        </w:tc>
        <w:tc>
          <w:tcPr/>
          <w:p>
            <w:pPr>
              <w:pStyle w:val="Compact"/>
              <w:jc w:val="center"/>
            </w:pPr>
            <w:r>
              <w:t xml:space="preserve">Office visit</w:t>
            </w:r>
          </w:p>
        </w:tc>
        <w:tc>
          <w:tcPr/>
          <w:p>
            <w:pPr>
              <w:pStyle w:val="Compact"/>
              <w:jc w:val="center"/>
            </w:pPr>
            <w:r>
              <w:t xml:space="preserve">99.15</w:t>
            </w:r>
          </w:p>
        </w:tc>
        <w:tc>
          <w:tcPr/>
          <w:p>
            <w:pPr>
              <w:pStyle w:val="Compact"/>
              <w:jc w:val="center"/>
            </w:pPr>
            <w:r>
              <w:t xml:space="preserve">5.48</w:t>
            </w:r>
          </w:p>
        </w:tc>
        <w:tc>
          <w:tcPr/>
          <w:p>
            <w:pPr>
              <w:pStyle w:val="Compact"/>
              <w:jc w:val="center"/>
            </w:pPr>
            <w:r>
              <w:t xml:space="preserve">32.13</w:t>
            </w:r>
          </w:p>
        </w:tc>
        <w:tc>
          <w:tcPr/>
          <w:p>
            <w:pPr>
              <w:pStyle w:val="Compact"/>
              <w:jc w:val="center"/>
            </w:pPr>
            <w:r>
              <w:t xml:space="preserve">White</w:t>
            </w:r>
          </w:p>
        </w:tc>
        <w:tc>
          <w:tcPr/>
          <w:p>
            <w:pPr>
              <w:pStyle w:val="Compact"/>
              <w:jc w:val="center"/>
            </w:pPr>
            <w:r>
              <w:t xml:space="preserve">non-Hispanic</w:t>
            </w:r>
          </w:p>
        </w:tc>
        <w:tc>
          <w:tcPr/>
          <w:p>
            <w:pPr>
              <w:pStyle w:val="Compact"/>
              <w:jc w:val="center"/>
            </w:pPr>
            <w:r>
              <w:t xml:space="preserve">Private</w:t>
            </w:r>
          </w:p>
        </w:tc>
      </w:tr>
      <w:tr>
        <w:tc>
          <w:tcPr/>
          <w:p>
            <w:pPr>
              <w:pStyle w:val="Compact"/>
              <w:jc w:val="left"/>
            </w:pPr>
            <w:r>
              <w:t xml:space="preserve">CQ9338</w:t>
            </w:r>
          </w:p>
        </w:tc>
        <w:tc>
          <w:tcPr/>
          <w:p>
            <w:pPr>
              <w:pStyle w:val="Compact"/>
              <w:jc w:val="center"/>
            </w:pPr>
            <w:r>
              <w:t xml:space="preserve">2015-07-05</w:t>
            </w:r>
          </w:p>
        </w:tc>
        <w:tc>
          <w:tcPr/>
          <w:p>
            <w:pPr>
              <w:pStyle w:val="Compact"/>
              <w:jc w:val="center"/>
            </w:pPr>
            <w:r>
              <w:t xml:space="preserve">Office visit</w:t>
            </w:r>
          </w:p>
        </w:tc>
        <w:tc>
          <w:tcPr/>
          <w:p>
            <w:pPr>
              <w:pStyle w:val="Compact"/>
              <w:jc w:val="center"/>
            </w:pPr>
            <w:r>
              <w:t xml:space="preserve">99.09</w:t>
            </w:r>
          </w:p>
        </w:tc>
        <w:tc>
          <w:tcPr/>
          <w:p>
            <w:pPr>
              <w:pStyle w:val="Compact"/>
              <w:jc w:val="center"/>
            </w:pPr>
            <w:r>
              <w:t xml:space="preserve">15.11</w:t>
            </w:r>
          </w:p>
        </w:tc>
        <w:tc>
          <w:tcPr/>
          <w:p>
            <w:pPr>
              <w:pStyle w:val="Compact"/>
              <w:jc w:val="center"/>
            </w:pPr>
            <w:r>
              <w:t xml:space="preserve">25.09</w:t>
            </w:r>
          </w:p>
        </w:tc>
        <w:tc>
          <w:tcPr/>
          <w:p>
            <w:pPr>
              <w:pStyle w:val="Compact"/>
              <w:jc w:val="center"/>
            </w:pPr>
            <w:r>
              <w:t xml:space="preserve">Black</w:t>
            </w:r>
          </w:p>
        </w:tc>
        <w:tc>
          <w:tcPr/>
          <w:p>
            <w:pPr>
              <w:pStyle w:val="Compact"/>
              <w:jc w:val="center"/>
            </w:pPr>
            <w:r>
              <w:t xml:space="preserve">non-Hispanic</w:t>
            </w:r>
          </w:p>
        </w:tc>
        <w:tc>
          <w:tcPr/>
          <w:p>
            <w:pPr>
              <w:pStyle w:val="Compact"/>
              <w:jc w:val="center"/>
            </w:pPr>
            <w:r>
              <w:t xml:space="preserve">Medicare</w:t>
            </w:r>
          </w:p>
        </w:tc>
      </w:tr>
      <w:tr>
        <w:tc>
          <w:tcPr/>
          <w:p>
            <w:pPr>
              <w:pStyle w:val="Compact"/>
              <w:jc w:val="left"/>
            </w:pPr>
            <w:r>
              <w:t xml:space="preserve">DH1301</w:t>
            </w:r>
          </w:p>
        </w:tc>
        <w:tc>
          <w:tcPr/>
          <w:p>
            <w:pPr>
              <w:pStyle w:val="Compact"/>
              <w:jc w:val="center"/>
            </w:pPr>
            <w:r>
              <w:t xml:space="preserve">2018-03-25</w:t>
            </w:r>
          </w:p>
        </w:tc>
        <w:tc>
          <w:tcPr/>
          <w:p>
            <w:pPr>
              <w:pStyle w:val="Compact"/>
              <w:jc w:val="center"/>
            </w:pPr>
            <w:r>
              <w:t xml:space="preserve">Office visit</w:t>
            </w:r>
          </w:p>
        </w:tc>
        <w:tc>
          <w:tcPr/>
          <w:p>
            <w:pPr>
              <w:pStyle w:val="Compact"/>
              <w:jc w:val="center"/>
            </w:pPr>
            <w:r>
              <w:t xml:space="preserve">99.18</w:t>
            </w:r>
          </w:p>
        </w:tc>
        <w:tc>
          <w:tcPr/>
          <w:p>
            <w:pPr>
              <w:pStyle w:val="Compact"/>
              <w:jc w:val="center"/>
            </w:pPr>
            <w:r>
              <w:t xml:space="preserve">3.40</w:t>
            </w:r>
          </w:p>
        </w:tc>
        <w:tc>
          <w:tcPr/>
          <w:p>
            <w:pPr>
              <w:pStyle w:val="Compact"/>
              <w:jc w:val="center"/>
            </w:pPr>
            <w:r>
              <w:t xml:space="preserve">33.41</w:t>
            </w:r>
          </w:p>
        </w:tc>
        <w:tc>
          <w:tcPr/>
          <w:p>
            <w:pPr>
              <w:pStyle w:val="Compact"/>
              <w:jc w:val="center"/>
            </w:pPr>
            <w:r>
              <w:t xml:space="preserve">Other</w:t>
            </w:r>
          </w:p>
        </w:tc>
        <w:tc>
          <w:tcPr/>
          <w:p>
            <w:pPr>
              <w:pStyle w:val="Compact"/>
              <w:jc w:val="center"/>
            </w:pPr>
            <w:r>
              <w:t xml:space="preserve">non-Hispanic</w:t>
            </w:r>
          </w:p>
        </w:tc>
        <w:tc>
          <w:tcPr/>
          <w:p>
            <w:pPr>
              <w:pStyle w:val="Compact"/>
              <w:jc w:val="center"/>
            </w:pPr>
            <w:r>
              <w:t xml:space="preserve">Private</w:t>
            </w:r>
          </w:p>
        </w:tc>
      </w:tr>
      <w:tr>
        <w:tc>
          <w:tcPr/>
          <w:p>
            <w:pPr>
              <w:pStyle w:val="Compact"/>
              <w:jc w:val="left"/>
            </w:pPr>
            <w:r>
              <w:t xml:space="preserve">WQ8508</w:t>
            </w:r>
          </w:p>
        </w:tc>
        <w:tc>
          <w:tcPr/>
          <w:p>
            <w:pPr>
              <w:pStyle w:val="Compact"/>
              <w:jc w:val="center"/>
            </w:pPr>
            <w:r>
              <w:t xml:space="preserve">2019-08-25</w:t>
            </w:r>
          </w:p>
        </w:tc>
        <w:tc>
          <w:tcPr/>
          <w:p>
            <w:pPr>
              <w:pStyle w:val="Compact"/>
              <w:jc w:val="center"/>
            </w:pPr>
            <w:r>
              <w:t xml:space="preserve">Office visit</w:t>
            </w:r>
          </w:p>
        </w:tc>
        <w:tc>
          <w:tcPr/>
          <w:p>
            <w:pPr>
              <w:pStyle w:val="Compact"/>
              <w:jc w:val="center"/>
            </w:pPr>
            <w:r>
              <w:t xml:space="preserve">97.61</w:t>
            </w:r>
          </w:p>
        </w:tc>
        <w:tc>
          <w:tcPr/>
          <w:p>
            <w:pPr>
              <w:pStyle w:val="Compact"/>
              <w:jc w:val="center"/>
            </w:pPr>
            <w:r>
              <w:t xml:space="preserve">5.04</w:t>
            </w:r>
          </w:p>
        </w:tc>
        <w:tc>
          <w:tcPr/>
          <w:p>
            <w:pPr>
              <w:pStyle w:val="Compact"/>
              <w:jc w:val="center"/>
            </w:pPr>
            <w:r>
              <w:t xml:space="preserve">21.30</w:t>
            </w:r>
          </w:p>
        </w:tc>
        <w:tc>
          <w:tcPr/>
          <w:p>
            <w:pPr>
              <w:pStyle w:val="Compact"/>
              <w:jc w:val="center"/>
            </w:pPr>
            <w:r>
              <w:t xml:space="preserve">White</w:t>
            </w:r>
          </w:p>
        </w:tc>
        <w:tc>
          <w:tcPr/>
          <w:p>
            <w:pPr>
              <w:pStyle w:val="Compact"/>
              <w:jc w:val="center"/>
            </w:pPr>
            <w:r>
              <w:t xml:space="preserve">non-Hispanic</w:t>
            </w:r>
          </w:p>
        </w:tc>
        <w:tc>
          <w:tcPr/>
          <w:p>
            <w:pPr>
              <w:pStyle w:val="Compact"/>
              <w:jc w:val="center"/>
            </w:pPr>
            <w:r>
              <w:t xml:space="preserve">Medicare</w:t>
            </w:r>
          </w:p>
        </w:tc>
      </w:tr>
      <w:tr>
        <w:tc>
          <w:tcPr/>
          <w:p>
            <w:pPr>
              <w:pStyle w:val="Compact"/>
              <w:jc w:val="left"/>
            </w:pPr>
            <w:r>
              <w:t xml:space="preserve">XE4615</w:t>
            </w:r>
          </w:p>
        </w:tc>
        <w:tc>
          <w:tcPr/>
          <w:p>
            <w:pPr>
              <w:pStyle w:val="Compact"/>
              <w:jc w:val="center"/>
            </w:pPr>
            <w:r>
              <w:t xml:space="preserve">2017-06-20</w:t>
            </w:r>
          </w:p>
        </w:tc>
        <w:tc>
          <w:tcPr/>
          <w:p>
            <w:pPr>
              <w:pStyle w:val="Compact"/>
              <w:jc w:val="center"/>
            </w:pPr>
            <w:r>
              <w:t xml:space="preserve">Office visit</w:t>
            </w:r>
          </w:p>
        </w:tc>
        <w:tc>
          <w:tcPr/>
          <w:p>
            <w:pPr>
              <w:pStyle w:val="Compact"/>
              <w:jc w:val="center"/>
            </w:pPr>
            <w:r>
              <w:t xml:space="preserve">99.66</w:t>
            </w:r>
          </w:p>
        </w:tc>
        <w:tc>
          <w:tcPr/>
          <w:p>
            <w:pPr>
              <w:pStyle w:val="Compact"/>
              <w:jc w:val="center"/>
            </w:pPr>
            <w:r>
              <w:t xml:space="preserve">16.43</w:t>
            </w:r>
          </w:p>
        </w:tc>
        <w:tc>
          <w:tcPr/>
          <w:p>
            <w:pPr>
              <w:pStyle w:val="Compact"/>
              <w:jc w:val="center"/>
            </w:pPr>
            <w:r>
              <w:t xml:space="preserve">30.18</w:t>
            </w:r>
          </w:p>
        </w:tc>
        <w:tc>
          <w:tcPr/>
          <w:p>
            <w:pPr>
              <w:pStyle w:val="Compact"/>
              <w:jc w:val="center"/>
            </w:pPr>
            <w:r>
              <w:t xml:space="preserve">Black</w:t>
            </w:r>
          </w:p>
        </w:tc>
        <w:tc>
          <w:tcPr/>
          <w:p>
            <w:pPr>
              <w:pStyle w:val="Compact"/>
              <w:jc w:val="center"/>
            </w:pPr>
            <w:r>
              <w:t xml:space="preserve">non-Hispanic</w:t>
            </w:r>
          </w:p>
        </w:tc>
        <w:tc>
          <w:tcPr/>
          <w:p>
            <w:pPr>
              <w:pStyle w:val="Compact"/>
              <w:jc w:val="center"/>
            </w:pPr>
            <w:r>
              <w:t xml:space="preserve">Medicare</w:t>
            </w:r>
          </w:p>
        </w:tc>
      </w:tr>
      <w:tr>
        <w:tc>
          <w:tcPr/>
          <w:p>
            <w:pPr>
              <w:pStyle w:val="Compact"/>
              <w:jc w:val="left"/>
            </w:pPr>
            <w:r>
              <w:t xml:space="preserve">IO6623</w:t>
            </w:r>
          </w:p>
        </w:tc>
        <w:tc>
          <w:tcPr/>
          <w:p>
            <w:pPr>
              <w:pStyle w:val="Compact"/>
              <w:jc w:val="center"/>
            </w:pPr>
            <w:r>
              <w:t xml:space="preserve">2015-08-10</w:t>
            </w:r>
          </w:p>
        </w:tc>
        <w:tc>
          <w:tcPr/>
          <w:p>
            <w:pPr>
              <w:pStyle w:val="Compact"/>
              <w:jc w:val="center"/>
            </w:pPr>
            <w:r>
              <w:t xml:space="preserve">Office visit</w:t>
            </w:r>
          </w:p>
        </w:tc>
        <w:tc>
          <w:tcPr/>
          <w:p>
            <w:pPr>
              <w:pStyle w:val="Compact"/>
              <w:jc w:val="center"/>
            </w:pPr>
            <w:r>
              <w:t xml:space="preserve">99.43</w:t>
            </w:r>
          </w:p>
        </w:tc>
        <w:tc>
          <w:tcPr/>
          <w:p>
            <w:pPr>
              <w:pStyle w:val="Compact"/>
              <w:jc w:val="center"/>
            </w:pPr>
            <w:r>
              <w:t xml:space="preserve">2.87</w:t>
            </w:r>
          </w:p>
        </w:tc>
        <w:tc>
          <w:tcPr/>
          <w:p>
            <w:pPr>
              <w:pStyle w:val="Compact"/>
              <w:jc w:val="center"/>
            </w:pPr>
            <w:r>
              <w:t xml:space="preserve">26.04</w:t>
            </w:r>
          </w:p>
        </w:tc>
        <w:tc>
          <w:tcPr/>
          <w:p>
            <w:pPr>
              <w:pStyle w:val="Compact"/>
              <w:jc w:val="center"/>
            </w:pPr>
            <w:r>
              <w:t xml:space="preserve">Other</w:t>
            </w:r>
          </w:p>
        </w:tc>
        <w:tc>
          <w:tcPr/>
          <w:p>
            <w:pPr>
              <w:pStyle w:val="Compact"/>
              <w:jc w:val="center"/>
            </w:pPr>
            <w:r>
              <w:t xml:space="preserve">non-Hispanic</w:t>
            </w:r>
          </w:p>
        </w:tc>
        <w:tc>
          <w:tcPr/>
          <w:p>
            <w:pPr>
              <w:pStyle w:val="Compact"/>
              <w:jc w:val="center"/>
            </w:pPr>
            <w:r>
              <w:t xml:space="preserve">Medicare</w:t>
            </w:r>
          </w:p>
        </w:tc>
      </w:tr>
      <w:tr>
        <w:tc>
          <w:tcPr/>
          <w:p>
            <w:pPr>
              <w:pStyle w:val="Compact"/>
              <w:jc w:val="left"/>
            </w:pPr>
            <w:r>
              <w:t xml:space="preserve">JV9469</w:t>
            </w:r>
          </w:p>
        </w:tc>
        <w:tc>
          <w:tcPr/>
          <w:p>
            <w:pPr>
              <w:pStyle w:val="Compact"/>
              <w:jc w:val="center"/>
            </w:pPr>
            <w:r>
              <w:t xml:space="preserve">2014-04-11</w:t>
            </w:r>
          </w:p>
        </w:tc>
        <w:tc>
          <w:tcPr/>
          <w:p>
            <w:pPr>
              <w:pStyle w:val="Compact"/>
              <w:jc w:val="center"/>
            </w:pPr>
            <w:r>
              <w:t xml:space="preserve">ED/Hospitalization</w:t>
            </w:r>
          </w:p>
        </w:tc>
        <w:tc>
          <w:tcPr/>
          <w:p>
            <w:pPr>
              <w:pStyle w:val="Compact"/>
              <w:jc w:val="center"/>
            </w:pPr>
            <w:r>
              <w:t xml:space="preserve">98.32</w:t>
            </w:r>
          </w:p>
        </w:tc>
        <w:tc>
          <w:tcPr/>
          <w:p>
            <w:pPr>
              <w:pStyle w:val="Compact"/>
              <w:jc w:val="center"/>
            </w:pPr>
            <w:r>
              <w:t xml:space="preserve">NA</w:t>
            </w:r>
          </w:p>
        </w:tc>
        <w:tc>
          <w:tcPr/>
          <w:p>
            <w:pPr>
              <w:pStyle w:val="Compact"/>
              <w:jc w:val="center"/>
            </w:pPr>
            <w:r>
              <w:t xml:space="preserve">-999.00</w:t>
            </w:r>
          </w:p>
        </w:tc>
        <w:tc>
          <w:tcPr/>
          <w:p>
            <w:pPr>
              <w:pStyle w:val="Compact"/>
              <w:jc w:val="center"/>
            </w:pPr>
            <w:r>
              <w:t xml:space="preserve">White</w:t>
            </w:r>
          </w:p>
        </w:tc>
        <w:tc>
          <w:tcPr/>
          <w:p>
            <w:pPr>
              <w:pStyle w:val="Compact"/>
              <w:jc w:val="center"/>
            </w:pPr>
            <w:r>
              <w:t xml:space="preserve">non-Hispanic</w:t>
            </w:r>
          </w:p>
        </w:tc>
        <w:tc>
          <w:tcPr/>
          <w:p>
            <w:pPr>
              <w:pStyle w:val="Compact"/>
              <w:jc w:val="center"/>
            </w:pPr>
            <w:r>
              <w:t xml:space="preserve">Private</w:t>
            </w:r>
          </w:p>
        </w:tc>
      </w:tr>
      <w:tr>
        <w:tc>
          <w:tcPr/>
          <w:p>
            <w:pPr>
              <w:pStyle w:val="Compact"/>
              <w:jc w:val="left"/>
            </w:pPr>
            <w:r>
              <w:t xml:space="preserve">NE9449</w:t>
            </w:r>
          </w:p>
        </w:tc>
        <w:tc>
          <w:tcPr/>
          <w:p>
            <w:pPr>
              <w:pStyle w:val="Compact"/>
              <w:jc w:val="center"/>
            </w:pPr>
            <w:r>
              <w:t xml:space="preserve">2019-02-15</w:t>
            </w:r>
          </w:p>
        </w:tc>
        <w:tc>
          <w:tcPr/>
          <w:p>
            <w:pPr>
              <w:pStyle w:val="Compact"/>
              <w:jc w:val="center"/>
            </w:pPr>
            <w:r>
              <w:t xml:space="preserve">Office visit</w:t>
            </w:r>
          </w:p>
        </w:tc>
        <w:tc>
          <w:tcPr/>
          <w:p>
            <w:pPr>
              <w:pStyle w:val="Compact"/>
              <w:jc w:val="center"/>
            </w:pPr>
            <w:r>
              <w:t xml:space="preserve">97.18</w:t>
            </w:r>
          </w:p>
        </w:tc>
        <w:tc>
          <w:tcPr/>
          <w:p>
            <w:pPr>
              <w:pStyle w:val="Compact"/>
              <w:jc w:val="center"/>
            </w:pPr>
            <w:r>
              <w:t xml:space="preserve">8.38</w:t>
            </w:r>
          </w:p>
        </w:tc>
        <w:tc>
          <w:tcPr/>
          <w:p>
            <w:pPr>
              <w:pStyle w:val="Compact"/>
              <w:jc w:val="center"/>
            </w:pPr>
            <w:r>
              <w:t xml:space="preserve">37.36</w:t>
            </w:r>
          </w:p>
        </w:tc>
        <w:tc>
          <w:tcPr/>
          <w:p>
            <w:pPr>
              <w:pStyle w:val="Compact"/>
              <w:jc w:val="center"/>
            </w:pPr>
            <w:r>
              <w:t xml:space="preserve">White</w:t>
            </w:r>
          </w:p>
        </w:tc>
        <w:tc>
          <w:tcPr/>
          <w:p>
            <w:pPr>
              <w:pStyle w:val="Compact"/>
              <w:jc w:val="center"/>
            </w:pPr>
            <w:r>
              <w:t xml:space="preserve">non-Hispanic</w:t>
            </w:r>
          </w:p>
        </w:tc>
        <w:tc>
          <w:tcPr/>
          <w:p>
            <w:pPr>
              <w:pStyle w:val="Compact"/>
              <w:jc w:val="center"/>
            </w:pPr>
            <w:r>
              <w:t xml:space="preserve">Private</w:t>
            </w:r>
          </w:p>
        </w:tc>
      </w:tr>
    </w:tbl>
    <w:bookmarkEnd w:id="22"/>
    <w:bookmarkStart w:id="23" w:name="analytic-dataset-description"/>
    <w:p>
      <w:pPr>
        <w:pStyle w:val="Heading2"/>
      </w:pPr>
      <w:r>
        <w:t xml:space="preserve">3. Analytic Dataset Description</w:t>
      </w:r>
    </w:p>
    <w:p>
      <w:pPr>
        <w:pStyle w:val="SourceCode"/>
      </w:pPr>
      <w:r>
        <w:rPr>
          <w:rStyle w:val="VerbatimChar"/>
        </w:rPr>
        <w:t xml:space="preserve">Granularity: One row represents one patient encounter.</w:t>
      </w:r>
    </w:p>
    <w:p>
      <w:pPr>
        <w:pStyle w:val="SourceCode"/>
      </w:pPr>
      <w:r>
        <w:rPr>
          <w:rStyle w:val="VerbatimChar"/>
        </w:rPr>
        <w:t xml:space="preserve">Number of encounters: 550 </w:t>
      </w:r>
    </w:p>
    <w:p>
      <w:pPr>
        <w:pStyle w:val="SourceCode"/>
      </w:pPr>
      <w:r>
        <w:rPr>
          <w:rStyle w:val="VerbatimChar"/>
        </w:rPr>
        <w:t xml:space="preserve">Number of variables: 14 </w:t>
      </w:r>
    </w:p>
    <w:p>
      <w:pPr>
        <w:pStyle w:val="SourceCode"/>
      </w:pPr>
      <w:r>
        <w:rPr>
          <w:rStyle w:val="VerbatimChar"/>
        </w:rPr>
        <w:t xml:space="preserve">Unique patients: 50 </w:t>
      </w:r>
    </w:p>
    <w:p>
      <w:pPr>
        <w:pStyle w:val="FirstParagraph"/>
      </w:pPr>
      <w:r>
        <w:t xml:space="preserve">The analytic dataset was created by merging the</w:t>
      </w:r>
      <w:r>
        <w:t xml:space="preserve"> </w:t>
      </w:r>
      <w:r>
        <w:rPr>
          <w:b/>
          <w:bCs/>
        </w:rPr>
        <w:t xml:space="preserve">encounter-level dataset</w:t>
      </w:r>
      <w:r>
        <w:t xml:space="preserve"> </w:t>
      </w:r>
      <w:r>
        <w:t xml:space="preserve">and the</w:t>
      </w:r>
      <w:r>
        <w:t xml:space="preserve"> </w:t>
      </w:r>
      <w:r>
        <w:rPr>
          <w:b/>
          <w:bCs/>
        </w:rPr>
        <w:t xml:space="preserve">patient-level dataset</w:t>
      </w:r>
      <w:r>
        <w:t xml:space="preserve"> </w:t>
      </w:r>
      <w:r>
        <w:t xml:space="preserve">using the variable</w:t>
      </w:r>
      <w:r>
        <w:t xml:space="preserve"> </w:t>
      </w:r>
      <w:r>
        <w:rPr>
          <w:i/>
          <w:iCs/>
        </w:rPr>
        <w:t xml:space="preserve">MRN</w:t>
      </w:r>
      <w:r>
        <w:t xml:space="preserve"> </w:t>
      </w:r>
      <w:r>
        <w:t xml:space="preserve">as a unique patient identifier.</w:t>
      </w:r>
    </w:p>
    <w:p>
      <w:pPr>
        <w:pStyle w:val="BodyText"/>
      </w:pPr>
      <w:r>
        <w:t xml:space="preserve">Each row in this dataset represents a</w:t>
      </w:r>
      <w:r>
        <w:t xml:space="preserve"> </w:t>
      </w:r>
      <w:r>
        <w:rPr>
          <w:b/>
          <w:bCs/>
        </w:rPr>
        <w:t xml:space="preserve">single patient encounter</w:t>
      </w:r>
      <w:r>
        <w:t xml:space="preserve">, which may correspond to an office visit, an emergency department (ED) visit, or a hospitalization.</w:t>
      </w:r>
    </w:p>
    <w:p>
      <w:pPr>
        <w:pStyle w:val="BodyText"/>
      </w:pPr>
      <w:r>
        <w:t xml:space="preserve">The analytic dataset contains</w:t>
      </w:r>
      <w:r>
        <w:t xml:space="preserve"> </w:t>
      </w:r>
      <w:r>
        <w:rPr>
          <w:b/>
          <w:bCs/>
        </w:rPr>
        <w:t xml:space="preserve">550 encounters</w:t>
      </w:r>
      <w:r>
        <w:t xml:space="preserve"> </w:t>
      </w:r>
      <w:r>
        <w:t xml:space="preserve">from</w:t>
      </w:r>
      <w:r>
        <w:t xml:space="preserve"> </w:t>
      </w:r>
      <w:r>
        <w:rPr>
          <w:b/>
          <w:bCs/>
        </w:rPr>
        <w:t xml:space="preserve">50 unique patients</w:t>
      </w:r>
      <w:r>
        <w:t xml:space="preserve"> </w:t>
      </w:r>
      <w:r>
        <w:t xml:space="preserve">and includes</w:t>
      </w:r>
      <w:r>
        <w:t xml:space="preserve"> </w:t>
      </w:r>
      <w:r>
        <w:rPr>
          <w:b/>
          <w:bCs/>
        </w:rPr>
        <w:t xml:space="preserve">14 variables</w:t>
      </w:r>
      <w:r>
        <w:t xml:space="preserve"> </w:t>
      </w:r>
      <w:r>
        <w:t xml:space="preserve">in total.</w:t>
      </w:r>
    </w:p>
    <w:p>
      <w:pPr>
        <w:pStyle w:val="BodyText"/>
      </w:pPr>
      <w:r>
        <w:t xml:space="preserve">The encounter-level variables capture clinical and visit-specific information such as contact date, encounter type, temperature, distress score, white blood cell count (WBC), and body mass index (BMI).</w:t>
      </w:r>
    </w:p>
    <w:p>
      <w:pPr>
        <w:pStyle w:val="BodyText"/>
      </w:pPr>
      <w:r>
        <w:t xml:space="preserve">The patient-level variables include demographic characteristics (date of birth, race, ethnicity, and financial class) and comorbid conditions such as hypertension, congestive heart failure (CHF), and diabetes.</w:t>
      </w:r>
    </w:p>
    <w:p>
      <w:pPr>
        <w:pStyle w:val="BodyText"/>
      </w:pPr>
      <w:r>
        <w:t xml:space="preserve">Together, these variables provide both longitudinal encounter data and baseline patient characteristics, forming a clean and well-structured analytic dataset that can be used to develop predictive models for unanticipated hospital admissions (UHA) among ovarian cancer patients.</w:t>
      </w:r>
    </w:p>
    <w:bookmarkEnd w:id="23"/>
    <w:bookmarkStart w:id="24" w:name="data-cleaning"/>
    <w:p>
      <w:pPr>
        <w:pStyle w:val="Heading2"/>
      </w:pPr>
      <w:r>
        <w:t xml:space="preserve">4. Data cleaning</w:t>
      </w:r>
    </w:p>
    <w:p>
      <w:pPr>
        <w:pStyle w:val="FirstParagraph"/>
      </w:pPr>
      <w:r>
        <w:t xml:space="preserve">Rules applied (from project notes):</w:t>
      </w:r>
    </w:p>
    <w:p>
      <w:pPr>
        <w:numPr>
          <w:ilvl w:val="0"/>
          <w:numId w:val="1001"/>
        </w:numPr>
      </w:pPr>
      <w:r>
        <w:rPr>
          <w:b/>
          <w:bCs/>
        </w:rPr>
        <w:t xml:space="preserve">DOB:</w:t>
      </w:r>
      <w:r>
        <w:t xml:space="preserve"> </w:t>
      </w:r>
      <w:r>
        <w:t xml:space="preserve">unrealistic birth years set to missing (e.g., year &lt; 1910 → NA).</w:t>
      </w:r>
    </w:p>
    <w:p>
      <w:pPr>
        <w:numPr>
          <w:ilvl w:val="0"/>
          <w:numId w:val="1001"/>
        </w:numPr>
      </w:pPr>
      <w:r>
        <w:rPr>
          <w:b/>
          <w:bCs/>
        </w:rPr>
        <w:t xml:space="preserve">BMI:</w:t>
      </w:r>
      <w:r>
        <w:t xml:space="preserve"> </w:t>
      </w:r>
      <w:r>
        <w:t xml:space="preserve">-999 is missing → recode to NA; then truncate to</w:t>
      </w:r>
      <w:r>
        <w:t xml:space="preserve"> </w:t>
      </w:r>
      <w:r>
        <w:rPr>
          <w:b/>
          <w:bCs/>
        </w:rPr>
        <w:t xml:space="preserve">10–50</w:t>
      </w:r>
      <w:r>
        <w:t xml:space="preserve">.</w:t>
      </w:r>
    </w:p>
    <w:p>
      <w:pPr>
        <w:numPr>
          <w:ilvl w:val="0"/>
          <w:numId w:val="1001"/>
        </w:numPr>
      </w:pPr>
      <w:r>
        <w:rPr>
          <w:b/>
          <w:bCs/>
        </w:rPr>
        <w:t xml:space="preserve">WBC:</w:t>
      </w:r>
      <w:r>
        <w:t xml:space="preserve"> </w:t>
      </w:r>
      <w:r>
        <w:t xml:space="preserve">values &lt; 0.05 treated as detection-limit error → set to</w:t>
      </w:r>
      <w:r>
        <w:t xml:space="preserve"> </w:t>
      </w:r>
      <w:r>
        <w:rPr>
          <w:b/>
          <w:bCs/>
        </w:rPr>
        <w:t xml:space="preserve">0.05</w:t>
      </w:r>
      <w:r>
        <w:t xml:space="preserve">; truncate values &gt; 50 to</w:t>
      </w:r>
      <w:r>
        <w:t xml:space="preserve"> </w:t>
      </w:r>
      <w:r>
        <w:rPr>
          <w:b/>
          <w:bCs/>
        </w:rPr>
        <w:t xml:space="preserve">50</w:t>
      </w:r>
      <w:r>
        <w:t xml:space="preserve">.</w:t>
      </w:r>
    </w:p>
    <w:p>
      <w:pPr>
        <w:numPr>
          <w:ilvl w:val="0"/>
          <w:numId w:val="1001"/>
        </w:numPr>
      </w:pPr>
      <w:r>
        <w:rPr>
          <w:b/>
          <w:bCs/>
        </w:rPr>
        <w:t xml:space="preserve">Temperature / Distress:</w:t>
      </w:r>
      <w:r>
        <w:t xml:space="preserve"> </w:t>
      </w:r>
      <w:r>
        <w:t xml:space="preserve">constrained to plausible ranges (95–105 °F; 0–10).</w:t>
      </w:r>
    </w:p>
    <w:p>
      <w:pPr>
        <w:pStyle w:val="FirstParagraph"/>
      </w:pPr>
      <w:r>
        <w:t xml:space="preserve">After applying the cleaning rules above, we verified that implausible values were corrected.</w:t>
      </w:r>
      <w:r>
        <w:br/>
      </w:r>
      <w:r>
        <w:t xml:space="preserve">The table below compares the minimum and maximum values of key variables before and after cleaning.</w:t>
      </w:r>
    </w:p>
    <w:p>
      <w:pPr>
        <w:pStyle w:val="TableCaption"/>
      </w:pPr>
      <w:r>
        <w:t xml:space="preserve">Comparison of Selected Variables Before and After Data Cleaning</w:t>
      </w:r>
    </w:p>
    <w:tbl>
      <w:tblPr>
        <w:tblStyle w:val="Table"/>
        <w:tblW w:type="auto" w:w="0"/>
        <w:tblLook w:firstRow="1" w:lastRow="0" w:firstColumn="0" w:lastColumn="0" w:noHBand="0" w:noVBand="0" w:val="0020"/>
        <w:tblCaption w:val="Comparison of Selected Variables Before and After Data Cleaning"/>
      </w:tblPr>
      <w:tblGrid>
        <w:gridCol w:w="1584"/>
        <w:gridCol w:w="1584"/>
        <w:gridCol w:w="1584"/>
        <w:gridCol w:w="1584"/>
        <w:gridCol w:w="1584"/>
      </w:tblGrid>
      <w:tr>
        <w:trPr>
          <w:tblHeader w:val="on"/>
        </w:trPr>
        <w:tc>
          <w:tcPr/>
          <w:p>
            <w:pPr>
              <w:pStyle w:val="Compact"/>
              <w:jc w:val="left"/>
            </w:pPr>
            <w:r>
              <w:t xml:space="preserve">Variable</w:t>
            </w:r>
          </w:p>
        </w:tc>
        <w:tc>
          <w:tcPr/>
          <w:p>
            <w:pPr>
              <w:pStyle w:val="Compact"/>
              <w:jc w:val="center"/>
            </w:pPr>
            <w:r>
              <w:t xml:space="preserve">Before_Min</w:t>
            </w:r>
          </w:p>
        </w:tc>
        <w:tc>
          <w:tcPr/>
          <w:p>
            <w:pPr>
              <w:pStyle w:val="Compact"/>
              <w:jc w:val="center"/>
            </w:pPr>
            <w:r>
              <w:t xml:space="preserve">Before_Max</w:t>
            </w:r>
          </w:p>
        </w:tc>
        <w:tc>
          <w:tcPr/>
          <w:p>
            <w:pPr>
              <w:pStyle w:val="Compact"/>
              <w:jc w:val="center"/>
            </w:pPr>
            <w:r>
              <w:t xml:space="preserve">After_Min</w:t>
            </w:r>
          </w:p>
        </w:tc>
        <w:tc>
          <w:tcPr/>
          <w:p>
            <w:pPr>
              <w:pStyle w:val="Compact"/>
              <w:jc w:val="center"/>
            </w:pPr>
            <w:r>
              <w:t xml:space="preserve">After_Max</w:t>
            </w:r>
          </w:p>
        </w:tc>
      </w:tr>
      <w:tr>
        <w:tc>
          <w:tcPr/>
          <w:p>
            <w:pPr>
              <w:pStyle w:val="Compact"/>
              <w:jc w:val="left"/>
            </w:pPr>
            <w:r>
              <w:t xml:space="preserve">WBC</w:t>
            </w:r>
          </w:p>
        </w:tc>
        <w:tc>
          <w:tcPr/>
          <w:p>
            <w:pPr>
              <w:pStyle w:val="Compact"/>
              <w:jc w:val="center"/>
            </w:pPr>
            <w:r>
              <w:t xml:space="preserve">0.00</w:t>
            </w:r>
          </w:p>
        </w:tc>
        <w:tc>
          <w:tcPr/>
          <w:p>
            <w:pPr>
              <w:pStyle w:val="Compact"/>
              <w:jc w:val="center"/>
            </w:pPr>
            <w:r>
              <w:t xml:space="preserve">53.60</w:t>
            </w:r>
          </w:p>
        </w:tc>
        <w:tc>
          <w:tcPr/>
          <w:p>
            <w:pPr>
              <w:pStyle w:val="Compact"/>
              <w:jc w:val="center"/>
            </w:pPr>
            <w:r>
              <w:t xml:space="preserve">0.05</w:t>
            </w:r>
          </w:p>
        </w:tc>
        <w:tc>
          <w:tcPr/>
          <w:p>
            <w:pPr>
              <w:pStyle w:val="Compact"/>
              <w:jc w:val="center"/>
            </w:pPr>
            <w:r>
              <w:t xml:space="preserve">50.0</w:t>
            </w:r>
          </w:p>
        </w:tc>
      </w:tr>
      <w:tr>
        <w:tc>
          <w:tcPr/>
          <w:p>
            <w:pPr>
              <w:pStyle w:val="Compact"/>
              <w:jc w:val="left"/>
            </w:pPr>
            <w:r>
              <w:t xml:space="preserve">BMI.r</w:t>
            </w:r>
          </w:p>
        </w:tc>
        <w:tc>
          <w:tcPr/>
          <w:p>
            <w:pPr>
              <w:pStyle w:val="Compact"/>
              <w:jc w:val="center"/>
            </w:pPr>
            <w:r>
              <w:t xml:space="preserve">-999.00</w:t>
            </w:r>
          </w:p>
        </w:tc>
        <w:tc>
          <w:tcPr/>
          <w:p>
            <w:pPr>
              <w:pStyle w:val="Compact"/>
              <w:jc w:val="center"/>
            </w:pPr>
            <w:r>
              <w:t xml:space="preserve">352.13</w:t>
            </w:r>
          </w:p>
        </w:tc>
        <w:tc>
          <w:tcPr/>
          <w:p>
            <w:pPr>
              <w:pStyle w:val="Compact"/>
              <w:jc w:val="center"/>
            </w:pPr>
            <w:r>
              <w:t xml:space="preserve">10.00</w:t>
            </w:r>
          </w:p>
        </w:tc>
        <w:tc>
          <w:tcPr/>
          <w:p>
            <w:pPr>
              <w:pStyle w:val="Compact"/>
              <w:jc w:val="center"/>
            </w:pPr>
            <w:r>
              <w:t xml:space="preserve">50.0</w:t>
            </w:r>
          </w:p>
        </w:tc>
      </w:tr>
      <w:tr>
        <w:tc>
          <w:tcPr/>
          <w:p>
            <w:pPr>
              <w:pStyle w:val="Compact"/>
              <w:jc w:val="left"/>
            </w:pPr>
            <w:r>
              <w:t xml:space="preserve">temp</w:t>
            </w:r>
          </w:p>
        </w:tc>
        <w:tc>
          <w:tcPr/>
          <w:p>
            <w:pPr>
              <w:pStyle w:val="Compact"/>
              <w:jc w:val="center"/>
            </w:pPr>
            <w:r>
              <w:t xml:space="preserve">96.26</w:t>
            </w:r>
          </w:p>
        </w:tc>
        <w:tc>
          <w:tcPr/>
          <w:p>
            <w:pPr>
              <w:pStyle w:val="Compact"/>
              <w:jc w:val="center"/>
            </w:pPr>
            <w:r>
              <w:t xml:space="preserve">103.20</w:t>
            </w:r>
          </w:p>
        </w:tc>
        <w:tc>
          <w:tcPr/>
          <w:p>
            <w:pPr>
              <w:pStyle w:val="Compact"/>
              <w:jc w:val="center"/>
            </w:pPr>
            <w:r>
              <w:t xml:space="preserve">96.26</w:t>
            </w:r>
          </w:p>
        </w:tc>
        <w:tc>
          <w:tcPr/>
          <w:p>
            <w:pPr>
              <w:pStyle w:val="Compact"/>
              <w:jc w:val="center"/>
            </w:pPr>
            <w:r>
              <w:t xml:space="preserve">103.2</w:t>
            </w:r>
          </w:p>
        </w:tc>
      </w:tr>
      <w:tr>
        <w:tc>
          <w:tcPr/>
          <w:p>
            <w:pPr>
              <w:pStyle w:val="Compact"/>
              <w:jc w:val="left"/>
            </w:pPr>
            <w:r>
              <w:t xml:space="preserve">distress_score</w:t>
            </w:r>
          </w:p>
        </w:tc>
        <w:tc>
          <w:tcPr/>
          <w:p>
            <w:pPr>
              <w:pStyle w:val="Compact"/>
              <w:jc w:val="center"/>
            </w:pPr>
            <w:r>
              <w:t xml:space="preserve">0.00</w:t>
            </w:r>
          </w:p>
        </w:tc>
        <w:tc>
          <w:tcPr/>
          <w:p>
            <w:pPr>
              <w:pStyle w:val="Compact"/>
              <w:jc w:val="center"/>
            </w:pPr>
            <w:r>
              <w:t xml:space="preserve">7.00</w:t>
            </w:r>
          </w:p>
        </w:tc>
        <w:tc>
          <w:tcPr/>
          <w:p>
            <w:pPr>
              <w:pStyle w:val="Compact"/>
              <w:jc w:val="center"/>
            </w:pPr>
            <w:r>
              <w:t xml:space="preserve">0.00</w:t>
            </w:r>
          </w:p>
        </w:tc>
        <w:tc>
          <w:tcPr/>
          <w:p>
            <w:pPr>
              <w:pStyle w:val="Compact"/>
              <w:jc w:val="center"/>
            </w:pPr>
            <w:r>
              <w:t xml:space="preserve">7.0</w:t>
            </w:r>
          </w:p>
        </w:tc>
      </w:tr>
    </w:tbl>
    <w:p>
      <w:pPr>
        <w:pStyle w:val="BodyText"/>
      </w:pPr>
      <w:r>
        <w:t xml:space="preserve">As shown above, implausible or out-of-range values were truncated to clinically reasonable limits, confirming that the dataset was successfully cleaned.</w:t>
      </w:r>
    </w:p>
    <w:bookmarkEnd w:id="24"/>
    <w:bookmarkStart w:id="25" w:name="wbc-re-categorization"/>
    <w:p>
      <w:pPr>
        <w:pStyle w:val="Heading2"/>
      </w:pPr>
      <w:r>
        <w:t xml:space="preserve">5. WBC Re-categorization</w:t>
      </w:r>
    </w:p>
    <w:p>
      <w:pPr>
        <w:pStyle w:val="FirstParagraph"/>
      </w:pPr>
      <w:r>
        <w:t xml:space="preserve">WBC is recategorized per assignment cut points.</w:t>
      </w:r>
    </w:p>
    <w:bookmarkEnd w:id="25"/>
    <w:bookmarkStart w:id="26" w:name="wbc-summary-table"/>
    <w:p>
      <w:pPr>
        <w:pStyle w:val="Heading2"/>
      </w:pPr>
      <w:r>
        <w:t xml:space="preserve">6. WBC Summary Table</w:t>
      </w:r>
    </w:p>
    <w:p>
      <w:pPr>
        <w:pStyle w:val="FirstParagraph"/>
      </w:pPr>
      <w:r>
        <w:t xml:space="preserve">Counts and percentages of encounters within each WBC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1"/>
        <w:gridCol w:w="998"/>
        <w:gridCol w:w="1169"/>
      </w:tblGrid>
      <w:tr>
        <w:trPr>
          <w:trHeight w:val="6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WBC_cat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Percent</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Low (&lt;3.2)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30.7%</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Normal (3.2–9.8)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35.6%</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High (&gt;9.8)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20.5%</w:t>
            </w:r>
          </w:p>
        </w:tc>
      </w:tr>
      <w:tr>
        <w:trPr>
          <w:trHeight w:val="57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Not Taken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13.1%</w:t>
            </w:r>
          </w:p>
        </w:tc>
      </w:tr>
    </w:tbl>
    <w:bookmarkEnd w:id="26"/>
    <w:bookmarkStart w:id="27" w:name="patient-level-table-1"/>
    <w:p>
      <w:pPr>
        <w:pStyle w:val="Heading2"/>
      </w:pPr>
      <w:r>
        <w:t xml:space="preserve">7. Patient-Level Table 1</w:t>
      </w:r>
    </w:p>
    <w:p>
      <w:pPr>
        <w:pStyle w:val="FirstParagraph"/>
      </w:pPr>
      <w:r>
        <w:t xml:space="preserve">Baseline characteristics at the</w:t>
      </w:r>
      <w:r>
        <w:t xml:space="preserve"> </w:t>
      </w:r>
      <w:r>
        <w:rPr>
          <w:b/>
          <w:bCs/>
        </w:rPr>
        <w:t xml:space="preserve">patient level</w:t>
      </w:r>
      <w:r>
        <w:t xml:space="preserve"> </w:t>
      </w:r>
      <w:r>
        <w:t xml:space="preserve">(race, ethnicity, financial class, hypertension, CHF,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1"/>
        <w:gridCol w:w="1303"/>
      </w:tblGrid>
      <w:tr>
        <w:trPr>
          <w:trHeight w:val="4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N = 50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vertAlign w:val="superscript"/>
                <w:sz w:val="22"/>
                <w:szCs w:val="22"/>
                <w:color w:val="000000"/>
              </w:rPr>
              <w:t xml:space="preserve">1</w:t>
            </w:r>
          </w:p>
        </w:tc>
      </w:tr>
      <w:tr>
        <w:trPr>
          <w:trHeight w:val="53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10 (20%)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 (6.0%)</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 (74%)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 (6.0%)</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 (94%)</w:t>
            </w:r>
          </w:p>
        </w:tc>
      </w:tr>
      <w:tr>
        <w:trPr>
          <w:trHeight w:val="57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financialclass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Medicare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 (58%)</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21 (42%)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 (40%)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CHF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 (10%)</w:t>
            </w:r>
          </w:p>
        </w:tc>
      </w:tr>
      <w:tr>
        <w:trPr>
          <w:trHeight w:val="616"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trike w:val="false"/>
                <w:sz w:val="22"/>
                <w:szCs w:val="22"/>
                <w:color w:val="000000"/>
              </w:rPr>
              <w:t xml:space="preserve">diabetes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 (4.0%)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n (%)</w:t>
            </w:r>
          </w:p>
        </w:tc>
      </w:tr>
    </w:tbl>
    <w:bookmarkEnd w:id="27"/>
    <w:bookmarkStart w:id="28" w:name="brief-summary"/>
    <w:p>
      <w:pPr>
        <w:pStyle w:val="Heading2"/>
      </w:pPr>
      <w:r>
        <w:t xml:space="preserve">8. Brief Summary</w:t>
      </w:r>
    </w:p>
    <w:p>
      <w:pPr>
        <w:pStyle w:val="FirstParagraph"/>
      </w:pPr>
      <w:r>
        <w:t xml:space="preserve">The report produced a single analytic dataset with encounter-level rows, merged with patient demographics and comorbidities.</w:t>
      </w:r>
    </w:p>
    <w:p>
      <w:pPr>
        <w:pStyle w:val="BodyText"/>
      </w:pPr>
      <w:r>
        <w:t xml:space="preserve">Missing/implausible values were handled via explicit missing code conversion and clinically guided truncation.</w:t>
      </w:r>
    </w:p>
    <w:p>
      <w:pPr>
        <w:pStyle w:val="BodyText"/>
      </w:pPr>
      <w:r>
        <w:t xml:space="preserve">WBC was categorized into Low, Normal, High, and Not Taken, and required summary tables were constructed.</w:t>
      </w:r>
    </w:p>
    <w:p>
      <w:pPr>
        <w:pStyle w:val="BodyText"/>
      </w:pPr>
      <w:r>
        <w:t xml:space="preserve">This dataset is ready for downstream modeling of ED visits and unanticipated hospital admissions.</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Ovarian Cancer Analytic Dataset Preparation</dc:title>
  <dc:creator>Jiaqi Wang</dc:creator>
  <cp:keywords/>
  <dcterms:created xsi:type="dcterms:W3CDTF">2025-10-09T17:57:52Z</dcterms:created>
  <dcterms:modified xsi:type="dcterms:W3CDTF">2025-10-09T17:57:52Z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2025-10-10</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