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55A" w:rsidRDefault="0016155A" w:rsidP="0016155A">
      <w:pPr>
        <w:pStyle w:val="NoSpacing"/>
      </w:pPr>
      <w:r>
        <w:t xml:space="preserve">Technical Report #001 </w:t>
      </w:r>
      <w:proofErr w:type="spellStart"/>
      <w:r>
        <w:t>CovidSIMVL</w:t>
      </w:r>
      <w:proofErr w:type="spellEnd"/>
    </w:p>
    <w:p w:rsidR="0016155A" w:rsidRDefault="0016155A" w:rsidP="0016155A">
      <w:pPr>
        <w:pStyle w:val="NoSpacing"/>
      </w:pPr>
      <w:r>
        <w:t>August 28, 2020</w:t>
      </w:r>
    </w:p>
    <w:p w:rsidR="0016155A" w:rsidRDefault="0016155A" w:rsidP="0016155A">
      <w:pPr>
        <w:pStyle w:val="NoSpacing"/>
      </w:pPr>
      <w:r>
        <w:t>Ernie Chang, MD PhD</w:t>
      </w:r>
    </w:p>
    <w:p w:rsidR="0016155A" w:rsidRDefault="0016155A" w:rsidP="0016155A">
      <w:pPr>
        <w:pStyle w:val="NoSpacing"/>
      </w:pPr>
      <w:r>
        <w:t>Victoria, BC</w:t>
      </w:r>
    </w:p>
    <w:p w:rsidR="0016155A" w:rsidRDefault="0016155A" w:rsidP="0016155A">
      <w:pPr>
        <w:pStyle w:val="NoSpacing"/>
      </w:pPr>
    </w:p>
    <w:p w:rsidR="0016155A" w:rsidRDefault="0016155A" w:rsidP="0016155A">
      <w:pPr>
        <w:pStyle w:val="NoSpacing"/>
        <w:rPr>
          <w:b/>
          <w:u w:val="single"/>
        </w:rPr>
      </w:pPr>
      <w:r>
        <w:rPr>
          <w:b/>
          <w:u w:val="single"/>
        </w:rPr>
        <w:t>INITIAL RELATIONSHIP BETWEEN POPULATION DENSITY, MINGLE FACTOR AND SIZE</w:t>
      </w:r>
    </w:p>
    <w:p w:rsidR="0016155A" w:rsidRDefault="0016155A" w:rsidP="0016155A">
      <w:pPr>
        <w:pStyle w:val="NoSpacing"/>
        <w:rPr>
          <w:b/>
          <w:u w:val="single"/>
        </w:rPr>
      </w:pPr>
    </w:p>
    <w:p w:rsidR="0016155A" w:rsidRDefault="0016155A" w:rsidP="0016155A">
      <w:pPr>
        <w:pStyle w:val="NoSpacing"/>
      </w:pPr>
      <w:r>
        <w:t>All the trials were run with size=12</w:t>
      </w:r>
    </w:p>
    <w:p w:rsidR="0016155A" w:rsidRDefault="0016155A" w:rsidP="0016155A">
      <w:pPr>
        <w:pStyle w:val="NoSpacing"/>
      </w:pPr>
      <w:r>
        <w:t>The variables were population (100, 50 and 25) and mingle factor (4</w:t>
      </w:r>
      <w:proofErr w:type="gramStart"/>
      <w:r>
        <w:t>,3,2</w:t>
      </w:r>
      <w:proofErr w:type="gramEnd"/>
      <w:r>
        <w:t>) applied to all agents</w:t>
      </w:r>
    </w:p>
    <w:p w:rsidR="0016155A" w:rsidRDefault="0016155A" w:rsidP="0016155A">
      <w:pPr>
        <w:pStyle w:val="NoSpacing"/>
      </w:pPr>
      <w:r>
        <w:t xml:space="preserve">Initial </w:t>
      </w:r>
      <w:proofErr w:type="spellStart"/>
      <w:r>
        <w:t>CaseFile-csv</w:t>
      </w:r>
      <w:proofErr w:type="spellEnd"/>
      <w:r>
        <w:t xml:space="preserve"> is for one agent (#10) with infective viral load and time since infection of 4 days</w:t>
      </w:r>
    </w:p>
    <w:p w:rsidR="0016155A" w:rsidRDefault="0016155A" w:rsidP="0016155A">
      <w:pPr>
        <w:pStyle w:val="NoSpacing"/>
      </w:pPr>
    </w:p>
    <w:p w:rsidR="0016155A" w:rsidRDefault="0016155A" w:rsidP="0016155A">
      <w:pPr>
        <w:pStyle w:val="NoSpacing"/>
      </w:pPr>
      <w:r>
        <w:t xml:space="preserve">Each setting was run </w:t>
      </w:r>
      <w:proofErr w:type="gramStart"/>
      <w:r>
        <w:t>10x</w:t>
      </w:r>
      <w:proofErr w:type="gramEnd"/>
      <w:r>
        <w:t xml:space="preserve"> and averaged.</w:t>
      </w:r>
    </w:p>
    <w:p w:rsidR="0016155A" w:rsidRDefault="0016155A" w:rsidP="0016155A">
      <w:pPr>
        <w:pStyle w:val="NoSpacing"/>
      </w:pPr>
      <w:r>
        <w:t>Each run was stopped after the first 10 new infections were reached.</w:t>
      </w:r>
    </w:p>
    <w:p w:rsidR="0016155A" w:rsidRDefault="0016155A" w:rsidP="0016155A">
      <w:pPr>
        <w:pStyle w:val="NoSpacing"/>
      </w:pPr>
      <w:r>
        <w:t>The duration in hours was then recorded.</w:t>
      </w:r>
    </w:p>
    <w:p w:rsidR="0016155A" w:rsidRDefault="0016155A" w:rsidP="0016155A">
      <w:pPr>
        <w:pStyle w:val="NoSpacing"/>
      </w:pPr>
    </w:p>
    <w:p w:rsidR="0016155A" w:rsidRDefault="0016155A" w:rsidP="0016155A">
      <w:pPr>
        <w:pStyle w:val="NoSpacing"/>
      </w:pPr>
      <w:r>
        <w:t xml:space="preserve">The graphs were then charted for averages of </w:t>
      </w:r>
    </w:p>
    <w:p w:rsidR="0016155A" w:rsidRDefault="0016155A" w:rsidP="0016155A">
      <w:pPr>
        <w:pStyle w:val="NoSpacing"/>
      </w:pPr>
    </w:p>
    <w:p w:rsidR="0016155A" w:rsidRDefault="0016155A" w:rsidP="0016155A">
      <w:pPr>
        <w:pStyle w:val="NoSpacing"/>
      </w:pPr>
      <w:r>
        <w:tab/>
        <w:t>NEW INFECTIONS PER HOUR</w:t>
      </w:r>
    </w:p>
    <w:p w:rsidR="0016155A" w:rsidRDefault="0016155A" w:rsidP="0016155A">
      <w:pPr>
        <w:pStyle w:val="NoSpacing"/>
      </w:pPr>
      <w:r>
        <w:tab/>
        <w:t>ODDS of one infection in a single hour</w:t>
      </w:r>
    </w:p>
    <w:p w:rsidR="0016155A" w:rsidRDefault="0016155A" w:rsidP="0016155A">
      <w:pPr>
        <w:pStyle w:val="NoSpacing"/>
      </w:pPr>
      <w:r>
        <w:tab/>
        <w:t>ODDS of the infection being ME (or any specific person)</w:t>
      </w:r>
    </w:p>
    <w:p w:rsidR="0016155A" w:rsidRDefault="0016155A" w:rsidP="0016155A">
      <w:pPr>
        <w:pStyle w:val="NoSpacing"/>
      </w:pPr>
    </w:p>
    <w:p w:rsidR="0016155A" w:rsidRDefault="0016155A" w:rsidP="0016155A">
      <w:pPr>
        <w:pStyle w:val="NoSpacing"/>
      </w:pPr>
      <w:r>
        <w:tab/>
      </w:r>
      <w:proofErr w:type="gramStart"/>
      <w:r>
        <w:t>against</w:t>
      </w:r>
      <w:proofErr w:type="gramEnd"/>
      <w:r>
        <w:t xml:space="preserve"> the parameter settings of</w:t>
      </w:r>
    </w:p>
    <w:p w:rsidR="0016155A" w:rsidRDefault="0016155A" w:rsidP="0016155A">
      <w:pPr>
        <w:pStyle w:val="NoSpacing"/>
      </w:pPr>
      <w:r>
        <w:tab/>
      </w:r>
    </w:p>
    <w:p w:rsidR="0016155A" w:rsidRDefault="0016155A" w:rsidP="0016155A">
      <w:pPr>
        <w:pStyle w:val="NoSpacing"/>
      </w:pPr>
      <w:r>
        <w:tab/>
        <w:t xml:space="preserve">100 </w:t>
      </w:r>
      <w:proofErr w:type="gramStart"/>
      <w:r>
        <w:t>agents</w:t>
      </w:r>
      <w:proofErr w:type="gramEnd"/>
      <w:r>
        <w:t xml:space="preserve"> </w:t>
      </w:r>
      <w:r>
        <w:tab/>
        <w:t>mingle-factor 4</w:t>
      </w:r>
    </w:p>
    <w:p w:rsidR="0016155A" w:rsidRDefault="0016155A" w:rsidP="0016155A">
      <w:pPr>
        <w:pStyle w:val="NoSpacing"/>
      </w:pPr>
      <w:r>
        <w:tab/>
        <w:t>100</w:t>
      </w:r>
      <w:r>
        <w:tab/>
      </w:r>
      <w:r>
        <w:tab/>
        <w:t>3</w:t>
      </w:r>
    </w:p>
    <w:p w:rsidR="0016155A" w:rsidRDefault="0016155A" w:rsidP="0016155A">
      <w:pPr>
        <w:pStyle w:val="NoSpacing"/>
      </w:pPr>
      <w:r>
        <w:tab/>
        <w:t>100</w:t>
      </w:r>
      <w:r>
        <w:tab/>
      </w:r>
      <w:r>
        <w:tab/>
        <w:t>2</w:t>
      </w:r>
    </w:p>
    <w:p w:rsidR="0016155A" w:rsidRDefault="0016155A" w:rsidP="0016155A">
      <w:pPr>
        <w:pStyle w:val="NoSpacing"/>
      </w:pPr>
    </w:p>
    <w:p w:rsidR="0016155A" w:rsidRDefault="0016155A" w:rsidP="0016155A">
      <w:pPr>
        <w:pStyle w:val="NoSpacing"/>
      </w:pPr>
      <w:r>
        <w:tab/>
        <w:t>50</w:t>
      </w:r>
      <w:r>
        <w:tab/>
      </w:r>
      <w:r>
        <w:tab/>
        <w:t>4</w:t>
      </w:r>
    </w:p>
    <w:p w:rsidR="0016155A" w:rsidRDefault="0016155A" w:rsidP="0016155A">
      <w:pPr>
        <w:pStyle w:val="NoSpacing"/>
      </w:pPr>
      <w:r>
        <w:tab/>
        <w:t>50</w:t>
      </w:r>
      <w:r>
        <w:tab/>
      </w:r>
      <w:r>
        <w:tab/>
        <w:t>3</w:t>
      </w:r>
    </w:p>
    <w:p w:rsidR="0016155A" w:rsidRDefault="0016155A" w:rsidP="0016155A">
      <w:pPr>
        <w:pStyle w:val="NoSpacing"/>
      </w:pPr>
      <w:r>
        <w:tab/>
        <w:t>50</w:t>
      </w:r>
      <w:r>
        <w:tab/>
      </w:r>
      <w:r>
        <w:tab/>
        <w:t>2</w:t>
      </w:r>
    </w:p>
    <w:p w:rsidR="0016155A" w:rsidRDefault="0016155A" w:rsidP="0016155A">
      <w:pPr>
        <w:pStyle w:val="NoSpacing"/>
      </w:pPr>
    </w:p>
    <w:p w:rsidR="0016155A" w:rsidRDefault="0016155A" w:rsidP="0016155A">
      <w:pPr>
        <w:pStyle w:val="NoSpacing"/>
      </w:pPr>
      <w:r>
        <w:tab/>
        <w:t>25</w:t>
      </w:r>
      <w:r>
        <w:tab/>
      </w:r>
      <w:r>
        <w:tab/>
        <w:t>4</w:t>
      </w:r>
    </w:p>
    <w:p w:rsidR="0016155A" w:rsidRDefault="0016155A" w:rsidP="0016155A">
      <w:pPr>
        <w:pStyle w:val="NoSpacing"/>
      </w:pPr>
    </w:p>
    <w:p w:rsidR="0016155A" w:rsidRDefault="0016155A" w:rsidP="0016155A">
      <w:pPr>
        <w:pStyle w:val="NoSpacing"/>
        <w:rPr>
          <w:u w:val="single"/>
        </w:rPr>
      </w:pPr>
      <w:r>
        <w:rPr>
          <w:u w:val="single"/>
        </w:rPr>
        <w:t>DISCUSSION</w:t>
      </w:r>
    </w:p>
    <w:p w:rsidR="0016155A" w:rsidRDefault="0016155A" w:rsidP="0016155A">
      <w:pPr>
        <w:pStyle w:val="NoSpacing"/>
      </w:pPr>
      <w:proofErr w:type="gramStart"/>
      <w:r>
        <w:t>The larger the population, the more infections/hour.</w:t>
      </w:r>
      <w:proofErr w:type="gramEnd"/>
    </w:p>
    <w:p w:rsidR="0016155A" w:rsidRDefault="0016155A" w:rsidP="0016155A">
      <w:pPr>
        <w:pStyle w:val="NoSpacing"/>
      </w:pPr>
      <w:r>
        <w:t>The larger the mingle factor, the more infections/hour.</w:t>
      </w:r>
    </w:p>
    <w:p w:rsidR="0016155A" w:rsidRDefault="0016155A" w:rsidP="0016155A">
      <w:pPr>
        <w:pStyle w:val="NoSpacing"/>
      </w:pPr>
    </w:p>
    <w:p w:rsidR="0016155A" w:rsidRDefault="0016155A" w:rsidP="0016155A">
      <w:pPr>
        <w:pStyle w:val="NoSpacing"/>
      </w:pPr>
      <w:r>
        <w:t>The average infections per hour = observed new infections/total duration to reach target infections</w:t>
      </w:r>
    </w:p>
    <w:p w:rsidR="0016155A" w:rsidRDefault="0016155A" w:rsidP="0016155A">
      <w:pPr>
        <w:pStyle w:val="NoSpacing"/>
      </w:pPr>
      <w:r>
        <w:t xml:space="preserve">If there were 10 infections in 100 hours, the average </w:t>
      </w:r>
      <w:proofErr w:type="spellStart"/>
      <w:r>
        <w:t>inf</w:t>
      </w:r>
      <w:proofErr w:type="spellEnd"/>
      <w:r>
        <w:t>/</w:t>
      </w:r>
      <w:proofErr w:type="spellStart"/>
      <w:r>
        <w:t>hr</w:t>
      </w:r>
      <w:proofErr w:type="spellEnd"/>
      <w:r>
        <w:t xml:space="preserve"> = 10/100 = 0.1</w:t>
      </w:r>
    </w:p>
    <w:p w:rsidR="0016155A" w:rsidRDefault="0016155A" w:rsidP="0016155A">
      <w:pPr>
        <w:pStyle w:val="NoSpacing"/>
      </w:pPr>
    </w:p>
    <w:p w:rsidR="0016155A" w:rsidRDefault="0016155A" w:rsidP="0016155A">
      <w:pPr>
        <w:pStyle w:val="NoSpacing"/>
      </w:pPr>
      <w:r>
        <w:t xml:space="preserve">The odds of there being any infection in that hour is the reciprocal </w:t>
      </w:r>
      <w:proofErr w:type="spellStart"/>
      <w:r>
        <w:t>ie</w:t>
      </w:r>
      <w:proofErr w:type="spellEnd"/>
      <w:r>
        <w:t xml:space="preserve"> 1/0.1 = 10</w:t>
      </w:r>
    </w:p>
    <w:p w:rsidR="0016155A" w:rsidRDefault="0016155A" w:rsidP="0016155A">
      <w:pPr>
        <w:pStyle w:val="NoSpacing"/>
      </w:pPr>
      <w:r>
        <w:t xml:space="preserve">So </w:t>
      </w:r>
      <w:proofErr w:type="gramStart"/>
      <w:r>
        <w:t>odds of having any infection in one hour is</w:t>
      </w:r>
      <w:proofErr w:type="gramEnd"/>
      <w:r>
        <w:t xml:space="preserve"> 1 in 10.</w:t>
      </w:r>
    </w:p>
    <w:p w:rsidR="0016155A" w:rsidRDefault="0016155A" w:rsidP="0016155A">
      <w:pPr>
        <w:pStyle w:val="NoSpacing"/>
      </w:pPr>
    </w:p>
    <w:p w:rsidR="0016155A" w:rsidRDefault="0016155A" w:rsidP="0016155A">
      <w:pPr>
        <w:pStyle w:val="NoSpacing"/>
      </w:pPr>
      <w:r>
        <w:t>The odds of a specific person being infected varies with N, the population of agents, and would</w:t>
      </w:r>
    </w:p>
    <w:p w:rsidR="0016155A" w:rsidRDefault="0016155A" w:rsidP="0016155A">
      <w:pPr>
        <w:pStyle w:val="NoSpacing"/>
      </w:pPr>
      <w:proofErr w:type="gramStart"/>
      <w:r>
        <w:t>be</w:t>
      </w:r>
      <w:proofErr w:type="gramEnd"/>
      <w:r>
        <w:t xml:space="preserve"> N x odds of any infection. So if N was 50, the odds of ME being infected would be 50x10 = 1 in 500.</w:t>
      </w:r>
    </w:p>
    <w:p w:rsidR="005200B5" w:rsidRDefault="005200B5" w:rsidP="0016155A">
      <w:pPr>
        <w:pStyle w:val="NoSpacing"/>
      </w:pPr>
    </w:p>
    <w:p w:rsidR="005200B5" w:rsidRDefault="005200B5" w:rsidP="0016155A">
      <w:pPr>
        <w:pStyle w:val="NoSpacing"/>
      </w:pPr>
    </w:p>
    <w:p w:rsidR="005200B5" w:rsidRDefault="005200B5" w:rsidP="0016155A">
      <w:pPr>
        <w:pStyle w:val="NoSpacing"/>
      </w:pPr>
    </w:p>
    <w:p w:rsidR="005200B5" w:rsidRDefault="005200B5" w:rsidP="0016155A">
      <w:pPr>
        <w:pStyle w:val="NoSpacing"/>
      </w:pPr>
      <w:r>
        <w:lastRenderedPageBreak/>
        <w:t>Data for P=100 with mingle factor = 4, 3, 2</w:t>
      </w:r>
    </w:p>
    <w:p w:rsidR="005200B5" w:rsidRDefault="005200B5" w:rsidP="0016155A">
      <w:pPr>
        <w:pStyle w:val="NoSpacing"/>
      </w:pPr>
    </w:p>
    <w:p w:rsidR="005200B5" w:rsidRDefault="005200B5" w:rsidP="0016155A">
      <w:pPr>
        <w:pStyle w:val="NoSpacing"/>
      </w:pPr>
      <w:r w:rsidRPr="005200B5">
        <w:drawing>
          <wp:inline distT="0" distB="0" distL="0" distR="0" wp14:anchorId="1C6A6087" wp14:editId="3805D929">
            <wp:extent cx="5943600" cy="2655957"/>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5957"/>
                    </a:xfrm>
                    <a:prstGeom prst="rect">
                      <a:avLst/>
                    </a:prstGeom>
                    <a:noFill/>
                    <a:ln w="9525">
                      <a:solidFill>
                        <a:schemeClr val="tx1"/>
                      </a:solidFill>
                    </a:ln>
                  </pic:spPr>
                </pic:pic>
              </a:graphicData>
            </a:graphic>
          </wp:inline>
        </w:drawing>
      </w:r>
    </w:p>
    <w:p w:rsidR="005200B5" w:rsidRDefault="005200B5" w:rsidP="0016155A">
      <w:pPr>
        <w:pStyle w:val="NoSpacing"/>
      </w:pPr>
    </w:p>
    <w:p w:rsidR="005200B5" w:rsidRDefault="005200B5" w:rsidP="0016155A">
      <w:pPr>
        <w:pStyle w:val="NoSpacing"/>
      </w:pPr>
    </w:p>
    <w:p w:rsidR="005200B5" w:rsidRDefault="005200B5" w:rsidP="0016155A">
      <w:pPr>
        <w:pStyle w:val="NoSpacing"/>
      </w:pPr>
      <w:r>
        <w:t>Data for P=50 with mingle factor=4</w:t>
      </w:r>
      <w:proofErr w:type="gramStart"/>
      <w:r>
        <w:t>,3,2</w:t>
      </w:r>
      <w:proofErr w:type="gramEnd"/>
    </w:p>
    <w:p w:rsidR="005200B5" w:rsidRDefault="005200B5" w:rsidP="0016155A">
      <w:pPr>
        <w:pStyle w:val="NoSpacing"/>
      </w:pPr>
    </w:p>
    <w:p w:rsidR="005200B5" w:rsidRDefault="005200B5" w:rsidP="0016155A">
      <w:pPr>
        <w:pStyle w:val="NoSpacing"/>
      </w:pPr>
      <w:r w:rsidRPr="005200B5">
        <w:drawing>
          <wp:inline distT="0" distB="0" distL="0" distR="0" wp14:anchorId="31672063" wp14:editId="5C525067">
            <wp:extent cx="5943600" cy="2569817"/>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9817"/>
                    </a:xfrm>
                    <a:prstGeom prst="rect">
                      <a:avLst/>
                    </a:prstGeom>
                    <a:noFill/>
                    <a:ln w="9525">
                      <a:solidFill>
                        <a:schemeClr val="tx1"/>
                      </a:solidFill>
                    </a:ln>
                  </pic:spPr>
                </pic:pic>
              </a:graphicData>
            </a:graphic>
          </wp:inline>
        </w:drawing>
      </w:r>
    </w:p>
    <w:p w:rsidR="005200B5" w:rsidRDefault="005200B5" w:rsidP="0016155A">
      <w:pPr>
        <w:pStyle w:val="NoSpacing"/>
      </w:pPr>
    </w:p>
    <w:p w:rsidR="005200B5" w:rsidRDefault="005200B5" w:rsidP="0016155A">
      <w:pPr>
        <w:pStyle w:val="NoSpacing"/>
      </w:pPr>
    </w:p>
    <w:p w:rsidR="005200B5" w:rsidRDefault="005200B5" w:rsidP="0016155A">
      <w:pPr>
        <w:pStyle w:val="NoSpacing"/>
      </w:pPr>
      <w:r>
        <w:t>Data for P=25 with mingle factor=4</w:t>
      </w:r>
    </w:p>
    <w:p w:rsidR="005200B5" w:rsidRDefault="005200B5" w:rsidP="0016155A">
      <w:pPr>
        <w:pStyle w:val="NoSpacing"/>
      </w:pPr>
    </w:p>
    <w:p w:rsidR="005200B5" w:rsidRDefault="005200B5" w:rsidP="0016155A">
      <w:pPr>
        <w:pStyle w:val="NoSpacing"/>
      </w:pPr>
      <w:r w:rsidRPr="005200B5">
        <w:drawing>
          <wp:inline distT="0" distB="0" distL="0" distR="0" wp14:anchorId="1C095B95" wp14:editId="2E0B1B2D">
            <wp:extent cx="5943600" cy="736968"/>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36968"/>
                    </a:xfrm>
                    <a:prstGeom prst="rect">
                      <a:avLst/>
                    </a:prstGeom>
                    <a:noFill/>
                    <a:ln w="9525">
                      <a:solidFill>
                        <a:schemeClr val="tx1"/>
                      </a:solidFill>
                    </a:ln>
                  </pic:spPr>
                </pic:pic>
              </a:graphicData>
            </a:graphic>
          </wp:inline>
        </w:drawing>
      </w:r>
    </w:p>
    <w:p w:rsidR="005200B5" w:rsidRDefault="005200B5" w:rsidP="0016155A">
      <w:pPr>
        <w:pStyle w:val="NoSpacing"/>
      </w:pPr>
    </w:p>
    <w:p w:rsidR="005200B5" w:rsidRDefault="005200B5" w:rsidP="0016155A">
      <w:pPr>
        <w:pStyle w:val="NoSpacing"/>
      </w:pPr>
    </w:p>
    <w:p w:rsidR="005200B5" w:rsidRDefault="005200B5" w:rsidP="0016155A">
      <w:pPr>
        <w:pStyle w:val="NoSpacing"/>
        <w:rPr>
          <w:u w:val="single"/>
        </w:rPr>
      </w:pPr>
      <w:r>
        <w:rPr>
          <w:u w:val="single"/>
        </w:rPr>
        <w:lastRenderedPageBreak/>
        <w:t>CORRESPONDING GRAPHS</w:t>
      </w:r>
    </w:p>
    <w:p w:rsidR="005200B5" w:rsidRDefault="005200B5" w:rsidP="0016155A">
      <w:pPr>
        <w:pStyle w:val="NoSpacing"/>
        <w:rPr>
          <w:u w:val="single"/>
        </w:rPr>
      </w:pPr>
    </w:p>
    <w:p w:rsidR="005200B5" w:rsidRDefault="005200B5" w:rsidP="0016155A">
      <w:pPr>
        <w:pStyle w:val="NoSpacing"/>
        <w:rPr>
          <w:u w:val="single"/>
        </w:rPr>
      </w:pPr>
      <w:r>
        <w:rPr>
          <w:noProof/>
          <w:lang w:eastAsia="en-CA"/>
        </w:rPr>
        <w:drawing>
          <wp:inline distT="0" distB="0" distL="0" distR="0" wp14:anchorId="2D1C8593" wp14:editId="55E8E6C9">
            <wp:extent cx="2895600" cy="1795463"/>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u w:val="single"/>
          <w:lang w:eastAsia="en-CA"/>
        </w:rPr>
        <w:drawing>
          <wp:inline distT="0" distB="0" distL="0" distR="0" wp14:anchorId="1B51D698">
            <wp:extent cx="3006520" cy="180724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79" cy="1806618"/>
                    </a:xfrm>
                    <a:prstGeom prst="rect">
                      <a:avLst/>
                    </a:prstGeom>
                    <a:noFill/>
                  </pic:spPr>
                </pic:pic>
              </a:graphicData>
            </a:graphic>
          </wp:inline>
        </w:drawing>
      </w:r>
    </w:p>
    <w:p w:rsidR="005200B5" w:rsidRDefault="005200B5" w:rsidP="0016155A">
      <w:pPr>
        <w:pStyle w:val="NoSpacing"/>
        <w:rPr>
          <w:u w:val="single"/>
        </w:rPr>
      </w:pPr>
    </w:p>
    <w:p w:rsidR="005200B5" w:rsidRDefault="005200B5" w:rsidP="0016155A">
      <w:pPr>
        <w:pStyle w:val="NoSpacing"/>
        <w:rPr>
          <w:u w:val="single"/>
        </w:rPr>
      </w:pPr>
    </w:p>
    <w:p w:rsidR="005200B5" w:rsidRDefault="005200B5" w:rsidP="0019376E">
      <w:pPr>
        <w:pStyle w:val="NoSpacing"/>
        <w:jc w:val="center"/>
        <w:rPr>
          <w:u w:val="single"/>
        </w:rPr>
      </w:pPr>
      <w:r>
        <w:rPr>
          <w:noProof/>
          <w:lang w:eastAsia="en-CA"/>
        </w:rPr>
        <w:drawing>
          <wp:inline distT="0" distB="0" distL="0" distR="0" wp14:anchorId="670A43DC" wp14:editId="4106DF3E">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376E" w:rsidRDefault="0019376E" w:rsidP="0019376E">
      <w:pPr>
        <w:pStyle w:val="NoSpacing"/>
        <w:jc w:val="center"/>
        <w:rPr>
          <w:u w:val="single"/>
        </w:rPr>
      </w:pPr>
    </w:p>
    <w:p w:rsidR="0019376E" w:rsidRDefault="0019376E" w:rsidP="0019376E">
      <w:pPr>
        <w:pStyle w:val="NoSpacing"/>
        <w:rPr>
          <w:u w:val="single"/>
        </w:rPr>
      </w:pPr>
      <w:r w:rsidRPr="0019376E">
        <w:rPr>
          <w:u w:val="single"/>
        </w:rPr>
        <w:t>DISCUSSION</w:t>
      </w:r>
    </w:p>
    <w:p w:rsidR="0019376E" w:rsidRDefault="0019376E" w:rsidP="0019376E">
      <w:pPr>
        <w:pStyle w:val="NoSpacing"/>
      </w:pPr>
      <w:r>
        <w:t xml:space="preserve">The methodology provides a quantitative generation of the odds of infection in various parameter settings, and we can of course see if the next 10 infections take the same duration as the first 10, though it should be intuitively clear that the last 10 may take longer, as the remaining susceptibles may be spaced further away from the active </w:t>
      </w:r>
      <w:proofErr w:type="spellStart"/>
      <w:r>
        <w:t>infectives</w:t>
      </w:r>
      <w:proofErr w:type="spellEnd"/>
      <w:r>
        <w:t>.</w:t>
      </w:r>
    </w:p>
    <w:p w:rsidR="0019376E" w:rsidRDefault="0019376E" w:rsidP="0019376E">
      <w:pPr>
        <w:pStyle w:val="NoSpacing"/>
      </w:pPr>
    </w:p>
    <w:p w:rsidR="0019376E" w:rsidRPr="0019376E" w:rsidRDefault="0019376E" w:rsidP="0019376E">
      <w:pPr>
        <w:pStyle w:val="NoSpacing"/>
      </w:pPr>
      <w:r>
        <w:t xml:space="preserve">With this modeling capacity, the question arises as to what the acceptable level of infection might be. </w:t>
      </w:r>
      <w:proofErr w:type="gramStart"/>
      <w:r>
        <w:t>Having the ability to vary parameters settings, and observing the quantitative changes in risk, permits firmer guides to actual interventions rather than relying on intuitive ad hoc approaches.</w:t>
      </w:r>
      <w:bookmarkStart w:id="0" w:name="_GoBack"/>
      <w:bookmarkEnd w:id="0"/>
      <w:proofErr w:type="gramEnd"/>
    </w:p>
    <w:sectPr w:rsidR="0019376E" w:rsidRPr="00193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5A"/>
    <w:rsid w:val="0016155A"/>
    <w:rsid w:val="0019376E"/>
    <w:rsid w:val="002F0D7C"/>
    <w:rsid w:val="005200B5"/>
    <w:rsid w:val="00812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55A"/>
    <w:pPr>
      <w:spacing w:after="0" w:line="240" w:lineRule="auto"/>
    </w:pPr>
  </w:style>
  <w:style w:type="paragraph" w:styleId="BalloonText">
    <w:name w:val="Balloon Text"/>
    <w:basedOn w:val="Normal"/>
    <w:link w:val="BalloonTextChar"/>
    <w:uiPriority w:val="99"/>
    <w:semiHidden/>
    <w:unhideWhenUsed/>
    <w:rsid w:val="0052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55A"/>
    <w:pPr>
      <w:spacing w:after="0" w:line="240" w:lineRule="auto"/>
    </w:pPr>
  </w:style>
  <w:style w:type="paragraph" w:styleId="BalloonText">
    <w:name w:val="Balloon Text"/>
    <w:basedOn w:val="Normal"/>
    <w:link w:val="BalloonTextChar"/>
    <w:uiPriority w:val="99"/>
    <w:semiHidden/>
    <w:unhideWhenUsed/>
    <w:rsid w:val="0052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2020.06.24%20TOOLS%20for%20Multiverse\2020.08.23MVLTrials\TestMingle+Radius\TrialsSize122020.08.2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20.06.24%20TOOLS%20for%20Multiverse\2020.08.23MVLTrials\TestMingle+Radius\TrialsSize122020.08.2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100"/>
              <a:t>Infections/HR pop+mingle factor</a:t>
            </a:r>
          </a:p>
        </c:rich>
      </c:tx>
      <c:layout/>
      <c:overlay val="0"/>
    </c:title>
    <c:autoTitleDeleted val="0"/>
    <c:plotArea>
      <c:layout/>
      <c:lineChart>
        <c:grouping val="standard"/>
        <c:varyColors val="0"/>
        <c:ser>
          <c:idx val="0"/>
          <c:order val="0"/>
          <c:tx>
            <c:strRef>
              <c:f>Trial1R1!$B$87</c:f>
              <c:strCache>
                <c:ptCount val="1"/>
                <c:pt idx="0">
                  <c:v>Infections/HR</c:v>
                </c:pt>
              </c:strCache>
            </c:strRef>
          </c:tx>
          <c:marker>
            <c:symbol val="none"/>
          </c:marker>
          <c:cat>
            <c:strRef>
              <c:f>Trial1R1!$C$86:$I$86</c:f>
              <c:strCache>
                <c:ptCount val="7"/>
                <c:pt idx="0">
                  <c:v> 100-4</c:v>
                </c:pt>
                <c:pt idx="1">
                  <c:v> 100-3</c:v>
                </c:pt>
                <c:pt idx="2">
                  <c:v> 100-2</c:v>
                </c:pt>
                <c:pt idx="3">
                  <c:v> 50-4</c:v>
                </c:pt>
                <c:pt idx="4">
                  <c:v> 50-3</c:v>
                </c:pt>
                <c:pt idx="5">
                  <c:v> 50-2</c:v>
                </c:pt>
                <c:pt idx="6">
                  <c:v> 25-4</c:v>
                </c:pt>
              </c:strCache>
            </c:strRef>
          </c:cat>
          <c:val>
            <c:numRef>
              <c:f>Trial1R1!$C$87:$I$87</c:f>
              <c:numCache>
                <c:formatCode>0.00</c:formatCode>
                <c:ptCount val="7"/>
                <c:pt idx="0">
                  <c:v>0.32197612823428251</c:v>
                </c:pt>
                <c:pt idx="1">
                  <c:v>0.22084206583376015</c:v>
                </c:pt>
                <c:pt idx="2">
                  <c:v>0.13173442972603472</c:v>
                </c:pt>
                <c:pt idx="3">
                  <c:v>0.16519170138458636</c:v>
                </c:pt>
                <c:pt idx="4">
                  <c:v>0.10474781098554634</c:v>
                </c:pt>
                <c:pt idx="5">
                  <c:v>6.0250827599824551E-2</c:v>
                </c:pt>
                <c:pt idx="6">
                  <c:v>8.0462547830116915E-2</c:v>
                </c:pt>
              </c:numCache>
            </c:numRef>
          </c:val>
          <c:smooth val="0"/>
        </c:ser>
        <c:dLbls>
          <c:showLegendKey val="0"/>
          <c:showVal val="0"/>
          <c:showCatName val="0"/>
          <c:showSerName val="0"/>
          <c:showPercent val="0"/>
          <c:showBubbleSize val="0"/>
        </c:dLbls>
        <c:marker val="1"/>
        <c:smooth val="0"/>
        <c:axId val="147668352"/>
        <c:axId val="147997824"/>
      </c:lineChart>
      <c:catAx>
        <c:axId val="147668352"/>
        <c:scaling>
          <c:orientation val="minMax"/>
        </c:scaling>
        <c:delete val="0"/>
        <c:axPos val="b"/>
        <c:majorGridlines/>
        <c:majorTickMark val="none"/>
        <c:minorTickMark val="none"/>
        <c:tickLblPos val="nextTo"/>
        <c:crossAx val="147997824"/>
        <c:crosses val="autoZero"/>
        <c:auto val="1"/>
        <c:lblAlgn val="ctr"/>
        <c:lblOffset val="100"/>
        <c:noMultiLvlLbl val="0"/>
      </c:catAx>
      <c:valAx>
        <c:axId val="147997824"/>
        <c:scaling>
          <c:orientation val="minMax"/>
        </c:scaling>
        <c:delete val="0"/>
        <c:axPos val="l"/>
        <c:majorGridlines/>
        <c:title>
          <c:layout/>
          <c:overlay val="0"/>
        </c:title>
        <c:numFmt formatCode="0.00" sourceLinked="1"/>
        <c:majorTickMark val="none"/>
        <c:minorTickMark val="none"/>
        <c:tickLblPos val="nextTo"/>
        <c:crossAx val="147668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Odds</a:t>
            </a:r>
            <a:r>
              <a:rPr lang="en-US" baseline="0"/>
              <a:t> of </a:t>
            </a:r>
            <a:r>
              <a:rPr lang="en-US"/>
              <a:t>any one infection per hr</a:t>
            </a:r>
          </a:p>
        </c:rich>
      </c:tx>
      <c:layout/>
      <c:overlay val="0"/>
    </c:title>
    <c:autoTitleDeleted val="0"/>
    <c:plotArea>
      <c:layout/>
      <c:lineChart>
        <c:grouping val="standard"/>
        <c:varyColors val="0"/>
        <c:ser>
          <c:idx val="1"/>
          <c:order val="0"/>
          <c:tx>
            <c:strRef>
              <c:f>Trial1R1!$B$88</c:f>
              <c:strCache>
                <c:ptCount val="1"/>
                <c:pt idx="0">
                  <c:v>Odds anyone</c:v>
                </c:pt>
              </c:strCache>
            </c:strRef>
          </c:tx>
          <c:marker>
            <c:symbol val="none"/>
          </c:marker>
          <c:cat>
            <c:strRef>
              <c:f>Trial1R1!$C$86:$I$86</c:f>
              <c:strCache>
                <c:ptCount val="7"/>
                <c:pt idx="0">
                  <c:v> 100-4</c:v>
                </c:pt>
                <c:pt idx="1">
                  <c:v> 100-3</c:v>
                </c:pt>
                <c:pt idx="2">
                  <c:v> 100-2</c:v>
                </c:pt>
                <c:pt idx="3">
                  <c:v> 50-4</c:v>
                </c:pt>
                <c:pt idx="4">
                  <c:v> 50-3</c:v>
                </c:pt>
                <c:pt idx="5">
                  <c:v> 50-2</c:v>
                </c:pt>
                <c:pt idx="6">
                  <c:v> 25-4</c:v>
                </c:pt>
              </c:strCache>
            </c:strRef>
          </c:cat>
          <c:val>
            <c:numRef>
              <c:f>Trial1R1!$C$88:$I$88</c:f>
              <c:numCache>
                <c:formatCode>0.00</c:formatCode>
                <c:ptCount val="7"/>
                <c:pt idx="0">
                  <c:v>3.1058203149531654</c:v>
                </c:pt>
                <c:pt idx="1">
                  <c:v>4.5281228294284954</c:v>
                </c:pt>
                <c:pt idx="2">
                  <c:v>7.5910299386400251</c:v>
                </c:pt>
                <c:pt idx="3">
                  <c:v>6.0535728587956026</c:v>
                </c:pt>
                <c:pt idx="4">
                  <c:v>9.5467388825718302</c:v>
                </c:pt>
                <c:pt idx="5">
                  <c:v>16.597282391568545</c:v>
                </c:pt>
                <c:pt idx="6">
                  <c:v>12.428142371421437</c:v>
                </c:pt>
              </c:numCache>
            </c:numRef>
          </c:val>
          <c:smooth val="0"/>
        </c:ser>
        <c:dLbls>
          <c:showLegendKey val="0"/>
          <c:showVal val="0"/>
          <c:showCatName val="0"/>
          <c:showSerName val="0"/>
          <c:showPercent val="0"/>
          <c:showBubbleSize val="0"/>
        </c:dLbls>
        <c:marker val="1"/>
        <c:smooth val="0"/>
        <c:axId val="145393920"/>
        <c:axId val="145396480"/>
      </c:lineChart>
      <c:catAx>
        <c:axId val="145393920"/>
        <c:scaling>
          <c:orientation val="minMax"/>
        </c:scaling>
        <c:delete val="0"/>
        <c:axPos val="b"/>
        <c:majorGridlines/>
        <c:majorTickMark val="out"/>
        <c:minorTickMark val="none"/>
        <c:tickLblPos val="nextTo"/>
        <c:crossAx val="145396480"/>
        <c:crosses val="autoZero"/>
        <c:auto val="1"/>
        <c:lblAlgn val="ctr"/>
        <c:lblOffset val="100"/>
        <c:noMultiLvlLbl val="0"/>
      </c:catAx>
      <c:valAx>
        <c:axId val="145396480"/>
        <c:scaling>
          <c:orientation val="minMax"/>
        </c:scaling>
        <c:delete val="0"/>
        <c:axPos val="l"/>
        <c:majorGridlines/>
        <c:numFmt formatCode="0.00" sourceLinked="1"/>
        <c:majorTickMark val="out"/>
        <c:minorTickMark val="none"/>
        <c:tickLblPos val="nextTo"/>
        <c:crossAx val="145393920"/>
        <c:crosses val="autoZero"/>
        <c:crossBetween val="between"/>
      </c:valAx>
      <c:spPr>
        <a:noFill/>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2020-08-28T19:59:00Z</dcterms:created>
  <dcterms:modified xsi:type="dcterms:W3CDTF">2020-08-28T20:29:00Z</dcterms:modified>
</cp:coreProperties>
</file>