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30271D" w:rsidRDefault="0030271D"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sz w:val="20"/>
          <w:szCs w:val="20"/>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B67129" w:rsidP="00B67129">
      <w:pPr>
        <w:pStyle w:val="NoSpacing"/>
      </w:pPr>
      <w:hyperlink r:id="rId25" w:history="1">
        <w:r>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FB1868" w:rsidP="00260813">
      <w:pPr>
        <w:pStyle w:val="NoSpacing"/>
        <w:jc w:val="both"/>
        <w:rPr>
          <w:rFonts w:cstheme="minorHAnsi"/>
          <w:sz w:val="20"/>
          <w:szCs w:val="20"/>
        </w:rPr>
      </w:pPr>
      <w:bookmarkStart w:id="0" w:name="_GoBack"/>
      <w:bookmarkEnd w:id="0"/>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71D8E"/>
    <w:rsid w:val="00073B91"/>
    <w:rsid w:val="000900EA"/>
    <w:rsid w:val="000B3397"/>
    <w:rsid w:val="00144E90"/>
    <w:rsid w:val="00155017"/>
    <w:rsid w:val="00221FF1"/>
    <w:rsid w:val="00260813"/>
    <w:rsid w:val="002F0D7C"/>
    <w:rsid w:val="002F2A01"/>
    <w:rsid w:val="0030271D"/>
    <w:rsid w:val="003253C9"/>
    <w:rsid w:val="00386842"/>
    <w:rsid w:val="00402598"/>
    <w:rsid w:val="0041394D"/>
    <w:rsid w:val="00417A23"/>
    <w:rsid w:val="00635476"/>
    <w:rsid w:val="00646318"/>
    <w:rsid w:val="0066575B"/>
    <w:rsid w:val="007670A8"/>
    <w:rsid w:val="007928BE"/>
    <w:rsid w:val="007E2335"/>
    <w:rsid w:val="0081212A"/>
    <w:rsid w:val="008A171A"/>
    <w:rsid w:val="008D27BE"/>
    <w:rsid w:val="00913DDE"/>
    <w:rsid w:val="00955C58"/>
    <w:rsid w:val="00AB3E2E"/>
    <w:rsid w:val="00B43229"/>
    <w:rsid w:val="00B67129"/>
    <w:rsid w:val="00B87882"/>
    <w:rsid w:val="00B920DF"/>
    <w:rsid w:val="00BB03DC"/>
    <w:rsid w:val="00C25869"/>
    <w:rsid w:val="00C61812"/>
    <w:rsid w:val="00C92478"/>
    <w:rsid w:val="00CA4584"/>
    <w:rsid w:val="00D83280"/>
    <w:rsid w:val="00DE5E5A"/>
    <w:rsid w:val="00E20F65"/>
    <w:rsid w:val="00E41E9A"/>
    <w:rsid w:val="00EA6C52"/>
    <w:rsid w:val="00EE461B"/>
    <w:rsid w:val="00F618D2"/>
    <w:rsid w:val="00F76E42"/>
    <w:rsid w:val="00F93EA3"/>
    <w:rsid w:val="00F96F53"/>
    <w:rsid w:val="00F97613"/>
    <w:rsid w:val="00FB1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blog.mounirmesselmeni.de/2012/11/20/reading-csv-file-with-javascript-and-html5-file-api/"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17</Pages>
  <Words>6243</Words>
  <Characters>35587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3</cp:revision>
  <dcterms:created xsi:type="dcterms:W3CDTF">2020-08-18T04:28:00Z</dcterms:created>
  <dcterms:modified xsi:type="dcterms:W3CDTF">2020-08-18T06:46:00Z</dcterms:modified>
</cp:coreProperties>
</file>