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bookmarkStart w:id="0" w:name="_GoBack"/>
      <w:bookmarkEnd w:id="0"/>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F43A13" w:rsidP="00B67129">
      <w:pPr>
        <w:pStyle w:val="NoSpacing"/>
      </w:pPr>
      <w:hyperlink r:id="rId26" w:history="1">
        <w:r w:rsidR="00B67129">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noProof/>
          <w:sz w:val="20"/>
          <w:szCs w:val="20"/>
          <w:lang w:eastAsia="en-CA"/>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Default="00CD7568" w:rsidP="00CD7568">
      <w:pPr>
        <w:pStyle w:val="NoSpacing"/>
        <w:jc w:val="both"/>
        <w:rPr>
          <w:rFonts w:cstheme="minorHAnsi"/>
          <w:sz w:val="20"/>
          <w:szCs w:val="20"/>
          <w:u w:val="single"/>
        </w:rPr>
      </w:pPr>
      <w:r>
        <w:rPr>
          <w:rFonts w:cstheme="minorHAnsi"/>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Default="001F690F" w:rsidP="001F690F">
      <w:pPr>
        <w:pStyle w:val="NoSpacing"/>
        <w:jc w:val="both"/>
        <w:rPr>
          <w:rFonts w:cstheme="minorHAnsi"/>
          <w:b/>
          <w:sz w:val="20"/>
          <w:szCs w:val="20"/>
          <w:u w:val="single"/>
        </w:rPr>
      </w:pPr>
      <w:r>
        <w:rPr>
          <w:rFonts w:cstheme="minorHAnsi"/>
          <w:b/>
          <w:sz w:val="20"/>
          <w:szCs w:val="20"/>
          <w:u w:val="single"/>
        </w:rPr>
        <w:t>Preparing and Finalizing a new position for an agent at co-ordinate (X</w:t>
      </w:r>
      <w:proofErr w:type="gramStart"/>
      <w:r>
        <w:rPr>
          <w:rFonts w:cstheme="minorHAnsi"/>
          <w:b/>
          <w:sz w:val="20"/>
          <w:szCs w:val="20"/>
          <w:u w:val="single"/>
        </w:rPr>
        <w:t>,Y</w:t>
      </w:r>
      <w:proofErr w:type="gramEnd"/>
      <w:r>
        <w:rPr>
          <w:rFonts w:cstheme="minorHAnsi"/>
          <w:b/>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Default="00D7317C" w:rsidP="004049A9">
      <w:pPr>
        <w:pStyle w:val="NoSpacing"/>
        <w:jc w:val="both"/>
        <w:rPr>
          <w:rFonts w:cstheme="minorHAnsi"/>
          <w:sz w:val="20"/>
          <w:szCs w:val="20"/>
          <w:u w:val="single"/>
        </w:rPr>
      </w:pPr>
      <w:r>
        <w:rPr>
          <w:rFonts w:cstheme="minorHAnsi"/>
          <w:sz w:val="20"/>
          <w:szCs w:val="20"/>
          <w:u w:val="single"/>
        </w:rPr>
        <w:lastRenderedPageBreak/>
        <w:t xml:space="preserve">TESTING IF TWO AGENTS OVERLAP with </w:t>
      </w:r>
      <w:r w:rsidR="00385786">
        <w:rPr>
          <w:rFonts w:cstheme="minorHAnsi"/>
          <w:sz w:val="20"/>
          <w:szCs w:val="20"/>
          <w:u w:val="single"/>
        </w:rPr>
        <w:t xml:space="preserve">function </w:t>
      </w:r>
      <w:proofErr w:type="spellStart"/>
      <w:proofErr w:type="gramStart"/>
      <w:r w:rsidR="00385786">
        <w:rPr>
          <w:rFonts w:cstheme="minorHAnsi"/>
          <w:sz w:val="20"/>
          <w:szCs w:val="20"/>
          <w:u w:val="single"/>
        </w:rPr>
        <w:t>testOverlap</w:t>
      </w:r>
      <w:proofErr w:type="spellEnd"/>
      <w:r w:rsidR="00385786">
        <w:rPr>
          <w:rFonts w:cstheme="minorHAnsi"/>
          <w:sz w:val="20"/>
          <w:szCs w:val="20"/>
          <w:u w:val="single"/>
        </w:rPr>
        <w:t>(</w:t>
      </w:r>
      <w:proofErr w:type="gramEnd"/>
      <w:r w:rsidR="00385786">
        <w:rPr>
          <w:rFonts w:cstheme="minorHAns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D7317C" w:rsidRDefault="00D7317C" w:rsidP="004049A9">
      <w:pPr>
        <w:pStyle w:val="NoSpacing"/>
        <w:jc w:val="both"/>
        <w:rPr>
          <w:rFonts w:cstheme="minorHAnsi"/>
          <w:sz w:val="20"/>
          <w:szCs w:val="20"/>
          <w:u w:val="single"/>
        </w:rPr>
      </w:pPr>
      <w:r w:rsidRPr="00D7317C">
        <w:rPr>
          <w:rFonts w:cstheme="minorHAnsi"/>
          <w:sz w:val="20"/>
          <w:szCs w:val="20"/>
          <w:u w:val="single"/>
        </w:rPr>
        <w:t xml:space="preserve">CONSIDERING VIRAL TRANSFER </w:t>
      </w:r>
      <w:r>
        <w:rPr>
          <w:rFonts w:cstheme="minorHAnsi"/>
          <w:sz w:val="20"/>
          <w:szCs w:val="20"/>
          <w:u w:val="single"/>
        </w:rPr>
        <w:t xml:space="preserve">with function </w:t>
      </w:r>
      <w:proofErr w:type="spellStart"/>
      <w:proofErr w:type="gramStart"/>
      <w:r>
        <w:rPr>
          <w:rFonts w:cstheme="minorHAnsi"/>
          <w:sz w:val="20"/>
          <w:szCs w:val="20"/>
          <w:u w:val="single"/>
        </w:rPr>
        <w:t>VLtransfer</w:t>
      </w:r>
      <w:proofErr w:type="spellEnd"/>
      <w:r>
        <w:rPr>
          <w:rFonts w:cstheme="minorHAnsi"/>
          <w:sz w:val="20"/>
          <w:szCs w:val="20"/>
          <w:u w:val="single"/>
        </w:rPr>
        <w:t>(</w:t>
      </w:r>
      <w:proofErr w:type="gramEnd"/>
      <w:r>
        <w:rPr>
          <w:rFonts w:cstheme="minorHAnsi"/>
          <w:sz w:val="20"/>
          <w:szCs w:val="20"/>
          <w:u w:val="single"/>
        </w:rPr>
        <w:t>I, j</w:t>
      </w:r>
      <w:r w:rsidRPr="00D7317C">
        <w:rPr>
          <w:rFonts w:cstheme="minorHAnsi"/>
          <w:sz w:val="20"/>
          <w:szCs w:val="20"/>
          <w:u w:val="single"/>
        </w:rPr>
        <w:t>)</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412622" w:rsidRDefault="00412622"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06F79"/>
    <w:rsid w:val="0005255C"/>
    <w:rsid w:val="00071D8E"/>
    <w:rsid w:val="00073B91"/>
    <w:rsid w:val="000900EA"/>
    <w:rsid w:val="000B3397"/>
    <w:rsid w:val="00144E90"/>
    <w:rsid w:val="00155017"/>
    <w:rsid w:val="00182755"/>
    <w:rsid w:val="001F690F"/>
    <w:rsid w:val="00221FF1"/>
    <w:rsid w:val="00260813"/>
    <w:rsid w:val="002656EE"/>
    <w:rsid w:val="002B0705"/>
    <w:rsid w:val="002F0D7C"/>
    <w:rsid w:val="002F2A01"/>
    <w:rsid w:val="003020BE"/>
    <w:rsid w:val="0030271D"/>
    <w:rsid w:val="003253C9"/>
    <w:rsid w:val="00327B09"/>
    <w:rsid w:val="003769F8"/>
    <w:rsid w:val="00385786"/>
    <w:rsid w:val="00386842"/>
    <w:rsid w:val="003D486C"/>
    <w:rsid w:val="003D747D"/>
    <w:rsid w:val="00402598"/>
    <w:rsid w:val="004049A9"/>
    <w:rsid w:val="00412622"/>
    <w:rsid w:val="0041394D"/>
    <w:rsid w:val="00417A23"/>
    <w:rsid w:val="00497D58"/>
    <w:rsid w:val="004A7022"/>
    <w:rsid w:val="004B5AEB"/>
    <w:rsid w:val="004D0BBC"/>
    <w:rsid w:val="00500F84"/>
    <w:rsid w:val="00584AF0"/>
    <w:rsid w:val="005D03B4"/>
    <w:rsid w:val="00635476"/>
    <w:rsid w:val="00646318"/>
    <w:rsid w:val="0066575B"/>
    <w:rsid w:val="006E6325"/>
    <w:rsid w:val="007670A8"/>
    <w:rsid w:val="007747E1"/>
    <w:rsid w:val="00783256"/>
    <w:rsid w:val="007928BE"/>
    <w:rsid w:val="007C3ACD"/>
    <w:rsid w:val="007C5EED"/>
    <w:rsid w:val="007E2335"/>
    <w:rsid w:val="00805712"/>
    <w:rsid w:val="0081212A"/>
    <w:rsid w:val="00832BB0"/>
    <w:rsid w:val="008A171A"/>
    <w:rsid w:val="008D27BE"/>
    <w:rsid w:val="008F4F1A"/>
    <w:rsid w:val="00913DDE"/>
    <w:rsid w:val="00955C58"/>
    <w:rsid w:val="009E3BEE"/>
    <w:rsid w:val="00A54861"/>
    <w:rsid w:val="00A72375"/>
    <w:rsid w:val="00AB3E2E"/>
    <w:rsid w:val="00AD3EFF"/>
    <w:rsid w:val="00B241A0"/>
    <w:rsid w:val="00B41324"/>
    <w:rsid w:val="00B43229"/>
    <w:rsid w:val="00B50E28"/>
    <w:rsid w:val="00B62D65"/>
    <w:rsid w:val="00B67129"/>
    <w:rsid w:val="00B73ECB"/>
    <w:rsid w:val="00B87882"/>
    <w:rsid w:val="00B920DF"/>
    <w:rsid w:val="00BB03DC"/>
    <w:rsid w:val="00BC76F3"/>
    <w:rsid w:val="00C25869"/>
    <w:rsid w:val="00C61812"/>
    <w:rsid w:val="00C6266F"/>
    <w:rsid w:val="00C86B40"/>
    <w:rsid w:val="00C92478"/>
    <w:rsid w:val="00CA4584"/>
    <w:rsid w:val="00CD5D0C"/>
    <w:rsid w:val="00CD7568"/>
    <w:rsid w:val="00CF461C"/>
    <w:rsid w:val="00D05034"/>
    <w:rsid w:val="00D63B90"/>
    <w:rsid w:val="00D7317C"/>
    <w:rsid w:val="00D83280"/>
    <w:rsid w:val="00DC1DFE"/>
    <w:rsid w:val="00DE5E5A"/>
    <w:rsid w:val="00E1543B"/>
    <w:rsid w:val="00E15E71"/>
    <w:rsid w:val="00E20F65"/>
    <w:rsid w:val="00E41E9A"/>
    <w:rsid w:val="00E75ACF"/>
    <w:rsid w:val="00EA6C52"/>
    <w:rsid w:val="00EB53EE"/>
    <w:rsid w:val="00EC66F5"/>
    <w:rsid w:val="00EE461B"/>
    <w:rsid w:val="00F43A13"/>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7DCF9-713F-4AFA-B339-750FF125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11427</Words>
  <Characters>65140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2020-08-20T07:57:00Z</dcterms:created>
  <dcterms:modified xsi:type="dcterms:W3CDTF">2020-08-20T07:57:00Z</dcterms:modified>
</cp:coreProperties>
</file>