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C73F00" w14:textId="77777777" w:rsidR="009E767A" w:rsidRDefault="009E767A" w:rsidP="007F7458">
      <w:pPr>
        <w:jc w:val="center"/>
      </w:pPr>
    </w:p>
    <w:p w14:paraId="20C8AB4F" w14:textId="77777777" w:rsidR="009E767A" w:rsidRDefault="009E767A" w:rsidP="007F7458">
      <w:pPr>
        <w:jc w:val="center"/>
      </w:pPr>
    </w:p>
    <w:p w14:paraId="4D60B40A" w14:textId="77777777" w:rsidR="009E767A" w:rsidRDefault="009E767A" w:rsidP="007F7458">
      <w:pPr>
        <w:jc w:val="center"/>
      </w:pPr>
    </w:p>
    <w:p w14:paraId="11E7C245" w14:textId="77777777" w:rsidR="009E767A" w:rsidRDefault="009E767A" w:rsidP="007F7458">
      <w:pPr>
        <w:jc w:val="center"/>
      </w:pPr>
    </w:p>
    <w:p w14:paraId="0314945B" w14:textId="77777777" w:rsidR="009E767A" w:rsidRDefault="009E767A" w:rsidP="007F7458">
      <w:pPr>
        <w:jc w:val="center"/>
      </w:pPr>
    </w:p>
    <w:p w14:paraId="478C1EE1" w14:textId="77777777" w:rsidR="009E767A" w:rsidRDefault="009E767A" w:rsidP="007F7458">
      <w:pPr>
        <w:jc w:val="center"/>
      </w:pPr>
    </w:p>
    <w:p w14:paraId="658983F1" w14:textId="77777777" w:rsidR="009E767A" w:rsidRDefault="009E767A" w:rsidP="007F7458">
      <w:pPr>
        <w:jc w:val="center"/>
      </w:pPr>
    </w:p>
    <w:p w14:paraId="67979C19" w14:textId="77777777" w:rsidR="009E767A" w:rsidRDefault="009E767A" w:rsidP="007F7458">
      <w:pPr>
        <w:jc w:val="center"/>
      </w:pPr>
    </w:p>
    <w:p w14:paraId="3E4C6C55" w14:textId="77777777" w:rsidR="009E767A" w:rsidRDefault="009E767A" w:rsidP="007F7458">
      <w:pPr>
        <w:jc w:val="center"/>
      </w:pPr>
    </w:p>
    <w:p w14:paraId="14E4DF62" w14:textId="77777777" w:rsidR="009E767A" w:rsidRDefault="009E767A" w:rsidP="007F7458">
      <w:pPr>
        <w:jc w:val="center"/>
      </w:pPr>
    </w:p>
    <w:p w14:paraId="2B5A78A9" w14:textId="77777777" w:rsidR="009E767A" w:rsidRDefault="009E767A" w:rsidP="007F7458">
      <w:pPr>
        <w:jc w:val="center"/>
      </w:pPr>
    </w:p>
    <w:p w14:paraId="48D3BEDD" w14:textId="77777777" w:rsidR="009E767A" w:rsidRPr="00E947BA" w:rsidRDefault="009E767A" w:rsidP="00E947BA">
      <w:pPr>
        <w:jc w:val="center"/>
        <w:rPr>
          <w:sz w:val="36"/>
        </w:rPr>
      </w:pPr>
    </w:p>
    <w:p w14:paraId="7E4E0B75" w14:textId="77777777" w:rsidR="009E767A" w:rsidRPr="00E947BA" w:rsidRDefault="009E767A" w:rsidP="00E947BA">
      <w:pPr>
        <w:jc w:val="center"/>
        <w:rPr>
          <w:sz w:val="36"/>
        </w:rPr>
      </w:pPr>
    </w:p>
    <w:p w14:paraId="42243985" w14:textId="7F8E2D21" w:rsidR="007F7458" w:rsidRPr="00E947BA" w:rsidRDefault="007F7458" w:rsidP="00E947BA">
      <w:pPr>
        <w:jc w:val="center"/>
        <w:rPr>
          <w:sz w:val="36"/>
        </w:rPr>
      </w:pPr>
      <w:r w:rsidRPr="00E947BA">
        <w:rPr>
          <w:sz w:val="36"/>
        </w:rPr>
        <w:t>A Preliminar</w:t>
      </w:r>
      <w:r w:rsidR="00BC1BA5">
        <w:rPr>
          <w:sz w:val="36"/>
        </w:rPr>
        <w:t>y Analysis on the Relationship B</w:t>
      </w:r>
      <w:r w:rsidRPr="00E947BA">
        <w:rPr>
          <w:sz w:val="36"/>
        </w:rPr>
        <w:t xml:space="preserve">etween Local Air Quality and </w:t>
      </w:r>
      <w:r w:rsidR="00E947BA">
        <w:rPr>
          <w:sz w:val="36"/>
        </w:rPr>
        <w:t>a Populations’ Susceptibility to COVID-19</w:t>
      </w:r>
    </w:p>
    <w:p w14:paraId="02BF83D4" w14:textId="77777777" w:rsidR="007F7458" w:rsidRDefault="007F7458" w:rsidP="007F7458">
      <w:pPr>
        <w:jc w:val="center"/>
      </w:pPr>
    </w:p>
    <w:p w14:paraId="08310DB2" w14:textId="77777777" w:rsidR="007F7458" w:rsidRDefault="007F7458" w:rsidP="007F7458">
      <w:pPr>
        <w:jc w:val="center"/>
      </w:pPr>
      <w:r>
        <w:t xml:space="preserve">Ashlynn Steeves </w:t>
      </w:r>
    </w:p>
    <w:p w14:paraId="5CE7298D" w14:textId="77777777" w:rsidR="007F7458" w:rsidRDefault="007F7458" w:rsidP="007F7458">
      <w:pPr>
        <w:jc w:val="center"/>
      </w:pPr>
      <w:r>
        <w:t xml:space="preserve">University of Victoria </w:t>
      </w:r>
      <w:bookmarkStart w:id="0" w:name="_GoBack"/>
      <w:bookmarkEnd w:id="0"/>
    </w:p>
    <w:p w14:paraId="2B31E66C" w14:textId="77777777" w:rsidR="007F7458" w:rsidRDefault="007F7458" w:rsidP="007F7458">
      <w:pPr>
        <w:jc w:val="center"/>
      </w:pPr>
      <w:r>
        <w:t>July</w:t>
      </w:r>
      <w:r w:rsidR="00446919">
        <w:t xml:space="preserve"> 16</w:t>
      </w:r>
      <w:r>
        <w:t>, 2020</w:t>
      </w:r>
    </w:p>
    <w:p w14:paraId="3461907B" w14:textId="77777777" w:rsidR="007F7458" w:rsidRDefault="007F7458"/>
    <w:p w14:paraId="1DF090F5" w14:textId="77777777" w:rsidR="007F7458" w:rsidRDefault="007F7458"/>
    <w:p w14:paraId="60897520" w14:textId="77777777" w:rsidR="00446919" w:rsidRDefault="00446919"/>
    <w:p w14:paraId="5B891FD7" w14:textId="77777777" w:rsidR="00112CAA" w:rsidRDefault="00112CAA"/>
    <w:p w14:paraId="36976DE6" w14:textId="77777777" w:rsidR="00112CAA" w:rsidRDefault="00112CAA"/>
    <w:p w14:paraId="6A5FCE85" w14:textId="77777777" w:rsidR="00112CAA" w:rsidRDefault="00112CAA"/>
    <w:p w14:paraId="7882A678" w14:textId="77777777" w:rsidR="00112CAA" w:rsidRDefault="00112CAA"/>
    <w:p w14:paraId="473947D9" w14:textId="77777777" w:rsidR="00112CAA" w:rsidRDefault="00112CAA"/>
    <w:p w14:paraId="655B38C2" w14:textId="77777777" w:rsidR="00112CAA" w:rsidRDefault="00112CAA"/>
    <w:p w14:paraId="6AD93C42" w14:textId="77777777" w:rsidR="009E767A" w:rsidRDefault="009E767A"/>
    <w:p w14:paraId="2AE996B4" w14:textId="77777777" w:rsidR="009E767A" w:rsidRDefault="009E767A"/>
    <w:p w14:paraId="5E47526D" w14:textId="77777777" w:rsidR="009E767A" w:rsidRDefault="009E767A"/>
    <w:p w14:paraId="71321409" w14:textId="77777777" w:rsidR="009E767A" w:rsidRDefault="009E767A"/>
    <w:p w14:paraId="29378173" w14:textId="77777777" w:rsidR="009E767A" w:rsidRDefault="009E767A"/>
    <w:p w14:paraId="516DED12" w14:textId="77777777" w:rsidR="009E767A" w:rsidRDefault="009E767A"/>
    <w:p w14:paraId="012CB2A5" w14:textId="77777777" w:rsidR="009E767A" w:rsidRDefault="009E767A"/>
    <w:p w14:paraId="2ACE1505" w14:textId="77777777" w:rsidR="009E767A" w:rsidRDefault="009E767A"/>
    <w:p w14:paraId="3F0939AF" w14:textId="77777777" w:rsidR="009E767A" w:rsidRDefault="009E767A"/>
    <w:p w14:paraId="5FF6BDE2" w14:textId="77777777" w:rsidR="009E767A" w:rsidRDefault="009E767A"/>
    <w:p w14:paraId="17DF7E64" w14:textId="77777777" w:rsidR="009E767A" w:rsidRDefault="009E767A"/>
    <w:p w14:paraId="74007C65" w14:textId="77777777" w:rsidR="009E767A" w:rsidRDefault="009E767A"/>
    <w:p w14:paraId="51B12620" w14:textId="77777777" w:rsidR="009E767A" w:rsidRDefault="009E767A"/>
    <w:p w14:paraId="131A8C48" w14:textId="77777777" w:rsidR="009E767A" w:rsidRDefault="009E767A"/>
    <w:sdt>
      <w:sdtPr>
        <w:id w:val="-165949899"/>
        <w:docPartObj>
          <w:docPartGallery w:val="Table of Contents"/>
          <w:docPartUnique/>
        </w:docPartObj>
      </w:sdtPr>
      <w:sdtEndPr>
        <w:rPr>
          <w:rFonts w:asciiTheme="minorHAnsi" w:eastAsiaTheme="minorEastAsia" w:hAnsiTheme="minorHAnsi" w:cstheme="minorBidi"/>
          <w:noProof/>
          <w:color w:val="auto"/>
          <w:sz w:val="24"/>
          <w:szCs w:val="24"/>
          <w:lang w:val="en-CA"/>
        </w:rPr>
      </w:sdtEndPr>
      <w:sdtContent>
        <w:p w14:paraId="525ED5DA" w14:textId="746252C4" w:rsidR="004D00D4" w:rsidRPr="00670395" w:rsidRDefault="004D00D4">
          <w:pPr>
            <w:pStyle w:val="TOCHeading"/>
            <w:rPr>
              <w:color w:val="auto"/>
              <w:sz w:val="32"/>
            </w:rPr>
          </w:pPr>
          <w:r w:rsidRPr="00670395">
            <w:rPr>
              <w:color w:val="auto"/>
              <w:sz w:val="32"/>
            </w:rPr>
            <w:t>Table of Contents</w:t>
          </w:r>
        </w:p>
        <w:p w14:paraId="34050449" w14:textId="77777777" w:rsidR="00BC1BA5" w:rsidRDefault="00670395">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sidR="00BC1BA5">
            <w:rPr>
              <w:noProof/>
            </w:rPr>
            <w:t>Problem definition</w:t>
          </w:r>
          <w:r w:rsidR="00BC1BA5">
            <w:rPr>
              <w:noProof/>
            </w:rPr>
            <w:tab/>
          </w:r>
          <w:r w:rsidR="00BC1BA5">
            <w:rPr>
              <w:noProof/>
            </w:rPr>
            <w:fldChar w:fldCharType="begin"/>
          </w:r>
          <w:r w:rsidR="00BC1BA5">
            <w:rPr>
              <w:noProof/>
            </w:rPr>
            <w:instrText xml:space="preserve"> PAGEREF _Toc456521812 \h </w:instrText>
          </w:r>
          <w:r w:rsidR="00BC1BA5">
            <w:rPr>
              <w:noProof/>
            </w:rPr>
          </w:r>
          <w:r w:rsidR="00BC1BA5">
            <w:rPr>
              <w:noProof/>
            </w:rPr>
            <w:fldChar w:fldCharType="separate"/>
          </w:r>
          <w:r w:rsidR="00BC1BA5">
            <w:rPr>
              <w:noProof/>
            </w:rPr>
            <w:t>3</w:t>
          </w:r>
          <w:r w:rsidR="00BC1BA5">
            <w:rPr>
              <w:noProof/>
            </w:rPr>
            <w:fldChar w:fldCharType="end"/>
          </w:r>
        </w:p>
        <w:p w14:paraId="3F8231EC" w14:textId="77777777" w:rsidR="00BC1BA5" w:rsidRDefault="00BC1BA5">
          <w:pPr>
            <w:pStyle w:val="TOC1"/>
            <w:tabs>
              <w:tab w:val="right" w:leader="dot" w:pos="8630"/>
            </w:tabs>
            <w:rPr>
              <w:b w:val="0"/>
              <w:noProof/>
              <w:lang w:eastAsia="ja-JP"/>
            </w:rPr>
          </w:pPr>
          <w:r>
            <w:rPr>
              <w:noProof/>
            </w:rPr>
            <w:t>Air Quality Index</w:t>
          </w:r>
          <w:r>
            <w:rPr>
              <w:noProof/>
            </w:rPr>
            <w:tab/>
          </w:r>
          <w:r>
            <w:rPr>
              <w:noProof/>
            </w:rPr>
            <w:fldChar w:fldCharType="begin"/>
          </w:r>
          <w:r>
            <w:rPr>
              <w:noProof/>
            </w:rPr>
            <w:instrText xml:space="preserve"> PAGEREF _Toc456521813 \h </w:instrText>
          </w:r>
          <w:r>
            <w:rPr>
              <w:noProof/>
            </w:rPr>
          </w:r>
          <w:r>
            <w:rPr>
              <w:noProof/>
            </w:rPr>
            <w:fldChar w:fldCharType="separate"/>
          </w:r>
          <w:r>
            <w:rPr>
              <w:noProof/>
            </w:rPr>
            <w:t>3</w:t>
          </w:r>
          <w:r>
            <w:rPr>
              <w:noProof/>
            </w:rPr>
            <w:fldChar w:fldCharType="end"/>
          </w:r>
        </w:p>
        <w:p w14:paraId="00C1F691" w14:textId="77777777" w:rsidR="00BC1BA5" w:rsidRDefault="00BC1BA5">
          <w:pPr>
            <w:pStyle w:val="TOC1"/>
            <w:tabs>
              <w:tab w:val="right" w:leader="dot" w:pos="8630"/>
            </w:tabs>
            <w:rPr>
              <w:b w:val="0"/>
              <w:noProof/>
              <w:lang w:eastAsia="ja-JP"/>
            </w:rPr>
          </w:pPr>
          <w:r>
            <w:rPr>
              <w:noProof/>
            </w:rPr>
            <w:t>Datasets</w:t>
          </w:r>
          <w:r>
            <w:rPr>
              <w:noProof/>
            </w:rPr>
            <w:tab/>
          </w:r>
          <w:r>
            <w:rPr>
              <w:noProof/>
            </w:rPr>
            <w:fldChar w:fldCharType="begin"/>
          </w:r>
          <w:r>
            <w:rPr>
              <w:noProof/>
            </w:rPr>
            <w:instrText xml:space="preserve"> PAGEREF _Toc456521814 \h </w:instrText>
          </w:r>
          <w:r>
            <w:rPr>
              <w:noProof/>
            </w:rPr>
          </w:r>
          <w:r>
            <w:rPr>
              <w:noProof/>
            </w:rPr>
            <w:fldChar w:fldCharType="separate"/>
          </w:r>
          <w:r>
            <w:rPr>
              <w:noProof/>
            </w:rPr>
            <w:t>4</w:t>
          </w:r>
          <w:r>
            <w:rPr>
              <w:noProof/>
            </w:rPr>
            <w:fldChar w:fldCharType="end"/>
          </w:r>
        </w:p>
        <w:p w14:paraId="2C1CC542" w14:textId="77777777" w:rsidR="00BC1BA5" w:rsidRDefault="00BC1BA5">
          <w:pPr>
            <w:pStyle w:val="TOC2"/>
            <w:tabs>
              <w:tab w:val="right" w:leader="dot" w:pos="8630"/>
            </w:tabs>
            <w:rPr>
              <w:b w:val="0"/>
              <w:noProof/>
              <w:sz w:val="24"/>
              <w:szCs w:val="24"/>
              <w:lang w:eastAsia="ja-JP"/>
            </w:rPr>
          </w:pPr>
          <w:r>
            <w:rPr>
              <w:noProof/>
            </w:rPr>
            <w:t>John Hopkins COVID-19 Data Repository</w:t>
          </w:r>
          <w:r>
            <w:rPr>
              <w:noProof/>
            </w:rPr>
            <w:tab/>
          </w:r>
          <w:r>
            <w:rPr>
              <w:noProof/>
            </w:rPr>
            <w:fldChar w:fldCharType="begin"/>
          </w:r>
          <w:r>
            <w:rPr>
              <w:noProof/>
            </w:rPr>
            <w:instrText xml:space="preserve"> PAGEREF _Toc456521815 \h </w:instrText>
          </w:r>
          <w:r>
            <w:rPr>
              <w:noProof/>
            </w:rPr>
          </w:r>
          <w:r>
            <w:rPr>
              <w:noProof/>
            </w:rPr>
            <w:fldChar w:fldCharType="separate"/>
          </w:r>
          <w:r>
            <w:rPr>
              <w:noProof/>
            </w:rPr>
            <w:t>4</w:t>
          </w:r>
          <w:r>
            <w:rPr>
              <w:noProof/>
            </w:rPr>
            <w:fldChar w:fldCharType="end"/>
          </w:r>
        </w:p>
        <w:p w14:paraId="66C851BD" w14:textId="77777777" w:rsidR="00BC1BA5" w:rsidRDefault="00BC1BA5">
          <w:pPr>
            <w:pStyle w:val="TOC2"/>
            <w:tabs>
              <w:tab w:val="right" w:leader="dot" w:pos="8630"/>
            </w:tabs>
            <w:rPr>
              <w:b w:val="0"/>
              <w:noProof/>
              <w:sz w:val="24"/>
              <w:szCs w:val="24"/>
              <w:lang w:eastAsia="ja-JP"/>
            </w:rPr>
          </w:pPr>
          <w:r>
            <w:rPr>
              <w:noProof/>
            </w:rPr>
            <w:t>World Air Quality Index Project</w:t>
          </w:r>
          <w:r>
            <w:rPr>
              <w:noProof/>
            </w:rPr>
            <w:tab/>
          </w:r>
          <w:r>
            <w:rPr>
              <w:noProof/>
            </w:rPr>
            <w:fldChar w:fldCharType="begin"/>
          </w:r>
          <w:r>
            <w:rPr>
              <w:noProof/>
            </w:rPr>
            <w:instrText xml:space="preserve"> PAGEREF _Toc456521816 \h </w:instrText>
          </w:r>
          <w:r>
            <w:rPr>
              <w:noProof/>
            </w:rPr>
          </w:r>
          <w:r>
            <w:rPr>
              <w:noProof/>
            </w:rPr>
            <w:fldChar w:fldCharType="separate"/>
          </w:r>
          <w:r>
            <w:rPr>
              <w:noProof/>
            </w:rPr>
            <w:t>4</w:t>
          </w:r>
          <w:r>
            <w:rPr>
              <w:noProof/>
            </w:rPr>
            <w:fldChar w:fldCharType="end"/>
          </w:r>
        </w:p>
        <w:p w14:paraId="2DF4A00F" w14:textId="77777777" w:rsidR="00BC1BA5" w:rsidRDefault="00BC1BA5">
          <w:pPr>
            <w:pStyle w:val="TOC2"/>
            <w:tabs>
              <w:tab w:val="right" w:leader="dot" w:pos="8630"/>
            </w:tabs>
            <w:rPr>
              <w:b w:val="0"/>
              <w:noProof/>
              <w:sz w:val="24"/>
              <w:szCs w:val="24"/>
              <w:lang w:eastAsia="ja-JP"/>
            </w:rPr>
          </w:pPr>
          <w:r>
            <w:rPr>
              <w:noProof/>
            </w:rPr>
            <w:t>United States Environmental Protection Agency</w:t>
          </w:r>
          <w:r>
            <w:rPr>
              <w:noProof/>
            </w:rPr>
            <w:tab/>
          </w:r>
          <w:r>
            <w:rPr>
              <w:noProof/>
            </w:rPr>
            <w:fldChar w:fldCharType="begin"/>
          </w:r>
          <w:r>
            <w:rPr>
              <w:noProof/>
            </w:rPr>
            <w:instrText xml:space="preserve"> PAGEREF _Toc456521817 \h </w:instrText>
          </w:r>
          <w:r>
            <w:rPr>
              <w:noProof/>
            </w:rPr>
          </w:r>
          <w:r>
            <w:rPr>
              <w:noProof/>
            </w:rPr>
            <w:fldChar w:fldCharType="separate"/>
          </w:r>
          <w:r>
            <w:rPr>
              <w:noProof/>
            </w:rPr>
            <w:t>4</w:t>
          </w:r>
          <w:r>
            <w:rPr>
              <w:noProof/>
            </w:rPr>
            <w:fldChar w:fldCharType="end"/>
          </w:r>
        </w:p>
        <w:p w14:paraId="1CAD19E5" w14:textId="77777777" w:rsidR="00BC1BA5" w:rsidRDefault="00BC1BA5">
          <w:pPr>
            <w:pStyle w:val="TOC1"/>
            <w:tabs>
              <w:tab w:val="right" w:leader="dot" w:pos="8630"/>
            </w:tabs>
            <w:rPr>
              <w:b w:val="0"/>
              <w:noProof/>
              <w:lang w:eastAsia="ja-JP"/>
            </w:rPr>
          </w:pPr>
          <w:r>
            <w:rPr>
              <w:noProof/>
            </w:rPr>
            <w:t>Past Approaches</w:t>
          </w:r>
          <w:r>
            <w:rPr>
              <w:noProof/>
            </w:rPr>
            <w:tab/>
          </w:r>
          <w:r>
            <w:rPr>
              <w:noProof/>
            </w:rPr>
            <w:fldChar w:fldCharType="begin"/>
          </w:r>
          <w:r>
            <w:rPr>
              <w:noProof/>
            </w:rPr>
            <w:instrText xml:space="preserve"> PAGEREF _Toc456521818 \h </w:instrText>
          </w:r>
          <w:r>
            <w:rPr>
              <w:noProof/>
            </w:rPr>
          </w:r>
          <w:r>
            <w:rPr>
              <w:noProof/>
            </w:rPr>
            <w:fldChar w:fldCharType="separate"/>
          </w:r>
          <w:r>
            <w:rPr>
              <w:noProof/>
            </w:rPr>
            <w:t>5</w:t>
          </w:r>
          <w:r>
            <w:rPr>
              <w:noProof/>
            </w:rPr>
            <w:fldChar w:fldCharType="end"/>
          </w:r>
        </w:p>
        <w:p w14:paraId="37C733BE" w14:textId="77777777" w:rsidR="00BC1BA5" w:rsidRDefault="00BC1BA5">
          <w:pPr>
            <w:pStyle w:val="TOC2"/>
            <w:tabs>
              <w:tab w:val="right" w:leader="dot" w:pos="8630"/>
            </w:tabs>
            <w:rPr>
              <w:b w:val="0"/>
              <w:noProof/>
              <w:sz w:val="24"/>
              <w:szCs w:val="24"/>
              <w:lang w:eastAsia="ja-JP"/>
            </w:rPr>
          </w:pPr>
          <w:r>
            <w:rPr>
              <w:noProof/>
            </w:rPr>
            <w:t>Australian Wildfires</w:t>
          </w:r>
          <w:r>
            <w:rPr>
              <w:noProof/>
            </w:rPr>
            <w:tab/>
          </w:r>
          <w:r>
            <w:rPr>
              <w:noProof/>
            </w:rPr>
            <w:fldChar w:fldCharType="begin"/>
          </w:r>
          <w:r>
            <w:rPr>
              <w:noProof/>
            </w:rPr>
            <w:instrText xml:space="preserve"> PAGEREF _Toc456521819 \h </w:instrText>
          </w:r>
          <w:r>
            <w:rPr>
              <w:noProof/>
            </w:rPr>
          </w:r>
          <w:r>
            <w:rPr>
              <w:noProof/>
            </w:rPr>
            <w:fldChar w:fldCharType="separate"/>
          </w:r>
          <w:r>
            <w:rPr>
              <w:noProof/>
            </w:rPr>
            <w:t>5</w:t>
          </w:r>
          <w:r>
            <w:rPr>
              <w:noProof/>
            </w:rPr>
            <w:fldChar w:fldCharType="end"/>
          </w:r>
        </w:p>
        <w:p w14:paraId="7018D9C9" w14:textId="77777777" w:rsidR="00BC1BA5" w:rsidRDefault="00BC1BA5">
          <w:pPr>
            <w:pStyle w:val="TOC2"/>
            <w:tabs>
              <w:tab w:val="right" w:leader="dot" w:pos="8630"/>
            </w:tabs>
            <w:rPr>
              <w:b w:val="0"/>
              <w:noProof/>
              <w:sz w:val="24"/>
              <w:szCs w:val="24"/>
              <w:lang w:eastAsia="ja-JP"/>
            </w:rPr>
          </w:pPr>
          <w:r>
            <w:rPr>
              <w:noProof/>
            </w:rPr>
            <w:t>Pairwise Analysis</w:t>
          </w:r>
          <w:r>
            <w:rPr>
              <w:noProof/>
            </w:rPr>
            <w:tab/>
          </w:r>
          <w:r>
            <w:rPr>
              <w:noProof/>
            </w:rPr>
            <w:fldChar w:fldCharType="begin"/>
          </w:r>
          <w:r>
            <w:rPr>
              <w:noProof/>
            </w:rPr>
            <w:instrText xml:space="preserve"> PAGEREF _Toc456521820 \h </w:instrText>
          </w:r>
          <w:r>
            <w:rPr>
              <w:noProof/>
            </w:rPr>
          </w:r>
          <w:r>
            <w:rPr>
              <w:noProof/>
            </w:rPr>
            <w:fldChar w:fldCharType="separate"/>
          </w:r>
          <w:r>
            <w:rPr>
              <w:noProof/>
            </w:rPr>
            <w:t>6</w:t>
          </w:r>
          <w:r>
            <w:rPr>
              <w:noProof/>
            </w:rPr>
            <w:fldChar w:fldCharType="end"/>
          </w:r>
        </w:p>
        <w:p w14:paraId="0467E517" w14:textId="77777777" w:rsidR="00BC1BA5" w:rsidRDefault="00BC1BA5">
          <w:pPr>
            <w:pStyle w:val="TOC1"/>
            <w:tabs>
              <w:tab w:val="right" w:leader="dot" w:pos="8630"/>
            </w:tabs>
            <w:rPr>
              <w:b w:val="0"/>
              <w:noProof/>
              <w:lang w:eastAsia="ja-JP"/>
            </w:rPr>
          </w:pPr>
          <w:r>
            <w:rPr>
              <w:noProof/>
            </w:rPr>
            <w:t>County Level Analysis</w:t>
          </w:r>
          <w:r>
            <w:rPr>
              <w:noProof/>
            </w:rPr>
            <w:tab/>
          </w:r>
          <w:r>
            <w:rPr>
              <w:noProof/>
            </w:rPr>
            <w:fldChar w:fldCharType="begin"/>
          </w:r>
          <w:r>
            <w:rPr>
              <w:noProof/>
            </w:rPr>
            <w:instrText xml:space="preserve"> PAGEREF _Toc456521821 \h </w:instrText>
          </w:r>
          <w:r>
            <w:rPr>
              <w:noProof/>
            </w:rPr>
          </w:r>
          <w:r>
            <w:rPr>
              <w:noProof/>
            </w:rPr>
            <w:fldChar w:fldCharType="separate"/>
          </w:r>
          <w:r>
            <w:rPr>
              <w:noProof/>
            </w:rPr>
            <w:t>8</w:t>
          </w:r>
          <w:r>
            <w:rPr>
              <w:noProof/>
            </w:rPr>
            <w:fldChar w:fldCharType="end"/>
          </w:r>
        </w:p>
        <w:p w14:paraId="20CC5A94" w14:textId="77777777" w:rsidR="00BC1BA5" w:rsidRDefault="00BC1BA5">
          <w:pPr>
            <w:pStyle w:val="TOC1"/>
            <w:tabs>
              <w:tab w:val="right" w:leader="dot" w:pos="8630"/>
            </w:tabs>
            <w:rPr>
              <w:b w:val="0"/>
              <w:noProof/>
              <w:lang w:eastAsia="ja-JP"/>
            </w:rPr>
          </w:pPr>
          <w:r>
            <w:rPr>
              <w:noProof/>
            </w:rPr>
            <w:t>Future Work</w:t>
          </w:r>
          <w:r>
            <w:rPr>
              <w:noProof/>
            </w:rPr>
            <w:tab/>
          </w:r>
          <w:r>
            <w:rPr>
              <w:noProof/>
            </w:rPr>
            <w:fldChar w:fldCharType="begin"/>
          </w:r>
          <w:r>
            <w:rPr>
              <w:noProof/>
            </w:rPr>
            <w:instrText xml:space="preserve"> PAGEREF _Toc456521822 \h </w:instrText>
          </w:r>
          <w:r>
            <w:rPr>
              <w:noProof/>
            </w:rPr>
          </w:r>
          <w:r>
            <w:rPr>
              <w:noProof/>
            </w:rPr>
            <w:fldChar w:fldCharType="separate"/>
          </w:r>
          <w:r>
            <w:rPr>
              <w:noProof/>
            </w:rPr>
            <w:t>11</w:t>
          </w:r>
          <w:r>
            <w:rPr>
              <w:noProof/>
            </w:rPr>
            <w:fldChar w:fldCharType="end"/>
          </w:r>
        </w:p>
        <w:p w14:paraId="5ABBB495" w14:textId="77777777" w:rsidR="00BC1BA5" w:rsidRDefault="00BC1BA5">
          <w:pPr>
            <w:pStyle w:val="TOC1"/>
            <w:tabs>
              <w:tab w:val="right" w:leader="dot" w:pos="8630"/>
            </w:tabs>
            <w:rPr>
              <w:b w:val="0"/>
              <w:noProof/>
              <w:lang w:eastAsia="ja-JP"/>
            </w:rPr>
          </w:pPr>
          <w:r>
            <w:rPr>
              <w:noProof/>
            </w:rPr>
            <w:t>Conclusions</w:t>
          </w:r>
          <w:r>
            <w:rPr>
              <w:noProof/>
            </w:rPr>
            <w:tab/>
          </w:r>
          <w:r>
            <w:rPr>
              <w:noProof/>
            </w:rPr>
            <w:fldChar w:fldCharType="begin"/>
          </w:r>
          <w:r>
            <w:rPr>
              <w:noProof/>
            </w:rPr>
            <w:instrText xml:space="preserve"> PAGEREF _Toc456521823 \h </w:instrText>
          </w:r>
          <w:r>
            <w:rPr>
              <w:noProof/>
            </w:rPr>
          </w:r>
          <w:r>
            <w:rPr>
              <w:noProof/>
            </w:rPr>
            <w:fldChar w:fldCharType="separate"/>
          </w:r>
          <w:r>
            <w:rPr>
              <w:noProof/>
            </w:rPr>
            <w:t>11</w:t>
          </w:r>
          <w:r>
            <w:rPr>
              <w:noProof/>
            </w:rPr>
            <w:fldChar w:fldCharType="end"/>
          </w:r>
        </w:p>
        <w:p w14:paraId="6E0BA9A5" w14:textId="77777777" w:rsidR="00BC1BA5" w:rsidRDefault="00BC1BA5">
          <w:pPr>
            <w:pStyle w:val="TOC1"/>
            <w:tabs>
              <w:tab w:val="right" w:leader="dot" w:pos="8630"/>
            </w:tabs>
            <w:rPr>
              <w:b w:val="0"/>
              <w:noProof/>
              <w:lang w:eastAsia="ja-JP"/>
            </w:rPr>
          </w:pPr>
          <w:r>
            <w:rPr>
              <w:noProof/>
            </w:rPr>
            <w:t>References</w:t>
          </w:r>
          <w:r>
            <w:rPr>
              <w:noProof/>
            </w:rPr>
            <w:tab/>
          </w:r>
          <w:r>
            <w:rPr>
              <w:noProof/>
            </w:rPr>
            <w:fldChar w:fldCharType="begin"/>
          </w:r>
          <w:r>
            <w:rPr>
              <w:noProof/>
            </w:rPr>
            <w:instrText xml:space="preserve"> PAGEREF _Toc456521824 \h </w:instrText>
          </w:r>
          <w:r>
            <w:rPr>
              <w:noProof/>
            </w:rPr>
          </w:r>
          <w:r>
            <w:rPr>
              <w:noProof/>
            </w:rPr>
            <w:fldChar w:fldCharType="separate"/>
          </w:r>
          <w:r>
            <w:rPr>
              <w:noProof/>
            </w:rPr>
            <w:t>12</w:t>
          </w:r>
          <w:r>
            <w:rPr>
              <w:noProof/>
            </w:rPr>
            <w:fldChar w:fldCharType="end"/>
          </w:r>
        </w:p>
        <w:p w14:paraId="5077FFE6" w14:textId="77777777" w:rsidR="00BC1BA5" w:rsidRDefault="00BC1BA5">
          <w:pPr>
            <w:pStyle w:val="TOC1"/>
            <w:tabs>
              <w:tab w:val="right" w:leader="dot" w:pos="8630"/>
            </w:tabs>
            <w:rPr>
              <w:b w:val="0"/>
              <w:noProof/>
              <w:lang w:eastAsia="ja-JP"/>
            </w:rPr>
          </w:pPr>
          <w:r>
            <w:rPr>
              <w:noProof/>
            </w:rPr>
            <w:t>APPENDIX A – Normalization Histograms</w:t>
          </w:r>
          <w:r>
            <w:rPr>
              <w:noProof/>
            </w:rPr>
            <w:tab/>
          </w:r>
          <w:r>
            <w:rPr>
              <w:noProof/>
            </w:rPr>
            <w:fldChar w:fldCharType="begin"/>
          </w:r>
          <w:r>
            <w:rPr>
              <w:noProof/>
            </w:rPr>
            <w:instrText xml:space="preserve"> PAGEREF _Toc456521825 \h </w:instrText>
          </w:r>
          <w:r>
            <w:rPr>
              <w:noProof/>
            </w:rPr>
          </w:r>
          <w:r>
            <w:rPr>
              <w:noProof/>
            </w:rPr>
            <w:fldChar w:fldCharType="separate"/>
          </w:r>
          <w:r>
            <w:rPr>
              <w:noProof/>
            </w:rPr>
            <w:t>13</w:t>
          </w:r>
          <w:r>
            <w:rPr>
              <w:noProof/>
            </w:rPr>
            <w:fldChar w:fldCharType="end"/>
          </w:r>
        </w:p>
        <w:p w14:paraId="432DE2B3" w14:textId="09B41A3A" w:rsidR="004D00D4" w:rsidRDefault="00670395" w:rsidP="00670395">
          <w:r>
            <w:rPr>
              <w:b/>
            </w:rPr>
            <w:fldChar w:fldCharType="end"/>
          </w:r>
        </w:p>
      </w:sdtContent>
    </w:sdt>
    <w:p w14:paraId="63AA1FCE" w14:textId="77777777" w:rsidR="00670395" w:rsidRDefault="00670395" w:rsidP="00670395">
      <w:pPr>
        <w:rPr>
          <w:rFonts w:ascii="Calibri" w:hAnsi="Calibri"/>
          <w:b/>
          <w:sz w:val="32"/>
        </w:rPr>
      </w:pPr>
    </w:p>
    <w:p w14:paraId="0D5D8F5E" w14:textId="5E91A31B" w:rsidR="00931D48" w:rsidRPr="00670395" w:rsidRDefault="00931D48" w:rsidP="00670395">
      <w:pPr>
        <w:rPr>
          <w:rFonts w:ascii="Calibri" w:hAnsi="Calibri"/>
          <w:b/>
          <w:sz w:val="32"/>
        </w:rPr>
      </w:pPr>
      <w:r w:rsidRPr="00670395">
        <w:rPr>
          <w:rFonts w:ascii="Calibri" w:hAnsi="Calibri"/>
          <w:b/>
          <w:sz w:val="32"/>
        </w:rPr>
        <w:t xml:space="preserve">Table of </w:t>
      </w:r>
      <w:r w:rsidR="004D00D4" w:rsidRPr="00670395">
        <w:rPr>
          <w:rFonts w:ascii="Calibri" w:hAnsi="Calibri"/>
          <w:b/>
          <w:sz w:val="32"/>
        </w:rPr>
        <w:t xml:space="preserve">Figures </w:t>
      </w:r>
    </w:p>
    <w:p w14:paraId="5A109371" w14:textId="77777777" w:rsidR="00BC1BA5" w:rsidRDefault="004D00D4">
      <w:pPr>
        <w:pStyle w:val="TableofFigures"/>
        <w:tabs>
          <w:tab w:val="right" w:leader="dot" w:pos="8630"/>
        </w:tabs>
        <w:rPr>
          <w:noProof/>
          <w:lang w:eastAsia="ja-JP"/>
        </w:rPr>
      </w:pPr>
      <w:r>
        <w:rPr>
          <w:b/>
          <w:bCs/>
        </w:rPr>
        <w:fldChar w:fldCharType="begin"/>
      </w:r>
      <w:r>
        <w:rPr>
          <w:b/>
          <w:bCs/>
        </w:rPr>
        <w:instrText xml:space="preserve"> TOC \c "Figure" </w:instrText>
      </w:r>
      <w:r>
        <w:rPr>
          <w:b/>
          <w:bCs/>
        </w:rPr>
        <w:fldChar w:fldCharType="separate"/>
      </w:r>
      <w:r w:rsidR="00BC1BA5" w:rsidRPr="009750A6">
        <w:rPr>
          <w:noProof/>
        </w:rPr>
        <w:t>Figure 1 – Top: Air Quality Index in Major Australian Cities, Bottom: 7 Day Moving Mean of Air Quality Index in Major Australian Cities</w:t>
      </w:r>
      <w:r w:rsidR="00BC1BA5">
        <w:rPr>
          <w:noProof/>
        </w:rPr>
        <w:tab/>
      </w:r>
      <w:r w:rsidR="00BC1BA5">
        <w:rPr>
          <w:noProof/>
        </w:rPr>
        <w:fldChar w:fldCharType="begin"/>
      </w:r>
      <w:r w:rsidR="00BC1BA5">
        <w:rPr>
          <w:noProof/>
        </w:rPr>
        <w:instrText xml:space="preserve"> PAGEREF _Toc456521826 \h </w:instrText>
      </w:r>
      <w:r w:rsidR="00BC1BA5">
        <w:rPr>
          <w:noProof/>
        </w:rPr>
      </w:r>
      <w:r w:rsidR="00BC1BA5">
        <w:rPr>
          <w:noProof/>
        </w:rPr>
        <w:fldChar w:fldCharType="separate"/>
      </w:r>
      <w:r w:rsidR="00BC1BA5">
        <w:rPr>
          <w:noProof/>
        </w:rPr>
        <w:t>6</w:t>
      </w:r>
      <w:r w:rsidR="00BC1BA5">
        <w:rPr>
          <w:noProof/>
        </w:rPr>
        <w:fldChar w:fldCharType="end"/>
      </w:r>
    </w:p>
    <w:p w14:paraId="48F52F37" w14:textId="77777777" w:rsidR="00BC1BA5" w:rsidRDefault="00BC1BA5">
      <w:pPr>
        <w:pStyle w:val="TableofFigures"/>
        <w:tabs>
          <w:tab w:val="right" w:leader="dot" w:pos="8630"/>
        </w:tabs>
        <w:rPr>
          <w:noProof/>
          <w:lang w:eastAsia="ja-JP"/>
        </w:rPr>
      </w:pPr>
      <w:r w:rsidRPr="009750A6">
        <w:rPr>
          <w:noProof/>
        </w:rPr>
        <w:t>Figure 2 - Air Quality Index in Los Angeles and Seattle</w:t>
      </w:r>
      <w:r>
        <w:rPr>
          <w:noProof/>
        </w:rPr>
        <w:tab/>
      </w:r>
      <w:r>
        <w:rPr>
          <w:noProof/>
        </w:rPr>
        <w:fldChar w:fldCharType="begin"/>
      </w:r>
      <w:r>
        <w:rPr>
          <w:noProof/>
        </w:rPr>
        <w:instrText xml:space="preserve"> PAGEREF _Toc456521827 \h </w:instrText>
      </w:r>
      <w:r>
        <w:rPr>
          <w:noProof/>
        </w:rPr>
      </w:r>
      <w:r>
        <w:rPr>
          <w:noProof/>
        </w:rPr>
        <w:fldChar w:fldCharType="separate"/>
      </w:r>
      <w:r>
        <w:rPr>
          <w:noProof/>
        </w:rPr>
        <w:t>7</w:t>
      </w:r>
      <w:r>
        <w:rPr>
          <w:noProof/>
        </w:rPr>
        <w:fldChar w:fldCharType="end"/>
      </w:r>
    </w:p>
    <w:p w14:paraId="012130AB" w14:textId="77777777" w:rsidR="00BC1BA5" w:rsidRDefault="00BC1BA5">
      <w:pPr>
        <w:pStyle w:val="TableofFigures"/>
        <w:tabs>
          <w:tab w:val="right" w:leader="dot" w:pos="8630"/>
        </w:tabs>
        <w:rPr>
          <w:noProof/>
          <w:lang w:eastAsia="ja-JP"/>
        </w:rPr>
      </w:pPr>
      <w:r w:rsidRPr="009750A6">
        <w:rPr>
          <w:noProof/>
        </w:rPr>
        <w:t>Figure 3 - Differences in Air Quality Index Between Los Angeles and Seattle</w:t>
      </w:r>
      <w:r>
        <w:rPr>
          <w:noProof/>
        </w:rPr>
        <w:tab/>
      </w:r>
      <w:r>
        <w:rPr>
          <w:noProof/>
        </w:rPr>
        <w:fldChar w:fldCharType="begin"/>
      </w:r>
      <w:r>
        <w:rPr>
          <w:noProof/>
        </w:rPr>
        <w:instrText xml:space="preserve"> PAGEREF _Toc456521828 \h </w:instrText>
      </w:r>
      <w:r>
        <w:rPr>
          <w:noProof/>
        </w:rPr>
      </w:r>
      <w:r>
        <w:rPr>
          <w:noProof/>
        </w:rPr>
        <w:fldChar w:fldCharType="separate"/>
      </w:r>
      <w:r>
        <w:rPr>
          <w:noProof/>
        </w:rPr>
        <w:t>7</w:t>
      </w:r>
      <w:r>
        <w:rPr>
          <w:noProof/>
        </w:rPr>
        <w:fldChar w:fldCharType="end"/>
      </w:r>
    </w:p>
    <w:p w14:paraId="7154C1DF" w14:textId="77777777" w:rsidR="00BC1BA5" w:rsidRDefault="00BC1BA5">
      <w:pPr>
        <w:pStyle w:val="TableofFigures"/>
        <w:tabs>
          <w:tab w:val="right" w:leader="dot" w:pos="8630"/>
        </w:tabs>
        <w:rPr>
          <w:noProof/>
          <w:lang w:eastAsia="ja-JP"/>
        </w:rPr>
      </w:pPr>
      <w:r w:rsidRPr="009750A6">
        <w:rPr>
          <w:noProof/>
        </w:rPr>
        <w:t>Figure 4 - Counties Represented in Analysis</w:t>
      </w:r>
      <w:r>
        <w:rPr>
          <w:noProof/>
        </w:rPr>
        <w:tab/>
      </w:r>
      <w:r>
        <w:rPr>
          <w:noProof/>
        </w:rPr>
        <w:fldChar w:fldCharType="begin"/>
      </w:r>
      <w:r>
        <w:rPr>
          <w:noProof/>
        </w:rPr>
        <w:instrText xml:space="preserve"> PAGEREF _Toc456521829 \h </w:instrText>
      </w:r>
      <w:r>
        <w:rPr>
          <w:noProof/>
        </w:rPr>
      </w:r>
      <w:r>
        <w:rPr>
          <w:noProof/>
        </w:rPr>
        <w:fldChar w:fldCharType="separate"/>
      </w:r>
      <w:r>
        <w:rPr>
          <w:noProof/>
        </w:rPr>
        <w:t>8</w:t>
      </w:r>
      <w:r>
        <w:rPr>
          <w:noProof/>
        </w:rPr>
        <w:fldChar w:fldCharType="end"/>
      </w:r>
    </w:p>
    <w:p w14:paraId="5B9E793A" w14:textId="77777777" w:rsidR="00BC1BA5" w:rsidRDefault="00BC1BA5">
      <w:pPr>
        <w:pStyle w:val="TableofFigures"/>
        <w:tabs>
          <w:tab w:val="right" w:leader="dot" w:pos="8630"/>
        </w:tabs>
        <w:rPr>
          <w:noProof/>
          <w:lang w:eastAsia="ja-JP"/>
        </w:rPr>
      </w:pPr>
      <w:r w:rsidRPr="009750A6">
        <w:rPr>
          <w:noProof/>
        </w:rPr>
        <w:t>Figure 5 - Impacts of Varying the Tolerance on Normalization</w:t>
      </w:r>
      <w:r>
        <w:rPr>
          <w:noProof/>
        </w:rPr>
        <w:tab/>
      </w:r>
      <w:r>
        <w:rPr>
          <w:noProof/>
        </w:rPr>
        <w:fldChar w:fldCharType="begin"/>
      </w:r>
      <w:r>
        <w:rPr>
          <w:noProof/>
        </w:rPr>
        <w:instrText xml:space="preserve"> PAGEREF _Toc456521830 \h </w:instrText>
      </w:r>
      <w:r>
        <w:rPr>
          <w:noProof/>
        </w:rPr>
      </w:r>
      <w:r>
        <w:rPr>
          <w:noProof/>
        </w:rPr>
        <w:fldChar w:fldCharType="separate"/>
      </w:r>
      <w:r>
        <w:rPr>
          <w:noProof/>
        </w:rPr>
        <w:t>9</w:t>
      </w:r>
      <w:r>
        <w:rPr>
          <w:noProof/>
        </w:rPr>
        <w:fldChar w:fldCharType="end"/>
      </w:r>
    </w:p>
    <w:p w14:paraId="699D9D21" w14:textId="77777777" w:rsidR="00BC1BA5" w:rsidRDefault="00BC1BA5">
      <w:pPr>
        <w:pStyle w:val="TableofFigures"/>
        <w:tabs>
          <w:tab w:val="right" w:leader="dot" w:pos="8630"/>
        </w:tabs>
        <w:rPr>
          <w:noProof/>
          <w:lang w:eastAsia="ja-JP"/>
        </w:rPr>
      </w:pPr>
      <w:r w:rsidRPr="009750A6">
        <w:rPr>
          <w:noProof/>
        </w:rPr>
        <w:t>Figure 6 - Normalization of COVID-19 Cases</w:t>
      </w:r>
      <w:r>
        <w:rPr>
          <w:noProof/>
        </w:rPr>
        <w:tab/>
      </w:r>
      <w:r>
        <w:rPr>
          <w:noProof/>
        </w:rPr>
        <w:fldChar w:fldCharType="begin"/>
      </w:r>
      <w:r>
        <w:rPr>
          <w:noProof/>
        </w:rPr>
        <w:instrText xml:space="preserve"> PAGEREF _Toc456521831 \h </w:instrText>
      </w:r>
      <w:r>
        <w:rPr>
          <w:noProof/>
        </w:rPr>
      </w:r>
      <w:r>
        <w:rPr>
          <w:noProof/>
        </w:rPr>
        <w:fldChar w:fldCharType="separate"/>
      </w:r>
      <w:r>
        <w:rPr>
          <w:noProof/>
        </w:rPr>
        <w:t>10</w:t>
      </w:r>
      <w:r>
        <w:rPr>
          <w:noProof/>
        </w:rPr>
        <w:fldChar w:fldCharType="end"/>
      </w:r>
    </w:p>
    <w:p w14:paraId="5EA1ECE1" w14:textId="77777777" w:rsidR="00BC1BA5" w:rsidRDefault="00BC1BA5">
      <w:pPr>
        <w:pStyle w:val="TableofFigures"/>
        <w:tabs>
          <w:tab w:val="right" w:leader="dot" w:pos="8630"/>
        </w:tabs>
        <w:rPr>
          <w:noProof/>
          <w:lang w:eastAsia="ja-JP"/>
        </w:rPr>
      </w:pPr>
      <w:r w:rsidRPr="009750A6">
        <w:rPr>
          <w:noProof/>
        </w:rPr>
        <w:t>Figure 7 - Eigenvalues of the Normalized Feature Space</w:t>
      </w:r>
      <w:r>
        <w:rPr>
          <w:noProof/>
        </w:rPr>
        <w:tab/>
      </w:r>
      <w:r>
        <w:rPr>
          <w:noProof/>
        </w:rPr>
        <w:fldChar w:fldCharType="begin"/>
      </w:r>
      <w:r>
        <w:rPr>
          <w:noProof/>
        </w:rPr>
        <w:instrText xml:space="preserve"> PAGEREF _Toc456521832 \h </w:instrText>
      </w:r>
      <w:r>
        <w:rPr>
          <w:noProof/>
        </w:rPr>
      </w:r>
      <w:r>
        <w:rPr>
          <w:noProof/>
        </w:rPr>
        <w:fldChar w:fldCharType="separate"/>
      </w:r>
      <w:r>
        <w:rPr>
          <w:noProof/>
        </w:rPr>
        <w:t>10</w:t>
      </w:r>
      <w:r>
        <w:rPr>
          <w:noProof/>
        </w:rPr>
        <w:fldChar w:fldCharType="end"/>
      </w:r>
    </w:p>
    <w:p w14:paraId="0509512E" w14:textId="77777777" w:rsidR="00BC1BA5" w:rsidRDefault="00BC1BA5">
      <w:pPr>
        <w:pStyle w:val="TableofFigures"/>
        <w:tabs>
          <w:tab w:val="right" w:leader="dot" w:pos="8630"/>
        </w:tabs>
        <w:rPr>
          <w:noProof/>
          <w:lang w:eastAsia="ja-JP"/>
        </w:rPr>
      </w:pPr>
      <w:r w:rsidRPr="009750A6">
        <w:rPr>
          <w:noProof/>
        </w:rPr>
        <w:t>Figure 8 - PCA Reduced Data</w:t>
      </w:r>
      <w:r>
        <w:rPr>
          <w:noProof/>
        </w:rPr>
        <w:tab/>
      </w:r>
      <w:r>
        <w:rPr>
          <w:noProof/>
        </w:rPr>
        <w:fldChar w:fldCharType="begin"/>
      </w:r>
      <w:r>
        <w:rPr>
          <w:noProof/>
        </w:rPr>
        <w:instrText xml:space="preserve"> PAGEREF _Toc456521833 \h </w:instrText>
      </w:r>
      <w:r>
        <w:rPr>
          <w:noProof/>
        </w:rPr>
      </w:r>
      <w:r>
        <w:rPr>
          <w:noProof/>
        </w:rPr>
        <w:fldChar w:fldCharType="separate"/>
      </w:r>
      <w:r>
        <w:rPr>
          <w:noProof/>
        </w:rPr>
        <w:t>11</w:t>
      </w:r>
      <w:r>
        <w:rPr>
          <w:noProof/>
        </w:rPr>
        <w:fldChar w:fldCharType="end"/>
      </w:r>
    </w:p>
    <w:p w14:paraId="517BF23B" w14:textId="77777777" w:rsidR="00BC1BA5" w:rsidRDefault="00BC1BA5">
      <w:pPr>
        <w:pStyle w:val="TableofFigures"/>
        <w:tabs>
          <w:tab w:val="right" w:leader="dot" w:pos="8630"/>
        </w:tabs>
        <w:rPr>
          <w:noProof/>
          <w:lang w:eastAsia="ja-JP"/>
        </w:rPr>
      </w:pPr>
      <w:r w:rsidRPr="009750A6">
        <w:rPr>
          <w:noProof/>
        </w:rPr>
        <w:t>Figure 9 – Appendix A, Data Spread for Good AQI Days</w:t>
      </w:r>
      <w:r>
        <w:rPr>
          <w:noProof/>
        </w:rPr>
        <w:tab/>
      </w:r>
      <w:r>
        <w:rPr>
          <w:noProof/>
        </w:rPr>
        <w:fldChar w:fldCharType="begin"/>
      </w:r>
      <w:r>
        <w:rPr>
          <w:noProof/>
        </w:rPr>
        <w:instrText xml:space="preserve"> PAGEREF _Toc456521834 \h </w:instrText>
      </w:r>
      <w:r>
        <w:rPr>
          <w:noProof/>
        </w:rPr>
      </w:r>
      <w:r>
        <w:rPr>
          <w:noProof/>
        </w:rPr>
        <w:fldChar w:fldCharType="separate"/>
      </w:r>
      <w:r>
        <w:rPr>
          <w:noProof/>
        </w:rPr>
        <w:t>13</w:t>
      </w:r>
      <w:r>
        <w:rPr>
          <w:noProof/>
        </w:rPr>
        <w:fldChar w:fldCharType="end"/>
      </w:r>
    </w:p>
    <w:p w14:paraId="1B0894D5" w14:textId="77777777" w:rsidR="00BC1BA5" w:rsidRDefault="00BC1BA5">
      <w:pPr>
        <w:pStyle w:val="TableofFigures"/>
        <w:tabs>
          <w:tab w:val="right" w:leader="dot" w:pos="8630"/>
        </w:tabs>
        <w:rPr>
          <w:noProof/>
          <w:lang w:eastAsia="ja-JP"/>
        </w:rPr>
      </w:pPr>
      <w:r w:rsidRPr="009750A6">
        <w:rPr>
          <w:noProof/>
        </w:rPr>
        <w:t>Figure 10 - Appendix A, Data Spread for Moderate AQI Days</w:t>
      </w:r>
      <w:r>
        <w:rPr>
          <w:noProof/>
        </w:rPr>
        <w:tab/>
      </w:r>
      <w:r>
        <w:rPr>
          <w:noProof/>
        </w:rPr>
        <w:fldChar w:fldCharType="begin"/>
      </w:r>
      <w:r>
        <w:rPr>
          <w:noProof/>
        </w:rPr>
        <w:instrText xml:space="preserve"> PAGEREF _Toc456521835 \h </w:instrText>
      </w:r>
      <w:r>
        <w:rPr>
          <w:noProof/>
        </w:rPr>
      </w:r>
      <w:r>
        <w:rPr>
          <w:noProof/>
        </w:rPr>
        <w:fldChar w:fldCharType="separate"/>
      </w:r>
      <w:r>
        <w:rPr>
          <w:noProof/>
        </w:rPr>
        <w:t>13</w:t>
      </w:r>
      <w:r>
        <w:rPr>
          <w:noProof/>
        </w:rPr>
        <w:fldChar w:fldCharType="end"/>
      </w:r>
    </w:p>
    <w:p w14:paraId="3342693A" w14:textId="77777777" w:rsidR="00BC1BA5" w:rsidRDefault="00BC1BA5">
      <w:pPr>
        <w:pStyle w:val="TableofFigures"/>
        <w:tabs>
          <w:tab w:val="right" w:leader="dot" w:pos="8630"/>
        </w:tabs>
        <w:rPr>
          <w:noProof/>
          <w:lang w:eastAsia="ja-JP"/>
        </w:rPr>
      </w:pPr>
      <w:r w:rsidRPr="009750A6">
        <w:rPr>
          <w:noProof/>
        </w:rPr>
        <w:t>Figure 11 - Appendix A, Data Spread for Unhealthy for Sensitive Groups AQI Days</w:t>
      </w:r>
      <w:r>
        <w:rPr>
          <w:noProof/>
        </w:rPr>
        <w:tab/>
      </w:r>
      <w:r>
        <w:rPr>
          <w:noProof/>
        </w:rPr>
        <w:fldChar w:fldCharType="begin"/>
      </w:r>
      <w:r>
        <w:rPr>
          <w:noProof/>
        </w:rPr>
        <w:instrText xml:space="preserve"> PAGEREF _Toc456521836 \h </w:instrText>
      </w:r>
      <w:r>
        <w:rPr>
          <w:noProof/>
        </w:rPr>
      </w:r>
      <w:r>
        <w:rPr>
          <w:noProof/>
        </w:rPr>
        <w:fldChar w:fldCharType="separate"/>
      </w:r>
      <w:r>
        <w:rPr>
          <w:noProof/>
        </w:rPr>
        <w:t>14</w:t>
      </w:r>
      <w:r>
        <w:rPr>
          <w:noProof/>
        </w:rPr>
        <w:fldChar w:fldCharType="end"/>
      </w:r>
    </w:p>
    <w:p w14:paraId="15CB923E" w14:textId="77777777" w:rsidR="00BC1BA5" w:rsidRDefault="00BC1BA5">
      <w:pPr>
        <w:pStyle w:val="TableofFigures"/>
        <w:tabs>
          <w:tab w:val="right" w:leader="dot" w:pos="8630"/>
        </w:tabs>
        <w:rPr>
          <w:noProof/>
          <w:lang w:eastAsia="ja-JP"/>
        </w:rPr>
      </w:pPr>
      <w:r w:rsidRPr="009750A6">
        <w:rPr>
          <w:noProof/>
        </w:rPr>
        <w:t>Figure 12 - Appendix A, Data Spread for Unhealthy AQI Days</w:t>
      </w:r>
      <w:r>
        <w:rPr>
          <w:noProof/>
        </w:rPr>
        <w:tab/>
      </w:r>
      <w:r>
        <w:rPr>
          <w:noProof/>
        </w:rPr>
        <w:fldChar w:fldCharType="begin"/>
      </w:r>
      <w:r>
        <w:rPr>
          <w:noProof/>
        </w:rPr>
        <w:instrText xml:space="preserve"> PAGEREF _Toc456521837 \h </w:instrText>
      </w:r>
      <w:r>
        <w:rPr>
          <w:noProof/>
        </w:rPr>
      </w:r>
      <w:r>
        <w:rPr>
          <w:noProof/>
        </w:rPr>
        <w:fldChar w:fldCharType="separate"/>
      </w:r>
      <w:r>
        <w:rPr>
          <w:noProof/>
        </w:rPr>
        <w:t>14</w:t>
      </w:r>
      <w:r>
        <w:rPr>
          <w:noProof/>
        </w:rPr>
        <w:fldChar w:fldCharType="end"/>
      </w:r>
    </w:p>
    <w:p w14:paraId="3DB60288" w14:textId="77777777" w:rsidR="00BC1BA5" w:rsidRDefault="00BC1BA5">
      <w:pPr>
        <w:pStyle w:val="TableofFigures"/>
        <w:tabs>
          <w:tab w:val="right" w:leader="dot" w:pos="8630"/>
        </w:tabs>
        <w:rPr>
          <w:noProof/>
          <w:lang w:eastAsia="ja-JP"/>
        </w:rPr>
      </w:pPr>
      <w:r w:rsidRPr="009750A6">
        <w:rPr>
          <w:noProof/>
        </w:rPr>
        <w:t>Figure 13 - Appendix A, Data Spread for Unhealthy AQI Days</w:t>
      </w:r>
      <w:r>
        <w:rPr>
          <w:noProof/>
        </w:rPr>
        <w:tab/>
      </w:r>
      <w:r>
        <w:rPr>
          <w:noProof/>
        </w:rPr>
        <w:fldChar w:fldCharType="begin"/>
      </w:r>
      <w:r>
        <w:rPr>
          <w:noProof/>
        </w:rPr>
        <w:instrText xml:space="preserve"> PAGEREF _Toc456521838 \h </w:instrText>
      </w:r>
      <w:r>
        <w:rPr>
          <w:noProof/>
        </w:rPr>
      </w:r>
      <w:r>
        <w:rPr>
          <w:noProof/>
        </w:rPr>
        <w:fldChar w:fldCharType="separate"/>
      </w:r>
      <w:r>
        <w:rPr>
          <w:noProof/>
        </w:rPr>
        <w:t>15</w:t>
      </w:r>
      <w:r>
        <w:rPr>
          <w:noProof/>
        </w:rPr>
        <w:fldChar w:fldCharType="end"/>
      </w:r>
    </w:p>
    <w:p w14:paraId="0A8BE31E" w14:textId="77777777" w:rsidR="00BC1BA5" w:rsidRDefault="00BC1BA5">
      <w:pPr>
        <w:pStyle w:val="TableofFigures"/>
        <w:tabs>
          <w:tab w:val="right" w:leader="dot" w:pos="8630"/>
        </w:tabs>
        <w:rPr>
          <w:noProof/>
          <w:lang w:eastAsia="ja-JP"/>
        </w:rPr>
      </w:pPr>
      <w:r w:rsidRPr="009750A6">
        <w:rPr>
          <w:noProof/>
        </w:rPr>
        <w:t>Figure 14 - Appendix A, Data Spread for Hazardous AQI Days</w:t>
      </w:r>
      <w:r>
        <w:rPr>
          <w:noProof/>
        </w:rPr>
        <w:tab/>
      </w:r>
      <w:r>
        <w:rPr>
          <w:noProof/>
        </w:rPr>
        <w:fldChar w:fldCharType="begin"/>
      </w:r>
      <w:r>
        <w:rPr>
          <w:noProof/>
        </w:rPr>
        <w:instrText xml:space="preserve"> PAGEREF _Toc456521839 \h </w:instrText>
      </w:r>
      <w:r>
        <w:rPr>
          <w:noProof/>
        </w:rPr>
      </w:r>
      <w:r>
        <w:rPr>
          <w:noProof/>
        </w:rPr>
        <w:fldChar w:fldCharType="separate"/>
      </w:r>
      <w:r>
        <w:rPr>
          <w:noProof/>
        </w:rPr>
        <w:t>15</w:t>
      </w:r>
      <w:r>
        <w:rPr>
          <w:noProof/>
        </w:rPr>
        <w:fldChar w:fldCharType="end"/>
      </w:r>
    </w:p>
    <w:p w14:paraId="3394A2DB" w14:textId="77777777" w:rsidR="00BC1BA5" w:rsidRDefault="00BC1BA5">
      <w:pPr>
        <w:pStyle w:val="TableofFigures"/>
        <w:tabs>
          <w:tab w:val="right" w:leader="dot" w:pos="8630"/>
        </w:tabs>
        <w:rPr>
          <w:noProof/>
          <w:lang w:eastAsia="ja-JP"/>
        </w:rPr>
      </w:pPr>
      <w:r w:rsidRPr="009750A6">
        <w:rPr>
          <w:noProof/>
        </w:rPr>
        <w:t>Figure 15 - Appendix A, Data Spread for COVID-19 Cases</w:t>
      </w:r>
      <w:r>
        <w:rPr>
          <w:noProof/>
        </w:rPr>
        <w:tab/>
      </w:r>
      <w:r>
        <w:rPr>
          <w:noProof/>
        </w:rPr>
        <w:fldChar w:fldCharType="begin"/>
      </w:r>
      <w:r>
        <w:rPr>
          <w:noProof/>
        </w:rPr>
        <w:instrText xml:space="preserve"> PAGEREF _Toc456521840 \h </w:instrText>
      </w:r>
      <w:r>
        <w:rPr>
          <w:noProof/>
        </w:rPr>
      </w:r>
      <w:r>
        <w:rPr>
          <w:noProof/>
        </w:rPr>
        <w:fldChar w:fldCharType="separate"/>
      </w:r>
      <w:r>
        <w:rPr>
          <w:noProof/>
        </w:rPr>
        <w:t>16</w:t>
      </w:r>
      <w:r>
        <w:rPr>
          <w:noProof/>
        </w:rPr>
        <w:fldChar w:fldCharType="end"/>
      </w:r>
    </w:p>
    <w:p w14:paraId="683884CC" w14:textId="77777777" w:rsidR="00BC1BA5" w:rsidRDefault="00BC1BA5">
      <w:pPr>
        <w:pStyle w:val="TableofFigures"/>
        <w:tabs>
          <w:tab w:val="right" w:leader="dot" w:pos="8630"/>
        </w:tabs>
        <w:rPr>
          <w:noProof/>
          <w:lang w:eastAsia="ja-JP"/>
        </w:rPr>
      </w:pPr>
      <w:r w:rsidRPr="009750A6">
        <w:rPr>
          <w:noProof/>
        </w:rPr>
        <w:t>Figure 16 - Appendix A, Data Spread for COVID-19 Deaths</w:t>
      </w:r>
      <w:r>
        <w:rPr>
          <w:noProof/>
        </w:rPr>
        <w:tab/>
      </w:r>
      <w:r>
        <w:rPr>
          <w:noProof/>
        </w:rPr>
        <w:fldChar w:fldCharType="begin"/>
      </w:r>
      <w:r>
        <w:rPr>
          <w:noProof/>
        </w:rPr>
        <w:instrText xml:space="preserve"> PAGEREF _Toc456521841 \h </w:instrText>
      </w:r>
      <w:r>
        <w:rPr>
          <w:noProof/>
        </w:rPr>
      </w:r>
      <w:r>
        <w:rPr>
          <w:noProof/>
        </w:rPr>
        <w:fldChar w:fldCharType="separate"/>
      </w:r>
      <w:r>
        <w:rPr>
          <w:noProof/>
        </w:rPr>
        <w:t>16</w:t>
      </w:r>
      <w:r>
        <w:rPr>
          <w:noProof/>
        </w:rPr>
        <w:fldChar w:fldCharType="end"/>
      </w:r>
    </w:p>
    <w:p w14:paraId="56C549F9" w14:textId="77777777" w:rsidR="00BC1BA5" w:rsidRDefault="004D00D4" w:rsidP="00176BF9">
      <w:pPr>
        <w:pStyle w:val="Heading1"/>
      </w:pPr>
      <w:r>
        <w:rPr>
          <w:rFonts w:asciiTheme="minorHAnsi" w:eastAsiaTheme="minorEastAsia" w:hAnsiTheme="minorHAnsi" w:cstheme="minorBidi"/>
          <w:b w:val="0"/>
          <w:bCs w:val="0"/>
          <w:sz w:val="24"/>
          <w:szCs w:val="24"/>
        </w:rPr>
        <w:fldChar w:fldCharType="end"/>
      </w:r>
      <w:bookmarkStart w:id="1" w:name="_Toc456521812"/>
    </w:p>
    <w:p w14:paraId="5D87AF48" w14:textId="72EAD151" w:rsidR="00112CAA" w:rsidRPr="000A58C4" w:rsidRDefault="00BC1BA5" w:rsidP="00176BF9">
      <w:pPr>
        <w:pStyle w:val="Heading1"/>
      </w:pPr>
      <w:r>
        <w:t>Problem D</w:t>
      </w:r>
      <w:r w:rsidR="00112CAA" w:rsidRPr="000A58C4">
        <w:t>efinition</w:t>
      </w:r>
      <w:bookmarkEnd w:id="1"/>
    </w:p>
    <w:p w14:paraId="66080A80" w14:textId="77777777" w:rsidR="00112CAA" w:rsidRDefault="00112CAA"/>
    <w:p w14:paraId="0F46FCBF" w14:textId="3E64C949" w:rsidR="002A7FE2" w:rsidRDefault="00E82120">
      <w:r>
        <w:t xml:space="preserve">The </w:t>
      </w:r>
      <w:r w:rsidR="002A7FE2">
        <w:t>COVID-1</w:t>
      </w:r>
      <w:r w:rsidR="00446919">
        <w:t xml:space="preserve">9 </w:t>
      </w:r>
      <w:r>
        <w:t>pandemic is a widespread disease projected to claim the lives of hundreds</w:t>
      </w:r>
      <w:r w:rsidR="00635614">
        <w:t xml:space="preserve"> of thousands of Americans </w:t>
      </w:r>
      <w:r w:rsidR="00112CAA">
        <w:fldChar w:fldCharType="begin" w:fldLock="1"/>
      </w:r>
      <w:r w:rsidR="00B31379">
        <w:instrText>ADDIN CSL_CITATION {"citationItems":[{"id":"ITEM-1","itemData":{"URL":"https://covid19.healthdata.org/united-states-of-america","accessed":{"date-parts":[["2020","7","13"]]},"author":[{"dropping-particle":"","family":"Washington","given":"University of","non-dropping-particle":"","parse-names":false,"suffix":""}],"id":"ITEM-1","issued":{"date-parts":[["0"]]},"title":"COVID-19 Projections","type":"webpage"},"uris":["http://www.mendeley.com/documents/?uuid=aebe22fc-f4a4-3a6f-8f12-74ef09a34676"]}],"mendeley":{"formattedCitation":"[1]","plainTextFormattedCitation":"[1]","previouslyFormattedCitation":"[1]"},"properties":{"noteIndex":0},"schema":"https://github.com/citation-style-language/schema/raw/master/csl-citation.json"}</w:instrText>
      </w:r>
      <w:r w:rsidR="00112CAA">
        <w:fldChar w:fldCharType="separate"/>
      </w:r>
      <w:r w:rsidR="00112CAA" w:rsidRPr="00112CAA">
        <w:rPr>
          <w:noProof/>
        </w:rPr>
        <w:t>[1]</w:t>
      </w:r>
      <w:r w:rsidR="00112CAA">
        <w:fldChar w:fldCharType="end"/>
      </w:r>
      <w:r w:rsidR="00112CAA">
        <w:t xml:space="preserve">. </w:t>
      </w:r>
      <w:r w:rsidR="00DA3088">
        <w:t>COVID-19 is a highly infectious</w:t>
      </w:r>
      <w:r w:rsidR="002A7FE2">
        <w:t xml:space="preserve"> acute respiratory illness characterized by symptoms </w:t>
      </w:r>
      <w:r w:rsidR="001A4FC9">
        <w:t xml:space="preserve">including but not limited to fever, fatigue, dry cough and shortness of breath </w:t>
      </w:r>
      <w:r w:rsidR="001A4FC9">
        <w:fldChar w:fldCharType="begin" w:fldLock="1"/>
      </w:r>
      <w:r w:rsidR="00F55686">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dropping-particle":"","family":"Zhao","given":"Yan","non-dropping-particle":"","parse-names":false,"suffix":""},{"dropping-particle":"","family":"Li","given":"Yirong","non-dropping-particle":"","parse-names":false,"suffix":""},{"dropping-particle":"","family":"Wang","given":"Xinghuan","non-dropping-particle":"","parse-names":false,"suffix":""},{"dropping-particle":"","family":"Peng","given":"Zhiyong","non-dropping-particle":"","parse-names":false,"suffix":""}],"container-title":"JAMA - Journal of the American Medical Association","id":"ITEM-1","issue":"11","issued":{"date-parts":[["2020","3","17"]]},"page":"1061-1069","publisher":"American Medical Association","title":"Clinical Characteristics of 138 Hospitalized Patients with 2019 Novel Coronavirus-Infected Pneumonia in Wuhan, China","type":"article-journal","volume":"323"},"uris":["http://www.mendeley.com/documents/?uuid=b0d65efc-4dc7-3e08-84fe-1ee7f89ab1dc"]}],"mendeley":{"formattedCitation":"[2]","plainTextFormattedCitation":"[2]","previouslyFormattedCitation":"[2]"},"properties":{"noteIndex":0},"schema":"https://github.com/citation-style-language/schema/raw/master/csl-citation.json"}</w:instrText>
      </w:r>
      <w:r w:rsidR="001A4FC9">
        <w:fldChar w:fldCharType="separate"/>
      </w:r>
      <w:r w:rsidR="001A4FC9" w:rsidRPr="001A4FC9">
        <w:rPr>
          <w:noProof/>
        </w:rPr>
        <w:t>[2]</w:t>
      </w:r>
      <w:r w:rsidR="001A4FC9">
        <w:fldChar w:fldCharType="end"/>
      </w:r>
      <w:r w:rsidR="001A4FC9">
        <w:t xml:space="preserve">. </w:t>
      </w:r>
      <w:r w:rsidR="00DA3088">
        <w:t xml:space="preserve"> As the disease continues to spread it is important to identify factors that may </w:t>
      </w:r>
      <w:r w:rsidR="00277511">
        <w:t xml:space="preserve">be </w:t>
      </w:r>
      <w:r w:rsidR="00DA3088">
        <w:t>impact</w:t>
      </w:r>
      <w:r w:rsidR="00277511">
        <w:t>ing</w:t>
      </w:r>
      <w:r w:rsidR="00DA3088">
        <w:t xml:space="preserve"> the health outc</w:t>
      </w:r>
      <w:r w:rsidR="00277511">
        <w:t xml:space="preserve">omes of </w:t>
      </w:r>
      <w:r w:rsidR="00DA3088">
        <w:t xml:space="preserve">populations’ </w:t>
      </w:r>
      <w:r w:rsidR="00277511">
        <w:t>exposed to</w:t>
      </w:r>
      <w:r w:rsidR="00DA3088">
        <w:t xml:space="preserve"> COVID-19. </w:t>
      </w:r>
    </w:p>
    <w:p w14:paraId="2A3BBD58" w14:textId="77777777" w:rsidR="00DA3088" w:rsidRDefault="00DA3088"/>
    <w:p w14:paraId="5BBAA910" w14:textId="2C381A58" w:rsidR="000A58C4" w:rsidRDefault="00277511">
      <w:r>
        <w:t xml:space="preserve">There is strong and consistent evidence to suggest that individuals with </w:t>
      </w:r>
      <w:r w:rsidR="0021593E">
        <w:t xml:space="preserve">certain </w:t>
      </w:r>
      <w:r>
        <w:t xml:space="preserve">underlying health conditions </w:t>
      </w:r>
      <w:r w:rsidR="0021593E">
        <w:t xml:space="preserve">are </w:t>
      </w:r>
      <w:r>
        <w:t>at a higher risk for contracting COVID-19</w:t>
      </w:r>
      <w:r w:rsidR="00F55686">
        <w:t xml:space="preserve"> </w:t>
      </w:r>
      <w:r w:rsidR="00F55686">
        <w:fldChar w:fldCharType="begin" w:fldLock="1"/>
      </w:r>
      <w:r w:rsidR="00F55686">
        <w:instrText>ADDIN CSL_CITATION {"citationItems":[{"id":"ITEM-1","itemData":{"URL":"https://www.cdc.gov/coronavirus/2019-ncov/need-extra-precautions/evidence-table.html","accessed":{"date-parts":[["2020","7","14"]]},"author":[{"dropping-particle":"","family":"Centers for Disease Control and Prevention","given":"","non-dropping-particle":"","parse-names":false,"suffix":""}],"id":"ITEM-1","issued":{"date-parts":[["0"]]},"title":"Evidence used to update the list of underlying medical conditions that increase a person’s risk of severe illness from COVID-19 | CDC","type":"webpage"},"uris":["http://www.mendeley.com/documents/?uuid=5130e0be-9989-3afe-ad84-5b82ba3ecf7d"]}],"mendeley":{"formattedCitation":"[3]","plainTextFormattedCitation":"[3]","previouslyFormattedCitation":"[3]"},"properties":{"noteIndex":0},"schema":"https://github.com/citation-style-language/schema/raw/master/csl-citation.json"}</w:instrText>
      </w:r>
      <w:r w:rsidR="00F55686">
        <w:fldChar w:fldCharType="separate"/>
      </w:r>
      <w:r w:rsidR="00F55686" w:rsidRPr="00F55686">
        <w:rPr>
          <w:noProof/>
        </w:rPr>
        <w:t>[3]</w:t>
      </w:r>
      <w:r w:rsidR="00F55686">
        <w:fldChar w:fldCharType="end"/>
      </w:r>
      <w:r>
        <w:t>. Some of these underlying conditions include chronic obstruc</w:t>
      </w:r>
      <w:r w:rsidR="00F55686">
        <w:t xml:space="preserve">tive pulmonary disease (COPD), </w:t>
      </w:r>
      <w:r>
        <w:t>serious</w:t>
      </w:r>
      <w:r w:rsidR="0021593E">
        <w:t xml:space="preserve"> heart conditions, hypertension and</w:t>
      </w:r>
      <w:r>
        <w:t xml:space="preserve"> asthma </w:t>
      </w:r>
      <w:r w:rsidR="00F55686">
        <w:fldChar w:fldCharType="begin" w:fldLock="1"/>
      </w:r>
      <w:r w:rsidR="000A58C4">
        <w:instrText>ADDIN CSL_CITATION {"citationItems":[{"id":"ITEM-1","itemData":{"URL":"https://www.cdc.gov/coronavirus/2019-ncov/need-extra-precautions/evidence-table.html","accessed":{"date-parts":[["2020","7","14"]]},"author":[{"dropping-particle":"","family":"Centers for Disease Control and Prevention","given":"","non-dropping-particle":"","parse-names":false,"suffix":""}],"id":"ITEM-1","issued":{"date-parts":[["0"]]},"title":"Evidence used to update the list of underlying medical conditions that increase a person’s risk of severe illness from COVID-19 | CDC","type":"webpage"},"uris":["http://www.mendeley.com/documents/?uuid=5130e0be-9989-3afe-ad84-5b82ba3ecf7d"]}],"mendeley":{"formattedCitation":"[3]","plainTextFormattedCitation":"[3]","previouslyFormattedCitation":"[3]"},"properties":{"noteIndex":0},"schema":"https://github.com/citation-style-language/schema/raw/master/csl-citation.json"}</w:instrText>
      </w:r>
      <w:r w:rsidR="00F55686">
        <w:fldChar w:fldCharType="separate"/>
      </w:r>
      <w:r w:rsidR="00F55686" w:rsidRPr="00F55686">
        <w:rPr>
          <w:noProof/>
        </w:rPr>
        <w:t>[3]</w:t>
      </w:r>
      <w:r w:rsidR="00F55686">
        <w:fldChar w:fldCharType="end"/>
      </w:r>
      <w:r w:rsidR="00F55686">
        <w:t xml:space="preserve">. </w:t>
      </w:r>
    </w:p>
    <w:p w14:paraId="217F6843" w14:textId="77777777" w:rsidR="000A58C4" w:rsidRDefault="000A58C4"/>
    <w:p w14:paraId="7103BA1F" w14:textId="09BD4C54" w:rsidR="00F55686" w:rsidRDefault="006F7C66">
      <w:r>
        <w:t>Development of each of these pr</w:t>
      </w:r>
      <w:r w:rsidR="0021593E">
        <w:t>e-existing conditions has been linked</w:t>
      </w:r>
      <w:r>
        <w:t xml:space="preserve"> to exposure to poor air quality.</w:t>
      </w:r>
      <w:r w:rsidR="000A58C4">
        <w:t xml:space="preserve"> </w:t>
      </w:r>
      <w:r>
        <w:t xml:space="preserve">Research has shown that </w:t>
      </w:r>
      <w:r w:rsidR="000A58C4">
        <w:t xml:space="preserve">many respiratory disorders are closely associates with the inhalation of pollutants </w:t>
      </w:r>
      <w:r w:rsidR="000A58C4">
        <w:fldChar w:fldCharType="begin" w:fldLock="1"/>
      </w:r>
      <w:r w:rsidR="00871CCB">
        <w:instrText>ADDIN CSL_CITATION {"citationItems":[{"id":"ITEM-1","itemData":{"DOI":"10.3389/fpubh.2020.00014","ISSN":"22962565","abstract":"One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penetrate the respiratory system via inhalation, causing respiratory and cardiovascular diseases, reproductive and central nervous system dysfunctions, and cancer. Despite the fact that ozone in the stratosphere plays a protective role against ultraviolet irradiation, it is harmful when in high concentration at ground level, also affecting the respiratory and cardiovascular system. Furthermore, nitrogen oxide, sulfur dioxide, Volatile Organic Compounds (VOCs), dioxins, and polycyclic aromatic hydrocarbons (PAHs) are all considered air pollutants that are harmful to humans. Carbon monoxide can even provoke direct poisoning when breathed in at high levels. Heavy metals such as lead, when absorbed into the human body, can lead to direct poisoning or chronic intoxication, depending on exposure. Diseases occurring from the aforementioned substances include principally respiratory problems such as Chronic Obstructive Pulmonary Disease (COPD), asthma, bronchiolitis, and also lung cancer, cardiovascular events, central nervous system dysfunctions, and cutaneous diseases. Last but not least, climate change resulting from environmental pollution affects the geographical distribution of many infectious diseases, as do natural disasters. The only way to tackle this problem is through public awareness coupled with a multidisciplinary approach by scientific experts; national and international organizations must address the emergence of this threat and propose sustainable solutions.","author":[{"dropping-particle":"","family":"Manisalidis","given":"Ioannis","non-dropping-particle":"","parse-names":false,"suffix":""},{"dropping-particle":"","family":"Stavropoulou","given":"Elisavet","non-dropping-particle":"","parse-names":false,"suffix":""},{"dropping-particle":"","family":"Stavropoulos","given":"Agathangelos","non-dropping-particle":"","parse-names":false,"suffix":""},{"dropping-particle":"","family":"Bezirtzoglou","given":"Eugenia","non-dropping-particle":"","parse-names":false,"suffix":""}],"container-title":"Frontiers in Public Health","id":"ITEM-1","issued":{"date-parts":[["2020","2","20"]]},"page":"14","publisher":"Frontiers Media S.A.","title":"Environmental and Health Impacts of Air Pollution: A Review","type":"article","volume":"8"},"uris":["http://www.mendeley.com/documents/?uuid=ce02036a-1c42-395d-acc2-4b469fd3eb45"]}],"mendeley":{"formattedCitation":"[4]","plainTextFormattedCitation":"[4]","previouslyFormattedCitation":"[4]"},"properties":{"noteIndex":0},"schema":"https://github.com/citation-style-language/schema/raw/master/csl-citation.json"}</w:instrText>
      </w:r>
      <w:r w:rsidR="000A58C4">
        <w:fldChar w:fldCharType="separate"/>
      </w:r>
      <w:r w:rsidR="000A58C4" w:rsidRPr="000A58C4">
        <w:rPr>
          <w:noProof/>
        </w:rPr>
        <w:t>[4]</w:t>
      </w:r>
      <w:r w:rsidR="000A58C4">
        <w:fldChar w:fldCharType="end"/>
      </w:r>
      <w:r w:rsidR="000A58C4">
        <w:t>. For example,</w:t>
      </w:r>
      <w:r w:rsidR="0021593E">
        <w:t xml:space="preserve"> </w:t>
      </w:r>
      <w:r w:rsidR="00042D66">
        <w:t xml:space="preserve">major factors that increase the risk of respiratory disorders </w:t>
      </w:r>
      <w:r>
        <w:t xml:space="preserve">such as asthma </w:t>
      </w:r>
      <w:r w:rsidR="0021593E">
        <w:t>and COPD include</w:t>
      </w:r>
      <w:r w:rsidR="00042D66">
        <w:t xml:space="preserve"> long term effects from traffic, industrial air pollution and fuel combustion </w:t>
      </w:r>
      <w:r w:rsidR="000A58C4">
        <w:fldChar w:fldCharType="begin" w:fldLock="1"/>
      </w:r>
      <w:r w:rsidR="000A58C4">
        <w:instrText>ADDIN CSL_CITATION {"citationItems":[{"id":"ITEM-1","itemData":{"DOI":"10.3389/fpubh.2020.00014","ISSN":"22962565","abstract":"One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penetrate the respiratory system via inhalation, causing respiratory and cardiovascular diseases, reproductive and central nervous system dysfunctions, and cancer. Despite the fact that ozone in the stratosphere plays a protective role against ultraviolet irradiation, it is harmful when in high concentration at ground level, also affecting the respiratory and cardiovascular system. Furthermore, nitrogen oxide, sulfur dioxide, Volatile Organic Compounds (VOCs), dioxins, and polycyclic aromatic hydrocarbons (PAHs) are all considered air pollutants that are harmful to humans. Carbon monoxide can even provoke direct poisoning when breathed in at high levels. Heavy metals such as lead, when absorbed into the human body, can lead to direct poisoning or chronic intoxication, depending on exposure. Diseases occurring from the aforementioned substances include principally respiratory problems such as Chronic Obstructive Pulmonary Disease (COPD), asthma, bronchiolitis, and also lung cancer, cardiovascular events, central nervous system dysfunctions, and cutaneous diseases. Last but not least, climate change resulting from environmental pollution affects the geographical distribution of many infectious diseases, as do natural disasters. The only way to tackle this problem is through public awareness coupled with a multidisciplinary approach by scientific experts; national and international organizations must address the emergence of this threat and propose sustainable solutions.","author":[{"dropping-particle":"","family":"Manisalidis","given":"Ioannis","non-dropping-particle":"","parse-names":false,"suffix":""},{"dropping-particle":"","family":"Stavropoulou","given":"Elisavet","non-dropping-particle":"","parse-names":false,"suffix":""},{"dropping-particle":"","family":"Stavropoulos","given":"Agathangelos","non-dropping-particle":"","parse-names":false,"suffix":""},{"dropping-particle":"","family":"Bezirtzoglou","given":"Eugenia","non-dropping-particle":"","parse-names":false,"suffix":""}],"container-title":"Frontiers in Public Health","id":"ITEM-1","issued":{"date-parts":[["2020","2","20"]]},"page":"14","publisher":"Frontiers Media S.A.","title":"Environmental and Health Impacts of Air Pollution: A Review","type":"article","volume":"8"},"uris":["http://www.mendeley.com/documents/?uuid=ce02036a-1c42-395d-acc2-4b469fd3eb45"]}],"mendeley":{"formattedCitation":"[4]","plainTextFormattedCitation":"[4]","previouslyFormattedCitation":"[4]"},"properties":{"noteIndex":0},"schema":"https://github.com/citation-style-language/schema/raw/master/csl-citation.json"}</w:instrText>
      </w:r>
      <w:r w:rsidR="000A58C4">
        <w:fldChar w:fldCharType="separate"/>
      </w:r>
      <w:r w:rsidR="000A58C4" w:rsidRPr="000A58C4">
        <w:rPr>
          <w:noProof/>
        </w:rPr>
        <w:t>[4]</w:t>
      </w:r>
      <w:r w:rsidR="000A58C4">
        <w:fldChar w:fldCharType="end"/>
      </w:r>
      <w:r w:rsidR="00042D66">
        <w:t xml:space="preserve">. Furthermore, </w:t>
      </w:r>
      <w:r w:rsidR="000A58C4">
        <w:t xml:space="preserve">a variety of cardiovascular effects such as hypertension, stroke, myocardial infracts and heart insufficiency have been observed following exposure to air pollutants </w:t>
      </w:r>
      <w:r w:rsidR="000A58C4">
        <w:fldChar w:fldCharType="begin" w:fldLock="1"/>
      </w:r>
      <w:r w:rsidR="000A58C4">
        <w:instrText>ADDIN CSL_CITATION {"citationItems":[{"id":"ITEM-1","itemData":{"DOI":"10.3389/fpubh.2020.00014","ISSN":"22962565","abstract":"One of our era's greatest scourges is air pollution, on account not only of its impact on climate change but also its impact on public and individual health due to increasing morbidity and mortality. There are many pollutants that are major factors in disease in humans. Among them, Particulate Matter (PM), particles of variable but very small diameter, penetrate the respiratory system via inhalation, causing respiratory and cardiovascular diseases, reproductive and central nervous system dysfunctions, and cancer. Despite the fact that ozone in the stratosphere plays a protective role against ultraviolet irradiation, it is harmful when in high concentration at ground level, also affecting the respiratory and cardiovascular system. Furthermore, nitrogen oxide, sulfur dioxide, Volatile Organic Compounds (VOCs), dioxins, and polycyclic aromatic hydrocarbons (PAHs) are all considered air pollutants that are harmful to humans. Carbon monoxide can even provoke direct poisoning when breathed in at high levels. Heavy metals such as lead, when absorbed into the human body, can lead to direct poisoning or chronic intoxication, depending on exposure. Diseases occurring from the aforementioned substances include principally respiratory problems such as Chronic Obstructive Pulmonary Disease (COPD), asthma, bronchiolitis, and also lung cancer, cardiovascular events, central nervous system dysfunctions, and cutaneous diseases. Last but not least, climate change resulting from environmental pollution affects the geographical distribution of many infectious diseases, as do natural disasters. The only way to tackle this problem is through public awareness coupled with a multidisciplinary approach by scientific experts; national and international organizations must address the emergence of this threat and propose sustainable solutions.","author":[{"dropping-particle":"","family":"Manisalidis","given":"Ioannis","non-dropping-particle":"","parse-names":false,"suffix":""},{"dropping-particle":"","family":"Stavropoulou","given":"Elisavet","non-dropping-particle":"","parse-names":false,"suffix":""},{"dropping-particle":"","family":"Stavropoulos","given":"Agathangelos","non-dropping-particle":"","parse-names":false,"suffix":""},{"dropping-particle":"","family":"Bezirtzoglou","given":"Eugenia","non-dropping-particle":"","parse-names":false,"suffix":""}],"container-title":"Frontiers in Public Health","id":"ITEM-1","issued":{"date-parts":[["2020","2","20"]]},"page":"14","publisher":"Frontiers Media S.A.","title":"Environmental and Health Impacts of Air Pollution: A Review","type":"article","volume":"8"},"uris":["http://www.mendeley.com/documents/?uuid=ce02036a-1c42-395d-acc2-4b469fd3eb45"]}],"mendeley":{"formattedCitation":"[4]","plainTextFormattedCitation":"[4]","previouslyFormattedCitation":"[4]"},"properties":{"noteIndex":0},"schema":"https://github.com/citation-style-language/schema/raw/master/csl-citation.json"}</w:instrText>
      </w:r>
      <w:r w:rsidR="000A58C4">
        <w:fldChar w:fldCharType="separate"/>
      </w:r>
      <w:r w:rsidR="000A58C4" w:rsidRPr="000A58C4">
        <w:rPr>
          <w:noProof/>
        </w:rPr>
        <w:t>[4]</w:t>
      </w:r>
      <w:r w:rsidR="000A58C4">
        <w:fldChar w:fldCharType="end"/>
      </w:r>
      <w:r w:rsidR="000A58C4">
        <w:t xml:space="preserve">.   </w:t>
      </w:r>
    </w:p>
    <w:p w14:paraId="5630BA61" w14:textId="77777777" w:rsidR="000A58C4" w:rsidRDefault="000A58C4"/>
    <w:p w14:paraId="0110795A" w14:textId="67824E30" w:rsidR="004926F8" w:rsidRDefault="000A58C4">
      <w:r>
        <w:t xml:space="preserve">This overlap has lead to the exploration </w:t>
      </w:r>
      <w:r w:rsidR="00B0205B">
        <w:t>with</w:t>
      </w:r>
      <w:r>
        <w:t xml:space="preserve">in this report on the relationship between exposure to poor air quality and a populations’ susceptibility COVID-19. </w:t>
      </w:r>
    </w:p>
    <w:p w14:paraId="0AACFDBC" w14:textId="61F8A3FC" w:rsidR="00446919" w:rsidRPr="000A58C4" w:rsidRDefault="000A58C4" w:rsidP="00176BF9">
      <w:pPr>
        <w:pStyle w:val="Heading1"/>
      </w:pPr>
      <w:bookmarkStart w:id="2" w:name="_Toc456521813"/>
      <w:r w:rsidRPr="000A58C4">
        <w:t>Air Quality Index</w:t>
      </w:r>
      <w:bookmarkEnd w:id="2"/>
    </w:p>
    <w:p w14:paraId="11921D59" w14:textId="77777777" w:rsidR="006B365A" w:rsidRDefault="006B365A"/>
    <w:p w14:paraId="649DD407" w14:textId="7A18DE1F" w:rsidR="00DA4F32" w:rsidRDefault="00112CAA">
      <w:r>
        <w:t xml:space="preserve">Air quality index </w:t>
      </w:r>
      <w:r w:rsidR="00DA4F32">
        <w:t xml:space="preserve">(AQI) </w:t>
      </w:r>
      <w:r>
        <w:t>is a scale used for reporting and</w:t>
      </w:r>
      <w:r w:rsidR="00DA4F32">
        <w:t xml:space="preserve"> forecasting daily air quality. The scale </w:t>
      </w:r>
      <w:r w:rsidR="00DA253A">
        <w:t xml:space="preserve">focuses on health effects that may be experienced within a few hours or days after breathing polluted air and </w:t>
      </w:r>
      <w:r w:rsidR="00DA4F32">
        <w:t>ranges from 0 to 500 where larger values represent worse air conditions</w:t>
      </w:r>
      <w:r w:rsidR="00DA253A">
        <w:t xml:space="preserve"> </w:t>
      </w:r>
      <w:r w:rsidR="00DA253A">
        <w:fldChar w:fldCharType="begin" w:fldLock="1"/>
      </w:r>
      <w:r w:rsidR="000A58C4">
        <w:instrText>ADDIN CSL_CITATION {"citationItems":[{"id":"ITEM-1","itemData":{"URL":"https://www.epa.gov/pmcourse/patient-exposure-and-air-quality-index","accessed":{"date-parts":[["2020","7","13"]]},"author":[{"dropping-particle":"","family":"U.S. Enviromental Protection Agency","given":"","non-dropping-particle":"","parse-names":false,"suffix":""}],"id":"ITEM-1","issued":{"date-parts":[["0"]]},"title":"Patient Exposure and the Air Quality Index | Particle Pollution and Your Patients' Health | US EPA","type":"webpage"},"uris":["http://www.mendeley.com/documents/?uuid=2cfb5a35-b6cf-30bc-908a-cf7a412cd9fd"]}],"mendeley":{"formattedCitation":"[5]","plainTextFormattedCitation":"[5]","previouslyFormattedCitation":"[5]"},"properties":{"noteIndex":0},"schema":"https://github.com/citation-style-language/schema/raw/master/csl-citation.json"}</w:instrText>
      </w:r>
      <w:r w:rsidR="00DA253A">
        <w:fldChar w:fldCharType="separate"/>
      </w:r>
      <w:r w:rsidR="000A58C4" w:rsidRPr="000A58C4">
        <w:rPr>
          <w:noProof/>
        </w:rPr>
        <w:t>[5]</w:t>
      </w:r>
      <w:r w:rsidR="00DA253A">
        <w:fldChar w:fldCharType="end"/>
      </w:r>
      <w:r w:rsidR="00DA253A">
        <w:t xml:space="preserve">. </w:t>
      </w:r>
      <w:r w:rsidR="00DA4F32">
        <w:t xml:space="preserve"> </w:t>
      </w:r>
      <w:r w:rsidR="00C03EC0">
        <w:t>AQI</w:t>
      </w:r>
      <w:r w:rsidR="00DA4F32">
        <w:t xml:space="preserve"> is </w:t>
      </w:r>
      <w:r w:rsidR="00C03EC0">
        <w:t>subdivided into six categories, each category with its own heath and safety advisories. The six categories, their corresponding index values and their respective advisories are</w:t>
      </w:r>
      <w:r w:rsidR="00FF4C8C">
        <w:t xml:space="preserve"> </w:t>
      </w:r>
      <w:r w:rsidR="00FF4C8C">
        <w:fldChar w:fldCharType="begin" w:fldLock="1"/>
      </w:r>
      <w:r w:rsidR="000A58C4">
        <w:instrText>ADDIN CSL_CITATION {"citationItems":[{"id":"ITEM-1","itemData":{"URL":"https://www.airnow.gov/aqi/aqi-basics/","accessed":{"date-parts":[["2020","7","14"]]},"author":[{"dropping-particle":"","family":"U.S. Enviromental Protection Agency","given":"","non-dropping-particle":"","parse-names":false,"suffix":""}],"id":"ITEM-1","issued":{"date-parts":[["0"]]},"title":"AQI Basics | AirNow.gov","type":"webpage"},"uris":["http://www.mendeley.com/documents/?uuid=aa9896a6-4760-32c5-ac28-00737a55d1f1"]}],"mendeley":{"formattedCitation":"[6]","plainTextFormattedCitation":"[6]","previouslyFormattedCitation":"[6]"},"properties":{"noteIndex":0},"schema":"https://github.com/citation-style-language/schema/raw/master/csl-citation.json"}</w:instrText>
      </w:r>
      <w:r w:rsidR="00FF4C8C">
        <w:fldChar w:fldCharType="separate"/>
      </w:r>
      <w:r w:rsidR="000A58C4" w:rsidRPr="000A58C4">
        <w:rPr>
          <w:noProof/>
        </w:rPr>
        <w:t>[6]</w:t>
      </w:r>
      <w:r w:rsidR="00FF4C8C">
        <w:fldChar w:fldCharType="end"/>
      </w:r>
      <w:r w:rsidR="00C03EC0">
        <w:t xml:space="preserve">: </w:t>
      </w:r>
    </w:p>
    <w:p w14:paraId="6CF904E4" w14:textId="46590AD1" w:rsidR="00C03EC0" w:rsidRDefault="00FF4C8C" w:rsidP="00C03EC0">
      <w:pPr>
        <w:pStyle w:val="ListParagraph"/>
        <w:numPr>
          <w:ilvl w:val="0"/>
          <w:numId w:val="1"/>
        </w:numPr>
      </w:pPr>
      <w:r w:rsidRPr="00FF4C8C">
        <w:rPr>
          <w:i/>
        </w:rPr>
        <w:t>Good (0-50).</w:t>
      </w:r>
      <w:r w:rsidR="00C03EC0">
        <w:t xml:space="preserve"> </w:t>
      </w:r>
      <w:r w:rsidR="00C03EC0" w:rsidRPr="00C03EC0">
        <w:rPr>
          <w:bCs/>
        </w:rPr>
        <w:t>Air quality is satisfactory, and air pollution poses little or no risk.</w:t>
      </w:r>
    </w:p>
    <w:p w14:paraId="5B379382" w14:textId="4FF619CA" w:rsidR="00C03EC0" w:rsidRDefault="00FF4C8C" w:rsidP="00FF4C8C">
      <w:pPr>
        <w:pStyle w:val="ListParagraph"/>
        <w:numPr>
          <w:ilvl w:val="0"/>
          <w:numId w:val="1"/>
        </w:numPr>
      </w:pPr>
      <w:r w:rsidRPr="00FF4C8C">
        <w:rPr>
          <w:i/>
        </w:rPr>
        <w:t>Moderate (51-100).</w:t>
      </w:r>
      <w:r>
        <w:t xml:space="preserve"> </w:t>
      </w:r>
      <w:r w:rsidRPr="00FF4C8C">
        <w:rPr>
          <w:bCs/>
        </w:rPr>
        <w:t>Air q</w:t>
      </w:r>
      <w:r>
        <w:rPr>
          <w:bCs/>
        </w:rPr>
        <w:t>uality is acceptable. T</w:t>
      </w:r>
      <w:r w:rsidRPr="00FF4C8C">
        <w:rPr>
          <w:bCs/>
        </w:rPr>
        <w:t>here may be a risk for some people, particularly those who are unusually sensitive to air pollution.</w:t>
      </w:r>
    </w:p>
    <w:p w14:paraId="33052E00" w14:textId="05860A21" w:rsidR="00C03EC0" w:rsidRDefault="00C03EC0" w:rsidP="00FF4C8C">
      <w:pPr>
        <w:pStyle w:val="ListParagraph"/>
        <w:numPr>
          <w:ilvl w:val="0"/>
          <w:numId w:val="1"/>
        </w:numPr>
      </w:pPr>
      <w:r>
        <w:t>Unhealthy</w:t>
      </w:r>
      <w:r w:rsidR="00FF4C8C">
        <w:t xml:space="preserve"> for Sensitive Groups (101-150).</w:t>
      </w:r>
      <w:r>
        <w:t xml:space="preserve"> </w:t>
      </w:r>
      <w:r w:rsidR="00FF4C8C" w:rsidRPr="00FF4C8C">
        <w:rPr>
          <w:bCs/>
        </w:rPr>
        <w:t>Members of sensitive groups may experience health effects. The general public is less likely to be affected.</w:t>
      </w:r>
    </w:p>
    <w:p w14:paraId="0B0C5D2B" w14:textId="03249390" w:rsidR="00C03EC0" w:rsidRDefault="00FF4C8C" w:rsidP="00FF4C8C">
      <w:pPr>
        <w:pStyle w:val="ListParagraph"/>
        <w:numPr>
          <w:ilvl w:val="0"/>
          <w:numId w:val="1"/>
        </w:numPr>
      </w:pPr>
      <w:r w:rsidRPr="00FF4C8C">
        <w:rPr>
          <w:i/>
        </w:rPr>
        <w:t>Unhealthy (151-200).</w:t>
      </w:r>
      <w:r w:rsidR="00C03EC0">
        <w:t xml:space="preserve"> </w:t>
      </w:r>
      <w:r w:rsidRPr="00FF4C8C">
        <w:rPr>
          <w:bCs/>
        </w:rPr>
        <w:t>Some members of the general public may experience health effects; members of sensitive groups may experience more serious health effects.</w:t>
      </w:r>
    </w:p>
    <w:p w14:paraId="7AAA1230" w14:textId="32618D51" w:rsidR="00C03EC0" w:rsidRDefault="00FF4C8C" w:rsidP="00FF4C8C">
      <w:pPr>
        <w:pStyle w:val="ListParagraph"/>
        <w:numPr>
          <w:ilvl w:val="0"/>
          <w:numId w:val="1"/>
        </w:numPr>
      </w:pPr>
      <w:r w:rsidRPr="00FF4C8C">
        <w:rPr>
          <w:i/>
        </w:rPr>
        <w:t>Very Unhealthy (201-300).</w:t>
      </w:r>
      <w:r w:rsidR="00C03EC0">
        <w:t xml:space="preserve"> </w:t>
      </w:r>
      <w:r w:rsidRPr="00FF4C8C">
        <w:rPr>
          <w:bCs/>
        </w:rPr>
        <w:t>Health alert: The risk of health effects is increased for everyone.</w:t>
      </w:r>
    </w:p>
    <w:p w14:paraId="3D0F1A46" w14:textId="1069F2A3" w:rsidR="00C03EC0" w:rsidRDefault="00FF4C8C" w:rsidP="00FF4C8C">
      <w:pPr>
        <w:pStyle w:val="ListParagraph"/>
        <w:numPr>
          <w:ilvl w:val="0"/>
          <w:numId w:val="1"/>
        </w:numPr>
      </w:pPr>
      <w:r w:rsidRPr="00FF4C8C">
        <w:rPr>
          <w:i/>
        </w:rPr>
        <w:t>Hazardous (301-500).</w:t>
      </w:r>
      <w:r w:rsidR="00C03EC0">
        <w:t xml:space="preserve"> </w:t>
      </w:r>
      <w:r w:rsidRPr="00FF4C8C">
        <w:rPr>
          <w:bCs/>
        </w:rPr>
        <w:t>Health warning of emergency conditions: everyone is more likely to be affected.</w:t>
      </w:r>
    </w:p>
    <w:p w14:paraId="317EFA7B" w14:textId="77777777" w:rsidR="00DA4F32" w:rsidRDefault="00DA4F32"/>
    <w:p w14:paraId="66FB171D" w14:textId="0222C4AD" w:rsidR="00446919" w:rsidRDefault="006B365A">
      <w:r>
        <w:t>Air quality monitoring stations measure some of the most common ambient air pollutants such as ground level ozone (O3), particle pollution (pm10 and pm25), carbon monoxide (CO), nitrogen dioxide (NO2)</w:t>
      </w:r>
      <w:r w:rsidR="00B31379">
        <w:t>,</w:t>
      </w:r>
      <w:r>
        <w:t xml:space="preserve"> and sulphur dioxide (SO2)</w:t>
      </w:r>
      <w:r w:rsidR="00FF16F8">
        <w:fldChar w:fldCharType="begin" w:fldLock="1"/>
      </w:r>
      <w:r w:rsidR="000A58C4">
        <w:instrText>ADDIN CSL_CITATION {"citationItems":[{"id":"ITEM-1","itemData":{"URL":"https://www.epa.gov/pmcourse/patient-exposure-and-air-quality-index","accessed":{"date-parts":[["2020","7","13"]]},"author":[{"dropping-particle":"","family":"U.S. Enviromental Protection Agency","given":"","non-dropping-particle":"","parse-names":false,"suffix":""}],"id":"ITEM-1","issued":{"date-parts":[["0"]]},"title":"Patient Exposure and the Air Quality Index | Particle Pollution and Your Patients' Health | US EPA","type":"webpage"},"uris":["http://www.mendeley.com/documents/?uuid=2cfb5a35-b6cf-30bc-908a-cf7a412cd9fd"]}],"mendeley":{"formattedCitation":"[5]","plainTextFormattedCitation":"[5]","previouslyFormattedCitation":"[5]"},"properties":{"noteIndex":0},"schema":"https://github.com/citation-style-language/schema/raw/master/csl-citation.json"}</w:instrText>
      </w:r>
      <w:r w:rsidR="00FF16F8">
        <w:fldChar w:fldCharType="separate"/>
      </w:r>
      <w:r w:rsidR="000A58C4" w:rsidRPr="000A58C4">
        <w:rPr>
          <w:noProof/>
        </w:rPr>
        <w:t>[5]</w:t>
      </w:r>
      <w:r w:rsidR="00FF16F8">
        <w:fldChar w:fldCharType="end"/>
      </w:r>
      <w:r>
        <w:t>.</w:t>
      </w:r>
      <w:r w:rsidR="00FF16F8">
        <w:t xml:space="preserve"> </w:t>
      </w:r>
      <w:r w:rsidR="005F4BB4">
        <w:t xml:space="preserve">For each of the measured pollutants at a given monitoring station, an air quality </w:t>
      </w:r>
      <w:r w:rsidR="00E61B59">
        <w:t>index</w:t>
      </w:r>
      <w:r w:rsidR="005F4BB4">
        <w:t xml:space="preserve"> is calculated, whichever </w:t>
      </w:r>
      <w:r w:rsidR="00E61B59">
        <w:t>index</w:t>
      </w:r>
      <w:r w:rsidR="005F4BB4">
        <w:t xml:space="preserve"> is reflective of the worst air quality is reported as the air quality index </w:t>
      </w:r>
      <w:r w:rsidR="005F4BB4">
        <w:fldChar w:fldCharType="begin" w:fldLock="1"/>
      </w:r>
      <w:r w:rsidR="000A58C4">
        <w:instrText>ADDIN CSL_CITATION {"citationItems":[{"id":"ITEM-1","itemData":{"author":[{"dropping-particle":"","family":"U.S. Enviromental Protection Agency","given":"","non-dropping-particle":"","parse-names":false,"suffix":""}],"id":"ITEM-1","issued":{"date-parts":[["0"]]},"title":"Technical Assistance Document for the Reporting of Daily Air Quality – the Air Quality Index (AQI)","type":"report"},"uris":["http://www.mendeley.com/documents/?uuid=2aceed30-13d2-373a-8f44-7b2ccacf06cd"]}],"mendeley":{"formattedCitation":"[7]","plainTextFormattedCitation":"[7]","previouslyFormattedCitation":"[7]"},"properties":{"noteIndex":0},"schema":"https://github.com/citation-style-language/schema/raw/master/csl-citation.json"}</w:instrText>
      </w:r>
      <w:r w:rsidR="005F4BB4">
        <w:fldChar w:fldCharType="separate"/>
      </w:r>
      <w:r w:rsidR="000A58C4" w:rsidRPr="000A58C4">
        <w:rPr>
          <w:noProof/>
        </w:rPr>
        <w:t>[7]</w:t>
      </w:r>
      <w:r w:rsidR="005F4BB4">
        <w:fldChar w:fldCharType="end"/>
      </w:r>
      <w:r w:rsidR="005F4BB4">
        <w:t xml:space="preserve">. </w:t>
      </w:r>
    </w:p>
    <w:p w14:paraId="56457616" w14:textId="4863590C" w:rsidR="007F7458" w:rsidRDefault="00DE1766" w:rsidP="00176BF9">
      <w:pPr>
        <w:pStyle w:val="Heading1"/>
      </w:pPr>
      <w:bookmarkStart w:id="3" w:name="_Toc456521814"/>
      <w:r w:rsidRPr="00DE1766">
        <w:t>Datasets</w:t>
      </w:r>
      <w:bookmarkEnd w:id="3"/>
    </w:p>
    <w:p w14:paraId="7DABC55D" w14:textId="77777777" w:rsidR="00DE1766" w:rsidRDefault="00DE1766"/>
    <w:p w14:paraId="265BF402" w14:textId="191680CA" w:rsidR="00DE1766" w:rsidRPr="00E9129C" w:rsidRDefault="00DE1766">
      <w:r>
        <w:t xml:space="preserve">This section outlines the publicly available datasets that have been used to perform </w:t>
      </w:r>
      <w:r w:rsidR="00176BF9">
        <w:t xml:space="preserve">the analysis described in this report. </w:t>
      </w:r>
    </w:p>
    <w:p w14:paraId="30ACB19E" w14:textId="4308996A" w:rsidR="00DE1766" w:rsidRDefault="00DE1766" w:rsidP="00176BF9">
      <w:pPr>
        <w:pStyle w:val="Heading2"/>
      </w:pPr>
      <w:bookmarkStart w:id="4" w:name="_Toc456521815"/>
      <w:r>
        <w:t xml:space="preserve">John Hopkins </w:t>
      </w:r>
      <w:r w:rsidR="00670395">
        <w:t>COVID-19 Data Repository</w:t>
      </w:r>
      <w:bookmarkEnd w:id="4"/>
    </w:p>
    <w:p w14:paraId="6C26B969" w14:textId="77777777" w:rsidR="00DE1766" w:rsidRDefault="00DE1766">
      <w:pPr>
        <w:rPr>
          <w:b/>
        </w:rPr>
      </w:pPr>
    </w:p>
    <w:p w14:paraId="3FC00DEF" w14:textId="0F577C62" w:rsidR="009160D6" w:rsidRPr="00E9129C" w:rsidRDefault="00BA322D">
      <w:r w:rsidRPr="00BA322D">
        <w:t xml:space="preserve">The primary source of COVID-19 data for this analysis is </w:t>
      </w:r>
      <w:r w:rsidR="0021593E" w:rsidRPr="00BA322D">
        <w:t>obtained</w:t>
      </w:r>
      <w:r w:rsidRPr="00BA322D">
        <w:t xml:space="preserve"> from the COVID-19 Data Repository </w:t>
      </w:r>
      <w:r>
        <w:t>by the Center for Systems Science and Engineering at John Hopkins University</w:t>
      </w:r>
      <w:r w:rsidR="00871CCB">
        <w:t xml:space="preserve"> </w:t>
      </w:r>
      <w:r w:rsidR="00871CCB">
        <w:fldChar w:fldCharType="begin" w:fldLock="1"/>
      </w:r>
      <w:r w:rsidR="00871CCB">
        <w:instrText>ADDIN CSL_CITATION {"citationItems":[{"id":"ITEM-1","itemData":{"URL":"https://github.com/CSSEGISandData/COVID-19","accessed":{"date-parts":[["2020","7","14"]]},"author":[{"dropping-particle":"","family":"Systems Science and Engineering (CSSE) at Johns Hopkins University","given":"","non-dropping-particle":"","parse-names":false,"suffix":""}],"id":"ITEM-1","issued":{"date-parts":[["0"]]},"title":"CSSEGISandData/COVID-19: Novel Coronavirus (COVID-19) Cases, provided by JHU CSSE","type":"webpage"},"uris":["http://www.mendeley.com/documents/?uuid=8cac5f4b-4fae-3bae-bdbe-607e0e20a3a7"]}],"mendeley":{"formattedCitation":"[8]","plainTextFormattedCitation":"[8]","previouslyFormattedCitation":"[8]"},"properties":{"noteIndex":0},"schema":"https://github.com/citation-style-language/schema/raw/master/csl-citation.json"}</w:instrText>
      </w:r>
      <w:r w:rsidR="00871CCB">
        <w:fldChar w:fldCharType="separate"/>
      </w:r>
      <w:r w:rsidR="00871CCB" w:rsidRPr="00871CCB">
        <w:rPr>
          <w:noProof/>
        </w:rPr>
        <w:t>[8]</w:t>
      </w:r>
      <w:r w:rsidR="00871CCB">
        <w:fldChar w:fldCharType="end"/>
      </w:r>
      <w:r>
        <w:t xml:space="preserve">. More specifically this analysis has used time series </w:t>
      </w:r>
      <w:r w:rsidR="0021593E">
        <w:t xml:space="preserve">data </w:t>
      </w:r>
      <w:r>
        <w:t xml:space="preserve">pertaining to confirmed COVID-19 cases and deaths. Data is reported at a country level for all included countries besides Canada, Australia and China whose data is </w:t>
      </w:r>
      <w:r w:rsidR="00871CCB">
        <w:t>reported</w:t>
      </w:r>
      <w:r>
        <w:t xml:space="preserve"> at a province/state level and </w:t>
      </w:r>
      <w:r w:rsidR="00871CCB">
        <w:t xml:space="preserve">the United States whose data is available at the county level. </w:t>
      </w:r>
      <w:r>
        <w:t xml:space="preserve"> </w:t>
      </w:r>
    </w:p>
    <w:p w14:paraId="698AE9D3" w14:textId="13886567" w:rsidR="00DE1766" w:rsidRPr="00BA322D" w:rsidRDefault="00BA322D" w:rsidP="00176BF9">
      <w:pPr>
        <w:pStyle w:val="Heading2"/>
      </w:pPr>
      <w:bookmarkStart w:id="5" w:name="_Toc456521816"/>
      <w:r w:rsidRPr="00BA322D">
        <w:t>World Air Quality Index Project</w:t>
      </w:r>
      <w:bookmarkEnd w:id="5"/>
    </w:p>
    <w:p w14:paraId="72A6E640" w14:textId="77777777" w:rsidR="00BA322D" w:rsidRDefault="00BA322D"/>
    <w:p w14:paraId="764DE033" w14:textId="2A4B7B84" w:rsidR="00DE1766" w:rsidRPr="00E9129C" w:rsidRDefault="00DE1766">
      <w:r w:rsidRPr="00DE1766">
        <w:t>Used in early iterations</w:t>
      </w:r>
      <w:r w:rsidR="00BA322D">
        <w:t xml:space="preserve"> of this analysis, the World Air Quality Index P</w:t>
      </w:r>
      <w:r w:rsidRPr="00DE1766">
        <w:t>roject compiles and provides daily average air quality data for individual air quality monitoring stations around the world</w:t>
      </w:r>
      <w:r w:rsidR="00871CCB">
        <w:t xml:space="preserve"> </w:t>
      </w:r>
      <w:r w:rsidR="00871CCB">
        <w:fldChar w:fldCharType="begin" w:fldLock="1"/>
      </w:r>
      <w:r w:rsidR="00E61B59">
        <w:instrText>ADDIN CSL_CITATION {"citationItems":[{"id":"ITEM-1","itemData":{"URL":"https://aqicn.org/data-platform/register/","accessed":{"date-parts":[["2020","7","14"]]},"author":[{"dropping-particle":"","family":"Project","given":"World Air Quality Index","non-dropping-particle":"","parse-names":false,"suffix":""}],"id":"ITEM-1","issued":{"date-parts":[["0"]]},"title":"Air Quality Historical Data Platform","type":"webpage"},"uris":["http://www.mendeley.com/documents/?uuid=0ecd2a33-1ef9-39af-a1a9-10e66c4c1e27"]}],"mendeley":{"formattedCitation":"[9]","plainTextFormattedCitation":"[9]","previouslyFormattedCitation":"[9]"},"properties":{"noteIndex":0},"schema":"https://github.com/citation-style-language/schema/raw/master/csl-citation.json"}</w:instrText>
      </w:r>
      <w:r w:rsidR="00871CCB">
        <w:fldChar w:fldCharType="separate"/>
      </w:r>
      <w:r w:rsidR="00871CCB" w:rsidRPr="00871CCB">
        <w:rPr>
          <w:noProof/>
        </w:rPr>
        <w:t>[9]</w:t>
      </w:r>
      <w:r w:rsidR="00871CCB">
        <w:fldChar w:fldCharType="end"/>
      </w:r>
      <w:r w:rsidRPr="00DE1766">
        <w:t xml:space="preserve">. </w:t>
      </w:r>
      <w:r w:rsidR="009160D6">
        <w:t xml:space="preserve">Datasets obtained from </w:t>
      </w:r>
      <w:r w:rsidR="00BA322D">
        <w:t>World Air Quality Index P</w:t>
      </w:r>
      <w:r w:rsidR="00BA322D" w:rsidRPr="00DE1766">
        <w:t>roject</w:t>
      </w:r>
      <w:r w:rsidR="009160D6">
        <w:t xml:space="preserve"> include the AQI value for all pollutants measured by a given monitoring station for all days with reported data. The measured pollutants as well as the available dates are not necessarily consistent across all air quality monitoring stations. </w:t>
      </w:r>
    </w:p>
    <w:p w14:paraId="009FAD0D" w14:textId="1E0957C8" w:rsidR="00DE1766" w:rsidRDefault="00871CCB" w:rsidP="00176BF9">
      <w:pPr>
        <w:pStyle w:val="Heading2"/>
      </w:pPr>
      <w:bookmarkStart w:id="6" w:name="_Toc456521817"/>
      <w:r>
        <w:t xml:space="preserve">United States Environmental </w:t>
      </w:r>
      <w:r w:rsidR="00DE1766">
        <w:t>P</w:t>
      </w:r>
      <w:r>
        <w:t xml:space="preserve">rotection </w:t>
      </w:r>
      <w:r w:rsidR="00DE1766">
        <w:t>A</w:t>
      </w:r>
      <w:r>
        <w:t>gency</w:t>
      </w:r>
      <w:bookmarkEnd w:id="6"/>
    </w:p>
    <w:p w14:paraId="67794F4C" w14:textId="77777777" w:rsidR="00871CCB" w:rsidRDefault="00871CCB">
      <w:pPr>
        <w:rPr>
          <w:b/>
        </w:rPr>
      </w:pPr>
    </w:p>
    <w:p w14:paraId="33E406EE" w14:textId="17C07ACB" w:rsidR="00871CCB" w:rsidRDefault="00871CCB">
      <w:r w:rsidRPr="00871CCB">
        <w:t xml:space="preserve">As this analysis evolved so did the requirements for air quality </w:t>
      </w:r>
      <w:proofErr w:type="gramStart"/>
      <w:r w:rsidRPr="00871CCB">
        <w:t>data.</w:t>
      </w:r>
      <w:proofErr w:type="gramEnd"/>
      <w:r w:rsidRPr="00871CCB">
        <w:t xml:space="preserve"> </w:t>
      </w:r>
      <w:r>
        <w:t>The United States Environmental Protection Agency provides a</w:t>
      </w:r>
      <w:r w:rsidR="00E61B59">
        <w:t>n</w:t>
      </w:r>
      <w:r>
        <w:t xml:space="preserve"> assortment of publicly accessible pre-generated data files. For this analysis the annual AQI summary data by county was used. These datasets provide county level data for a wide variety of </w:t>
      </w:r>
      <w:r w:rsidR="00F62879">
        <w:t xml:space="preserve">summary </w:t>
      </w:r>
      <w:r>
        <w:t xml:space="preserve">measurements </w:t>
      </w:r>
      <w:r w:rsidR="00F62879">
        <w:t>relevant</w:t>
      </w:r>
      <w:r w:rsidR="00E83C0D">
        <w:t xml:space="preserve"> to local air quality, such as</w:t>
      </w:r>
      <w:r>
        <w:t xml:space="preserve"> </w:t>
      </w:r>
      <w:r w:rsidR="00E61B59">
        <w:fldChar w:fldCharType="begin" w:fldLock="1"/>
      </w:r>
      <w:r w:rsidR="00CE7A1E">
        <w:instrText>ADDIN CSL_CITATION {"citationItems":[{"id":"ITEM-1","itemData":{"URL":"https://aqs.epa.gov/aqsweb/airdata/FileFormats.html#_annual_summary_files","accessed":{"date-parts":[["2020","7","14"]]},"author":[{"dropping-particle":"","family":"U.S. Enviromental Protection Agency","given":"","non-dropping-particle":"","parse-names":false,"suffix":""}],"id":"ITEM-1","issued":{"date-parts":[["0"]]},"title":"AirData Download Files Documentation","type":"webpage"},"uris":["http://www.mendeley.com/documents/?uuid=42d1ef42-caed-37f0-b7c6-05618f0db767"]}],"mendeley":{"formattedCitation":"[10]","plainTextFormattedCitation":"[10]","previouslyFormattedCitation":"[10]"},"properties":{"noteIndex":0},"schema":"https://github.com/citation-style-language/schema/raw/master/csl-citation.json"}</w:instrText>
      </w:r>
      <w:r w:rsidR="00E61B59">
        <w:fldChar w:fldCharType="separate"/>
      </w:r>
      <w:r w:rsidR="00E61B59" w:rsidRPr="00E61B59">
        <w:rPr>
          <w:noProof/>
        </w:rPr>
        <w:t>[10]</w:t>
      </w:r>
      <w:r w:rsidR="00E61B59">
        <w:fldChar w:fldCharType="end"/>
      </w:r>
      <w:r>
        <w:t xml:space="preserve">: </w:t>
      </w:r>
    </w:p>
    <w:p w14:paraId="61B40EA7" w14:textId="0C4B841E" w:rsidR="00871CCB" w:rsidRDefault="00871CCB" w:rsidP="00F62879">
      <w:pPr>
        <w:pStyle w:val="ListParagraph"/>
        <w:numPr>
          <w:ilvl w:val="0"/>
          <w:numId w:val="1"/>
        </w:numPr>
      </w:pPr>
      <w:r>
        <w:t>Number of days with measured air qua</w:t>
      </w:r>
      <w:r w:rsidR="00F62879">
        <w:t xml:space="preserve">lity indices </w:t>
      </w:r>
    </w:p>
    <w:p w14:paraId="6FD497C8" w14:textId="6EA3BB36" w:rsidR="00F62879" w:rsidRDefault="00F62879" w:rsidP="00F62879">
      <w:pPr>
        <w:pStyle w:val="ListParagraph"/>
        <w:numPr>
          <w:ilvl w:val="0"/>
          <w:numId w:val="1"/>
        </w:numPr>
      </w:pPr>
      <w:r>
        <w:t xml:space="preserve">Number of days for which measured air quality index was classified as good </w:t>
      </w:r>
    </w:p>
    <w:p w14:paraId="7BB27775" w14:textId="38384465" w:rsidR="00F62879" w:rsidRDefault="00F62879" w:rsidP="00F62879">
      <w:pPr>
        <w:pStyle w:val="ListParagraph"/>
        <w:numPr>
          <w:ilvl w:val="0"/>
          <w:numId w:val="1"/>
        </w:numPr>
      </w:pPr>
      <w:r>
        <w:t xml:space="preserve">Number of days for which measured air quality index was classified as moderate </w:t>
      </w:r>
    </w:p>
    <w:p w14:paraId="00F6176B" w14:textId="05A7E7FF" w:rsidR="00F62879" w:rsidRDefault="00F62879" w:rsidP="00F62879">
      <w:pPr>
        <w:pStyle w:val="ListParagraph"/>
        <w:numPr>
          <w:ilvl w:val="0"/>
          <w:numId w:val="1"/>
        </w:numPr>
      </w:pPr>
      <w:r>
        <w:t>Number of days for which measured air quality index was classified as unhealthy for sensitive groups</w:t>
      </w:r>
    </w:p>
    <w:p w14:paraId="7BED0A9B" w14:textId="4B13068D" w:rsidR="00F62879" w:rsidRDefault="00F62879" w:rsidP="00F62879">
      <w:pPr>
        <w:pStyle w:val="ListParagraph"/>
        <w:numPr>
          <w:ilvl w:val="0"/>
          <w:numId w:val="1"/>
        </w:numPr>
      </w:pPr>
      <w:r>
        <w:t>Number of days for which measured air quality index was classified as unhealthy</w:t>
      </w:r>
    </w:p>
    <w:p w14:paraId="4FBCD8FD" w14:textId="79B95477" w:rsidR="00F62879" w:rsidRDefault="00F62879" w:rsidP="00F62879">
      <w:pPr>
        <w:pStyle w:val="ListParagraph"/>
        <w:numPr>
          <w:ilvl w:val="0"/>
          <w:numId w:val="1"/>
        </w:numPr>
      </w:pPr>
      <w:r>
        <w:t>Number of days for which measured air quality index was classified as very unhealthy</w:t>
      </w:r>
    </w:p>
    <w:p w14:paraId="1ADD50E2" w14:textId="1698F590" w:rsidR="00F62879" w:rsidRDefault="00F62879" w:rsidP="00F62879">
      <w:pPr>
        <w:pStyle w:val="ListParagraph"/>
        <w:numPr>
          <w:ilvl w:val="0"/>
          <w:numId w:val="1"/>
        </w:numPr>
      </w:pPr>
      <w:r>
        <w:t>Number of days for which measured air quality index was classified as hazardous</w:t>
      </w:r>
    </w:p>
    <w:p w14:paraId="48946BBD" w14:textId="143FCCE2" w:rsidR="00F62879" w:rsidRDefault="00F62879" w:rsidP="00F62879">
      <w:pPr>
        <w:pStyle w:val="ListParagraph"/>
        <w:numPr>
          <w:ilvl w:val="0"/>
          <w:numId w:val="1"/>
        </w:numPr>
      </w:pPr>
      <w:r>
        <w:t xml:space="preserve">Maximum recorded air quality index </w:t>
      </w:r>
    </w:p>
    <w:p w14:paraId="05114D83" w14:textId="17798B62" w:rsidR="00F62879" w:rsidRDefault="00F62879" w:rsidP="00F62879">
      <w:pPr>
        <w:pStyle w:val="ListParagraph"/>
        <w:numPr>
          <w:ilvl w:val="0"/>
          <w:numId w:val="1"/>
        </w:numPr>
      </w:pPr>
      <w:r>
        <w:t xml:space="preserve">The value for which 90% of the rest of the measured air quality index values are equal to or less than </w:t>
      </w:r>
    </w:p>
    <w:p w14:paraId="2CE4E633" w14:textId="12E0A9AB" w:rsidR="00F62879" w:rsidRDefault="00E61B59" w:rsidP="00F62879">
      <w:pPr>
        <w:pStyle w:val="ListParagraph"/>
        <w:numPr>
          <w:ilvl w:val="0"/>
          <w:numId w:val="1"/>
        </w:numPr>
      </w:pPr>
      <w:r>
        <w:t>M</w:t>
      </w:r>
      <w:r w:rsidR="00F62879">
        <w:t>edian air quality index</w:t>
      </w:r>
    </w:p>
    <w:p w14:paraId="03268126" w14:textId="72C2159F" w:rsidR="00F62879" w:rsidRDefault="00E61B59" w:rsidP="00F62879">
      <w:pPr>
        <w:pStyle w:val="ListParagraph"/>
        <w:numPr>
          <w:ilvl w:val="0"/>
          <w:numId w:val="1"/>
        </w:numPr>
      </w:pPr>
      <w:r>
        <w:t>N</w:t>
      </w:r>
      <w:r w:rsidR="00F62879">
        <w:t xml:space="preserve">umber </w:t>
      </w:r>
      <w:r>
        <w:t xml:space="preserve">of days where the reported air quality index was based on the carbon monoxide measurements </w:t>
      </w:r>
    </w:p>
    <w:p w14:paraId="67329F9E" w14:textId="7A4721D3" w:rsidR="00E61B59" w:rsidRDefault="00E61B59" w:rsidP="00E61B59">
      <w:pPr>
        <w:pStyle w:val="ListParagraph"/>
        <w:numPr>
          <w:ilvl w:val="0"/>
          <w:numId w:val="1"/>
        </w:numPr>
      </w:pPr>
      <w:r>
        <w:t xml:space="preserve">Number of days where the reported air quality index was based on the nitrogen dioxide measurements </w:t>
      </w:r>
    </w:p>
    <w:p w14:paraId="1C225C4C" w14:textId="3C3E2734" w:rsidR="00E61B59" w:rsidRDefault="00E61B59" w:rsidP="00E61B59">
      <w:pPr>
        <w:pStyle w:val="ListParagraph"/>
        <w:numPr>
          <w:ilvl w:val="0"/>
          <w:numId w:val="1"/>
        </w:numPr>
      </w:pPr>
      <w:r>
        <w:t xml:space="preserve">Number of days where the reported air quality index was based on the ground level ozone measurements </w:t>
      </w:r>
    </w:p>
    <w:p w14:paraId="03ABD7D5" w14:textId="488FC203" w:rsidR="00E61B59" w:rsidRDefault="00E61B59" w:rsidP="00E61B59">
      <w:pPr>
        <w:pStyle w:val="ListParagraph"/>
        <w:numPr>
          <w:ilvl w:val="0"/>
          <w:numId w:val="1"/>
        </w:numPr>
      </w:pPr>
      <w:r>
        <w:t>Number of days where the reported air quality index was based on the sulphur dioxide measurements</w:t>
      </w:r>
    </w:p>
    <w:p w14:paraId="5CE99DCB" w14:textId="43E1AD8D" w:rsidR="00E61B59" w:rsidRDefault="00E61B59" w:rsidP="00E61B59">
      <w:pPr>
        <w:pStyle w:val="ListParagraph"/>
        <w:numPr>
          <w:ilvl w:val="0"/>
          <w:numId w:val="1"/>
        </w:numPr>
      </w:pPr>
      <w:r>
        <w:t xml:space="preserve">Number of days where the reported air quality index was based on the particle matter 2.5 measurements  </w:t>
      </w:r>
    </w:p>
    <w:p w14:paraId="48182E51" w14:textId="5639E331" w:rsidR="00F62879" w:rsidRDefault="00E61B59" w:rsidP="00E9129C">
      <w:pPr>
        <w:pStyle w:val="ListParagraph"/>
        <w:numPr>
          <w:ilvl w:val="0"/>
          <w:numId w:val="1"/>
        </w:numPr>
      </w:pPr>
      <w:r>
        <w:t xml:space="preserve">Number of days where the reported air quality index was based on the particle matter 10 measurements  </w:t>
      </w:r>
    </w:p>
    <w:p w14:paraId="362DF61B" w14:textId="5E2FF17F" w:rsidR="00871CCB" w:rsidRDefault="00E83C0D" w:rsidP="00176BF9">
      <w:pPr>
        <w:pStyle w:val="Heading1"/>
      </w:pPr>
      <w:bookmarkStart w:id="7" w:name="_Toc456521818"/>
      <w:r>
        <w:t>Past Approaches</w:t>
      </w:r>
      <w:bookmarkEnd w:id="7"/>
      <w:r>
        <w:t xml:space="preserve"> </w:t>
      </w:r>
    </w:p>
    <w:p w14:paraId="259EF529" w14:textId="77777777" w:rsidR="00E83C0D" w:rsidRDefault="00E83C0D"/>
    <w:p w14:paraId="7CA640B3" w14:textId="05CDAC64" w:rsidR="00E83C0D" w:rsidRDefault="00E83C0D">
      <w:r>
        <w:t xml:space="preserve">As is common with many data analysis problems the approach to answering the question regarding the impact of air quality on a populations’ susceptibility to COVID-19 has shifted a number of times over the course of the project. This section outlines some of the initial approaches that were taken to investigate this question. </w:t>
      </w:r>
    </w:p>
    <w:p w14:paraId="3C20A1C5" w14:textId="2DD18211" w:rsidR="00E83C0D" w:rsidRDefault="00E83C0D" w:rsidP="00176BF9">
      <w:pPr>
        <w:pStyle w:val="Heading2"/>
      </w:pPr>
      <w:bookmarkStart w:id="8" w:name="_Toc456521819"/>
      <w:r>
        <w:t>Australian Wildfires</w:t>
      </w:r>
      <w:bookmarkEnd w:id="8"/>
      <w:r>
        <w:t xml:space="preserve"> </w:t>
      </w:r>
    </w:p>
    <w:p w14:paraId="4AEAD3F0" w14:textId="77777777" w:rsidR="00E83C0D" w:rsidRDefault="00E83C0D">
      <w:pPr>
        <w:rPr>
          <w:b/>
        </w:rPr>
      </w:pPr>
    </w:p>
    <w:p w14:paraId="7334197A" w14:textId="1F022C84" w:rsidR="00C07431" w:rsidRDefault="00C07431">
      <w:r>
        <w:t>The</w:t>
      </w:r>
      <w:r w:rsidR="00E83C0D">
        <w:t xml:space="preserve"> </w:t>
      </w:r>
      <w:r>
        <w:t xml:space="preserve">idea for this </w:t>
      </w:r>
      <w:r w:rsidR="00E83C0D">
        <w:t xml:space="preserve">analysis was initially </w:t>
      </w:r>
      <w:r>
        <w:t xml:space="preserve">sparked by an interest in the Australian wildfires and their impacts on COVID-19 spread throughout the country. This </w:t>
      </w:r>
      <w:r w:rsidR="002B4341">
        <w:t xml:space="preserve">quickly evolved into looking at the impacts of poor air quality on COVID-19 spread, throughout Australia as wildfires can drastically impact air quality. </w:t>
      </w:r>
    </w:p>
    <w:p w14:paraId="78F01E4E" w14:textId="77777777" w:rsidR="00C07431" w:rsidRDefault="00C07431"/>
    <w:p w14:paraId="31727EB3" w14:textId="7FAFFD5F" w:rsidR="002B4341" w:rsidRDefault="002B4341">
      <w:r>
        <w:t xml:space="preserve">This brief analysis focused on 5 major Australian cities: Adelaide, Brisbane, Melbourne, Perth, </w:t>
      </w:r>
      <w:r w:rsidR="00B97AFA">
        <w:t>and Sydney</w:t>
      </w:r>
      <w:r>
        <w:t xml:space="preserve">. For each city air quality data was obtained from the </w:t>
      </w:r>
      <w:r w:rsidRPr="002B4341">
        <w:t>World Air Quality Index Project</w:t>
      </w:r>
      <w:r w:rsidR="00B97AFA">
        <w:t xml:space="preserve"> for all monitoring stations within city limits. The daily AQI was then averaged across all monitoring stations within a given city in order to obtain a true sense of the air quality on a given day and reduce the impacts of potential outliers in the data. This air quality data</w:t>
      </w:r>
      <w:r w:rsidR="00762258">
        <w:t xml:space="preserve">, as well as a moving mean of this data </w:t>
      </w:r>
      <w:r w:rsidR="00B97AFA">
        <w:t>was then plotted for all cities, as seen below in figure 1.</w:t>
      </w:r>
    </w:p>
    <w:p w14:paraId="1F088AA6" w14:textId="77777777" w:rsidR="00762258" w:rsidRDefault="00762258" w:rsidP="00762258">
      <w:pPr>
        <w:keepNext/>
      </w:pPr>
      <w:r>
        <w:rPr>
          <w:noProof/>
          <w:lang w:val="en-US"/>
        </w:rPr>
        <w:drawing>
          <wp:inline distT="0" distB="0" distL="0" distR="0" wp14:anchorId="2C0E63D7" wp14:editId="3149A316">
            <wp:extent cx="5903568" cy="3610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rotWithShape="1">
                    <a:blip r:embed="rId7">
                      <a:extLst>
                        <a:ext uri="{28A0092B-C50C-407E-A947-70E740481C1C}">
                          <a14:useLocalDpi xmlns:a14="http://schemas.microsoft.com/office/drawing/2010/main" val="0"/>
                        </a:ext>
                      </a:extLst>
                    </a:blip>
                    <a:srcRect l="3600"/>
                    <a:stretch/>
                  </pic:blipFill>
                  <pic:spPr bwMode="auto">
                    <a:xfrm>
                      <a:off x="0" y="0"/>
                      <a:ext cx="5904243" cy="3611023"/>
                    </a:xfrm>
                    <a:prstGeom prst="rect">
                      <a:avLst/>
                    </a:prstGeom>
                    <a:ln>
                      <a:noFill/>
                    </a:ln>
                    <a:extLst>
                      <a:ext uri="{53640926-AAD7-44d8-BBD7-CCE9431645EC}">
                        <a14:shadowObscured xmlns:a14="http://schemas.microsoft.com/office/drawing/2010/main"/>
                      </a:ext>
                    </a:extLst>
                  </pic:spPr>
                </pic:pic>
              </a:graphicData>
            </a:graphic>
          </wp:inline>
        </w:drawing>
      </w:r>
    </w:p>
    <w:p w14:paraId="0D10F398" w14:textId="4ACAF2D6" w:rsidR="00B97AFA" w:rsidRPr="00FD26C7" w:rsidRDefault="00762258" w:rsidP="00FD26C7">
      <w:pPr>
        <w:pStyle w:val="Caption"/>
        <w:rPr>
          <w:color w:val="auto"/>
        </w:rPr>
      </w:pPr>
      <w:bookmarkStart w:id="9" w:name="_Toc456521826"/>
      <w:r w:rsidRPr="00762258">
        <w:rPr>
          <w:color w:val="auto"/>
        </w:rPr>
        <w:t xml:space="preserve">Figure </w:t>
      </w:r>
      <w:r w:rsidRPr="00762258">
        <w:rPr>
          <w:color w:val="auto"/>
        </w:rPr>
        <w:fldChar w:fldCharType="begin"/>
      </w:r>
      <w:r w:rsidRPr="00762258">
        <w:rPr>
          <w:color w:val="auto"/>
        </w:rPr>
        <w:instrText xml:space="preserve"> SEQ Figure \* ARABIC </w:instrText>
      </w:r>
      <w:r w:rsidRPr="00762258">
        <w:rPr>
          <w:color w:val="auto"/>
        </w:rPr>
        <w:fldChar w:fldCharType="separate"/>
      </w:r>
      <w:r w:rsidR="00E267C8">
        <w:rPr>
          <w:noProof/>
          <w:color w:val="auto"/>
        </w:rPr>
        <w:t>1</w:t>
      </w:r>
      <w:r w:rsidRPr="00762258">
        <w:rPr>
          <w:color w:val="auto"/>
        </w:rPr>
        <w:fldChar w:fldCharType="end"/>
      </w:r>
      <w:r w:rsidRPr="00762258">
        <w:rPr>
          <w:color w:val="auto"/>
        </w:rPr>
        <w:t xml:space="preserve"> – </w:t>
      </w:r>
      <w:r w:rsidRPr="00762258">
        <w:rPr>
          <w:b w:val="0"/>
          <w:color w:val="auto"/>
        </w:rPr>
        <w:t>Top: Air Quality Index in Major Australian Cities, Bottom: 7 Day Moving Mean of Air Quality Index in Major Australian Cities</w:t>
      </w:r>
      <w:bookmarkEnd w:id="9"/>
    </w:p>
    <w:p w14:paraId="20D6B0DF" w14:textId="782FCEE7" w:rsidR="0073349B" w:rsidRDefault="00B97AFA">
      <w:r>
        <w:t xml:space="preserve">This figure and others like it </w:t>
      </w:r>
      <w:r w:rsidR="00762258">
        <w:t xml:space="preserve">highlighted some key issues with this approach. First, many of the adverse </w:t>
      </w:r>
      <w:r w:rsidR="002223FD">
        <w:t xml:space="preserve">effects of air pollution that have been hypothesised to make a population more susceptible to COVID-19 have stronger links to long term exposure to poor air quality.  </w:t>
      </w:r>
      <w:r w:rsidR="008165AB">
        <w:t xml:space="preserve">Analysis of these figures indicates </w:t>
      </w:r>
      <w:r w:rsidR="002223FD">
        <w:t>that aside from the 2020 wil</w:t>
      </w:r>
      <w:r w:rsidR="003D478F">
        <w:t xml:space="preserve">dfires the AQI in any of these cities surpasses </w:t>
      </w:r>
      <w:r w:rsidR="00DC5580">
        <w:t>a moderate air qu</w:t>
      </w:r>
      <w:r w:rsidR="00FD26C7">
        <w:t xml:space="preserve">ality index less than 25 times. This suggests that </w:t>
      </w:r>
      <w:r w:rsidR="00D1198D">
        <w:t xml:space="preserve">residents of these cities have not experienced long term expose to poor </w:t>
      </w:r>
      <w:r w:rsidR="00FD26C7">
        <w:t>air quality</w:t>
      </w:r>
      <w:r w:rsidR="00D1198D">
        <w:t xml:space="preserve">. </w:t>
      </w:r>
      <w:r w:rsidR="00FD26C7">
        <w:t xml:space="preserve">Furthermore, the variation in air quality between the cities is quite </w:t>
      </w:r>
      <w:r w:rsidR="0073349B">
        <w:t xml:space="preserve">small consequentially making them difficult to separate in a data analysis context. </w:t>
      </w:r>
    </w:p>
    <w:p w14:paraId="6E1948F5" w14:textId="49EBB82C" w:rsidR="0073349B" w:rsidRDefault="00E9129C" w:rsidP="00176BF9">
      <w:pPr>
        <w:pStyle w:val="Heading2"/>
      </w:pPr>
      <w:bookmarkStart w:id="10" w:name="_Toc456521820"/>
      <w:r>
        <w:t>Pairwise Analysis</w:t>
      </w:r>
      <w:bookmarkEnd w:id="10"/>
    </w:p>
    <w:p w14:paraId="2D397514" w14:textId="77777777" w:rsidR="0073349B" w:rsidRDefault="0073349B">
      <w:pPr>
        <w:rPr>
          <w:b/>
        </w:rPr>
      </w:pPr>
    </w:p>
    <w:p w14:paraId="1B5497F6" w14:textId="25B05C95" w:rsidR="0073349B" w:rsidRDefault="0073349B">
      <w:r>
        <w:t>Following the inspection of the Australian data, the analysis shifted to focus specifically on the comparison of locations with significant differences in air quality levels.</w:t>
      </w:r>
      <w:r w:rsidR="0021593E">
        <w:t xml:space="preserve"> A variety of cities with few confounding variables between them were </w:t>
      </w:r>
      <w:r w:rsidR="00CB2A9F">
        <w:t>briefly</w:t>
      </w:r>
      <w:r w:rsidR="0021593E">
        <w:t xml:space="preserve"> inspected </w:t>
      </w:r>
      <w:r w:rsidR="00CB2A9F">
        <w:t>to determine</w:t>
      </w:r>
      <w:r w:rsidR="0021593E">
        <w:t xml:space="preserve"> their com</w:t>
      </w:r>
      <w:r w:rsidR="00CB2A9F">
        <w:t xml:space="preserve">patibility to this analysis. Ultimately, </w:t>
      </w:r>
      <w:r>
        <w:t xml:space="preserve">Los Angeles, California and Seattle, Washington were chosen as locations for initial analysis. Air Quality data was collected using the same methodology as </w:t>
      </w:r>
      <w:r w:rsidR="00CB2A9F">
        <w:t xml:space="preserve">for </w:t>
      </w:r>
      <w:r>
        <w:t xml:space="preserve">the Australian cities. </w:t>
      </w:r>
      <w:r w:rsidR="004F100F">
        <w:t xml:space="preserve">Figure 2 below shows a plot of the averaged air quality data across Los Angeles </w:t>
      </w:r>
      <w:proofErr w:type="spellStart"/>
      <w:r w:rsidR="004F100F">
        <w:t>vs</w:t>
      </w:r>
      <w:proofErr w:type="spellEnd"/>
      <w:r w:rsidR="004F100F">
        <w:t xml:space="preserve"> Seattle. Figure 3 shows </w:t>
      </w:r>
      <w:r w:rsidR="00B54C2C">
        <w:t xml:space="preserve">the difference in daily air quality indices, where positive values represent a higher AQI in Los Angeles and negative values represent a higher AQI in Seattle. </w:t>
      </w:r>
    </w:p>
    <w:p w14:paraId="67BB5F9E" w14:textId="66D96DB9" w:rsidR="0073349B" w:rsidRDefault="0073349B"/>
    <w:p w14:paraId="6D92FFAD" w14:textId="77777777" w:rsidR="0073349B" w:rsidRDefault="0073349B"/>
    <w:p w14:paraId="3C9A4B22" w14:textId="77777777" w:rsidR="00B54C2C" w:rsidRDefault="00B54C2C" w:rsidP="00B54C2C">
      <w:pPr>
        <w:keepNext/>
        <w:jc w:val="center"/>
      </w:pPr>
      <w:r>
        <w:rPr>
          <w:noProof/>
          <w:lang w:val="en-US"/>
        </w:rPr>
        <w:drawing>
          <wp:inline distT="0" distB="0" distL="0" distR="0" wp14:anchorId="1ACD1781" wp14:editId="6D9A17D4">
            <wp:extent cx="5241877" cy="309052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lynn:Desktop:Summer 2020:Honours-ECE579a:Figures:LA_SEA_AQ.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41877" cy="3090523"/>
                    </a:xfrm>
                    <a:prstGeom prst="rect">
                      <a:avLst/>
                    </a:prstGeom>
                    <a:noFill/>
                    <a:ln>
                      <a:noFill/>
                    </a:ln>
                    <a:extLst>
                      <a:ext uri="{53640926-AAD7-44d8-BBD7-CCE9431645EC}">
                        <a14:shadowObscured xmlns:a14="http://schemas.microsoft.com/office/drawing/2010/main"/>
                      </a:ext>
                    </a:extLst>
                  </pic:spPr>
                </pic:pic>
              </a:graphicData>
            </a:graphic>
          </wp:inline>
        </w:drawing>
      </w:r>
    </w:p>
    <w:p w14:paraId="5977A4E2" w14:textId="0170F097" w:rsidR="00E83C0D" w:rsidRPr="00B54C2C" w:rsidRDefault="00B54C2C" w:rsidP="00B54C2C">
      <w:pPr>
        <w:pStyle w:val="Caption"/>
        <w:rPr>
          <w:color w:val="auto"/>
        </w:rPr>
      </w:pPr>
      <w:bookmarkStart w:id="11" w:name="_Toc456521827"/>
      <w:r w:rsidRPr="00B54C2C">
        <w:rPr>
          <w:color w:val="auto"/>
        </w:rPr>
        <w:t xml:space="preserve">Figure </w:t>
      </w:r>
      <w:r w:rsidRPr="00B54C2C">
        <w:rPr>
          <w:color w:val="auto"/>
        </w:rPr>
        <w:fldChar w:fldCharType="begin"/>
      </w:r>
      <w:r w:rsidRPr="00B54C2C">
        <w:rPr>
          <w:color w:val="auto"/>
        </w:rPr>
        <w:instrText xml:space="preserve"> SEQ Figure \* ARABIC </w:instrText>
      </w:r>
      <w:r w:rsidRPr="00B54C2C">
        <w:rPr>
          <w:color w:val="auto"/>
        </w:rPr>
        <w:fldChar w:fldCharType="separate"/>
      </w:r>
      <w:r w:rsidR="00E267C8">
        <w:rPr>
          <w:noProof/>
          <w:color w:val="auto"/>
        </w:rPr>
        <w:t>2</w:t>
      </w:r>
      <w:r w:rsidRPr="00B54C2C">
        <w:rPr>
          <w:color w:val="auto"/>
        </w:rPr>
        <w:fldChar w:fldCharType="end"/>
      </w:r>
      <w:r w:rsidRPr="00B54C2C">
        <w:rPr>
          <w:color w:val="auto"/>
        </w:rPr>
        <w:t xml:space="preserve"> </w:t>
      </w:r>
      <w:r w:rsidRPr="00B54C2C">
        <w:rPr>
          <w:b w:val="0"/>
          <w:color w:val="auto"/>
        </w:rPr>
        <w:t>- Air Quality Index in Los Angeles and Seattle</w:t>
      </w:r>
      <w:bookmarkEnd w:id="11"/>
    </w:p>
    <w:p w14:paraId="5E293E32" w14:textId="77777777" w:rsidR="00B54C2C" w:rsidRDefault="00B54C2C" w:rsidP="00B54C2C">
      <w:pPr>
        <w:jc w:val="center"/>
      </w:pPr>
    </w:p>
    <w:p w14:paraId="721BEE03" w14:textId="77777777" w:rsidR="00B54C2C" w:rsidRDefault="00B54C2C" w:rsidP="00B54C2C">
      <w:pPr>
        <w:keepNext/>
        <w:jc w:val="center"/>
      </w:pPr>
      <w:r>
        <w:rPr>
          <w:noProof/>
          <w:lang w:val="en-US"/>
        </w:rPr>
        <w:drawing>
          <wp:inline distT="0" distB="0" distL="0" distR="0" wp14:anchorId="3E75C4BE" wp14:editId="2EFD2F0C">
            <wp:extent cx="5250213" cy="3095438"/>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lynn:Desktop:Summer 2020:Honours-ECE579a:Figures:LA_SEA_diff.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50213" cy="3095438"/>
                    </a:xfrm>
                    <a:prstGeom prst="rect">
                      <a:avLst/>
                    </a:prstGeom>
                    <a:noFill/>
                    <a:ln>
                      <a:noFill/>
                    </a:ln>
                    <a:extLst>
                      <a:ext uri="{53640926-AAD7-44d8-BBD7-CCE9431645EC}">
                        <a14:shadowObscured xmlns:a14="http://schemas.microsoft.com/office/drawing/2010/main"/>
                      </a:ext>
                    </a:extLst>
                  </pic:spPr>
                </pic:pic>
              </a:graphicData>
            </a:graphic>
          </wp:inline>
        </w:drawing>
      </w:r>
    </w:p>
    <w:p w14:paraId="748229CB" w14:textId="5D2165A8" w:rsidR="004C6477" w:rsidRPr="000A2D31" w:rsidRDefault="00B54C2C" w:rsidP="000A2D31">
      <w:pPr>
        <w:pStyle w:val="Caption"/>
        <w:rPr>
          <w:b w:val="0"/>
          <w:color w:val="auto"/>
        </w:rPr>
      </w:pPr>
      <w:bookmarkStart w:id="12" w:name="_Toc456521828"/>
      <w:r w:rsidRPr="00B54C2C">
        <w:rPr>
          <w:color w:val="auto"/>
        </w:rPr>
        <w:t xml:space="preserve">Figure </w:t>
      </w:r>
      <w:r w:rsidRPr="00B54C2C">
        <w:rPr>
          <w:color w:val="auto"/>
        </w:rPr>
        <w:fldChar w:fldCharType="begin"/>
      </w:r>
      <w:r w:rsidRPr="00B54C2C">
        <w:rPr>
          <w:color w:val="auto"/>
        </w:rPr>
        <w:instrText xml:space="preserve"> SEQ Figure \* ARABIC </w:instrText>
      </w:r>
      <w:r w:rsidRPr="00B54C2C">
        <w:rPr>
          <w:color w:val="auto"/>
        </w:rPr>
        <w:fldChar w:fldCharType="separate"/>
      </w:r>
      <w:r w:rsidR="00E267C8">
        <w:rPr>
          <w:noProof/>
          <w:color w:val="auto"/>
        </w:rPr>
        <w:t>3</w:t>
      </w:r>
      <w:r w:rsidRPr="00B54C2C">
        <w:rPr>
          <w:color w:val="auto"/>
        </w:rPr>
        <w:fldChar w:fldCharType="end"/>
      </w:r>
      <w:r w:rsidRPr="00B54C2C">
        <w:rPr>
          <w:color w:val="auto"/>
        </w:rPr>
        <w:t xml:space="preserve"> - </w:t>
      </w:r>
      <w:r w:rsidRPr="00B54C2C">
        <w:rPr>
          <w:b w:val="0"/>
          <w:color w:val="auto"/>
        </w:rPr>
        <w:t>Differences in Air Quality Index Between Los Angeles and Seattle</w:t>
      </w:r>
      <w:bookmarkEnd w:id="12"/>
    </w:p>
    <w:p w14:paraId="2B7F3D42" w14:textId="07B1261C" w:rsidR="004C6477" w:rsidRDefault="004C6477" w:rsidP="004C6477">
      <w:r>
        <w:t xml:space="preserve">Following the initial analysis of the air quality data from these two cities their respective COVID-19 infection rates and death rates were analysed.  </w:t>
      </w:r>
      <w:r w:rsidR="00D81CFD">
        <w:t xml:space="preserve">At this point complications were arising from working exclusively with time series data and the appropriate methodology to move forward with this analysis was unclear. These complications lead to the discovery of a new source of air quality data, which introduced the shift in techniques used in future iterations of this analysis. </w:t>
      </w:r>
    </w:p>
    <w:p w14:paraId="4B5DD07D" w14:textId="48E5778F" w:rsidR="004C6477" w:rsidRDefault="004C6477" w:rsidP="00176BF9">
      <w:pPr>
        <w:pStyle w:val="Heading1"/>
      </w:pPr>
      <w:bookmarkStart w:id="13" w:name="_Toc456521821"/>
      <w:r>
        <w:t>County Level A</w:t>
      </w:r>
      <w:r w:rsidR="00176BF9">
        <w:t>nalysis</w:t>
      </w:r>
      <w:bookmarkEnd w:id="13"/>
    </w:p>
    <w:p w14:paraId="69141822" w14:textId="77777777" w:rsidR="004C6477" w:rsidRDefault="004C6477" w:rsidP="004C6477">
      <w:pPr>
        <w:rPr>
          <w:b/>
        </w:rPr>
      </w:pPr>
    </w:p>
    <w:p w14:paraId="2F0C990D" w14:textId="0C1ECE1C" w:rsidR="00C817E0" w:rsidRDefault="004C6477" w:rsidP="004C6477">
      <w:r>
        <w:t>The most recent approach to analysing the relationship between local air quality and a populations’ susceptibility to COVID-19 makes use of county level air quality data from the United States Environmental Protection Agency</w:t>
      </w:r>
      <w:r w:rsidR="008839FE">
        <w:t xml:space="preserve"> </w:t>
      </w:r>
      <w:r w:rsidR="0067268F">
        <w:fldChar w:fldCharType="begin" w:fldLock="1"/>
      </w:r>
      <w:r w:rsidR="003C1125">
        <w:instrText>ADDIN CSL_CITATION {"citationItems":[{"id":"ITEM-1","itemData":{"URL":"https://aqs.epa.gov/aqsweb/airdata/download_files.html","accessed":{"date-parts":[["2020","7","15"]]},"author":[{"dropping-particle":"","family":"U.S. Enviromental Protection Agency","given":"","non-dropping-particle":"","parse-names":false,"suffix":""}],"id":"ITEM-1","issued":{"date-parts":[["0"]]},"title":"Download Files | AirData | US EPA","type":"webpage"},"uris":["http://www.mendeley.com/documents/?uuid=b4405ec8-a583-3424-a2f4-c21d59747f5d"]}],"mendeley":{"formattedCitation":"[11]","plainTextFormattedCitation":"[11]","previouslyFormattedCitation":"[11]"},"properties":{"noteIndex":0},"schema":"https://github.com/citation-style-language/schema/raw/master/csl-citation.json"}</w:instrText>
      </w:r>
      <w:r w:rsidR="0067268F">
        <w:fldChar w:fldCharType="separate"/>
      </w:r>
      <w:r w:rsidR="0067268F" w:rsidRPr="0067268F">
        <w:rPr>
          <w:noProof/>
        </w:rPr>
        <w:t>[11]</w:t>
      </w:r>
      <w:r w:rsidR="0067268F">
        <w:fldChar w:fldCharType="end"/>
      </w:r>
      <w:r>
        <w:t xml:space="preserve">. Annual summary datasets as described </w:t>
      </w:r>
      <w:r w:rsidR="003C1125">
        <w:t>previously</w:t>
      </w:r>
      <w:r>
        <w:t xml:space="preserve"> were obtained for 2014 through 2019. </w:t>
      </w:r>
      <w:r w:rsidR="00250C7A">
        <w:t>This analysis makes use the number of days for which AQI was reported and the number of times the recorded AQI fell into each of the six AQI categories. Pre-processing of this data involved removal of any counties who repor</w:t>
      </w:r>
      <w:r w:rsidR="00C817E0">
        <w:t>ted air quality measurements</w:t>
      </w:r>
      <w:r w:rsidR="00250C7A">
        <w:t xml:space="preserve"> fewer than 180 days</w:t>
      </w:r>
      <w:r w:rsidR="00C817E0">
        <w:t xml:space="preserve"> per year</w:t>
      </w:r>
      <w:r w:rsidR="00250C7A">
        <w:t>.</w:t>
      </w:r>
      <w:r w:rsidR="00C817E0">
        <w:t xml:space="preserve"> The counties represented in this analysis are shown below in figure 4, note that there are also 4 counties represented in Hawaii and none in Alaska. </w:t>
      </w:r>
    </w:p>
    <w:p w14:paraId="134DDE6A" w14:textId="77777777" w:rsidR="00C817E0" w:rsidRDefault="00C817E0" w:rsidP="00C817E0">
      <w:pPr>
        <w:jc w:val="center"/>
      </w:pPr>
    </w:p>
    <w:p w14:paraId="25875FA2" w14:textId="77777777" w:rsidR="00C817E0" w:rsidRDefault="00C817E0" w:rsidP="00C817E0">
      <w:pPr>
        <w:keepNext/>
        <w:jc w:val="center"/>
      </w:pPr>
      <w:r>
        <w:rPr>
          <w:noProof/>
          <w:lang w:val="en-US"/>
        </w:rPr>
        <w:drawing>
          <wp:inline distT="0" distB="0" distL="0" distR="0" wp14:anchorId="5DC7341B" wp14:editId="40DD2827">
            <wp:extent cx="5255259" cy="2971800"/>
            <wp:effectExtent l="0" t="0" r="3175" b="0"/>
            <wp:docPr id="6" name="Picture 6" descr="Macintosh HD:Users:Ashlynn:Desktop:Summer 2020:Honours-ECE579a:Figures:County_Map_no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lynn:Desktop:Summer 2020:Honours-ECE579a:Figures:County_Map_noHI.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050" t="16626" r="8172" b="12886"/>
                    <a:stretch/>
                  </pic:blipFill>
                  <pic:spPr bwMode="auto">
                    <a:xfrm>
                      <a:off x="0" y="0"/>
                      <a:ext cx="5259205" cy="2974031"/>
                    </a:xfrm>
                    <a:prstGeom prst="rect">
                      <a:avLst/>
                    </a:prstGeom>
                    <a:noFill/>
                    <a:ln>
                      <a:noFill/>
                    </a:ln>
                    <a:extLst>
                      <a:ext uri="{53640926-AAD7-44d8-BBD7-CCE9431645EC}">
                        <a14:shadowObscured xmlns:a14="http://schemas.microsoft.com/office/drawing/2010/main"/>
                      </a:ext>
                    </a:extLst>
                  </pic:spPr>
                </pic:pic>
              </a:graphicData>
            </a:graphic>
          </wp:inline>
        </w:drawing>
      </w:r>
    </w:p>
    <w:p w14:paraId="79C1C3F5" w14:textId="0F2E9EEF" w:rsidR="00C817E0" w:rsidRPr="00C817E0" w:rsidRDefault="00C817E0" w:rsidP="00C817E0">
      <w:pPr>
        <w:pStyle w:val="Caption"/>
        <w:rPr>
          <w:color w:val="auto"/>
        </w:rPr>
      </w:pPr>
      <w:bookmarkStart w:id="14" w:name="_Toc456521829"/>
      <w:r w:rsidRPr="00C817E0">
        <w:rPr>
          <w:color w:val="auto"/>
        </w:rPr>
        <w:t xml:space="preserve">Figure </w:t>
      </w:r>
      <w:r w:rsidRPr="00C817E0">
        <w:rPr>
          <w:color w:val="auto"/>
        </w:rPr>
        <w:fldChar w:fldCharType="begin"/>
      </w:r>
      <w:r w:rsidRPr="00C817E0">
        <w:rPr>
          <w:color w:val="auto"/>
        </w:rPr>
        <w:instrText xml:space="preserve"> SEQ Figure \* ARABIC </w:instrText>
      </w:r>
      <w:r w:rsidRPr="00C817E0">
        <w:rPr>
          <w:color w:val="auto"/>
        </w:rPr>
        <w:fldChar w:fldCharType="separate"/>
      </w:r>
      <w:r w:rsidR="00E267C8">
        <w:rPr>
          <w:noProof/>
          <w:color w:val="auto"/>
        </w:rPr>
        <w:t>4</w:t>
      </w:r>
      <w:r w:rsidRPr="00C817E0">
        <w:rPr>
          <w:color w:val="auto"/>
        </w:rPr>
        <w:fldChar w:fldCharType="end"/>
      </w:r>
      <w:r w:rsidRPr="00C817E0">
        <w:rPr>
          <w:color w:val="auto"/>
        </w:rPr>
        <w:t xml:space="preserve"> - </w:t>
      </w:r>
      <w:r w:rsidRPr="00C817E0">
        <w:rPr>
          <w:b w:val="0"/>
          <w:color w:val="auto"/>
        </w:rPr>
        <w:t>Counties Represented in Analysis</w:t>
      </w:r>
      <w:bookmarkEnd w:id="14"/>
    </w:p>
    <w:p w14:paraId="7E2E17D4" w14:textId="256D6541" w:rsidR="00CE7A1E" w:rsidRDefault="00C817E0" w:rsidP="004C6477">
      <w:r>
        <w:t>Following the removal of counties with insufficient data, t</w:t>
      </w:r>
      <w:r w:rsidR="00686441">
        <w:t xml:space="preserve">he number of occurrences of </w:t>
      </w:r>
      <w:r>
        <w:t xml:space="preserve">an </w:t>
      </w:r>
      <w:r w:rsidR="00686441">
        <w:t>AQI from each category was the</w:t>
      </w:r>
      <w:r>
        <w:t>n</w:t>
      </w:r>
      <w:r w:rsidR="00686441">
        <w:t xml:space="preserve"> divided by the </w:t>
      </w:r>
      <w:r>
        <w:t xml:space="preserve">total number of recorded days, turning this value into a percentage. </w:t>
      </w:r>
      <w:r w:rsidR="00CE7A1E">
        <w:t xml:space="preserve"> These percentages were then averaged across the 6 years for which data was collected. These averaged rates as well as the total number of confirmed COVID-19 cases and death</w:t>
      </w:r>
      <w:r w:rsidR="0067268F">
        <w:t xml:space="preserve"> in a given county (</w:t>
      </w:r>
      <w:r w:rsidR="00CE7A1E">
        <w:t>both normal</w:t>
      </w:r>
      <w:r w:rsidR="0067268F">
        <w:t>ized by the counties population)</w:t>
      </w:r>
      <w:r w:rsidR="00CE7A1E">
        <w:t xml:space="preserve"> were used to define the feature space for this analysis </w:t>
      </w:r>
      <w:r w:rsidR="00CE7A1E">
        <w:fldChar w:fldCharType="begin" w:fldLock="1"/>
      </w:r>
      <w:r w:rsidR="00CE7A1E">
        <w:instrText>ADDIN CSL_CITATION {"citationItems":[{"id":"ITEM-1","itemData":{"URL":"https://github.com/CSSEGISandData/COVID-19","accessed":{"date-parts":[["2020","7","14"]]},"author":[{"dropping-particle":"","family":"Systems Science and Engineering (CSSE) at Johns Hopkins University","given":"","non-dropping-particle":"","parse-names":false,"suffix":""}],"id":"ITEM-1","issued":{"date-parts":[["0"]]},"title":"CSSEGISandData/COVID-19: Novel Coronavirus (COVID-19) Cases, provided by JHU CSSE","type":"webpage"},"uris":["http://www.mendeley.com/documents/?uuid=8cac5f4b-4fae-3bae-bdbe-607e0e20a3a7"]}],"mendeley":{"formattedCitation":"[8]","plainTextFormattedCitation":"[8]","previouslyFormattedCitation":"[8]"},"properties":{"noteIndex":0},"schema":"https://github.com/citation-style-language/schema/raw/master/csl-citation.json"}</w:instrText>
      </w:r>
      <w:r w:rsidR="00CE7A1E">
        <w:fldChar w:fldCharType="separate"/>
      </w:r>
      <w:r w:rsidR="00CE7A1E" w:rsidRPr="00CE7A1E">
        <w:rPr>
          <w:noProof/>
        </w:rPr>
        <w:t>[8]</w:t>
      </w:r>
      <w:r w:rsidR="00CE7A1E">
        <w:fldChar w:fldCharType="end"/>
      </w:r>
      <w:r w:rsidR="00CE7A1E">
        <w:fldChar w:fldCharType="begin" w:fldLock="1"/>
      </w:r>
      <w:r w:rsidR="003C1125">
        <w:instrText>ADDIN CSL_CITATION {"citationItems":[{"id":"ITEM-1","itemData":{"author":[{"dropping-particle":"","family":"Bureau","given":"US Census","non-dropping-particle":"","parse-names":false,"suffix":""}],"id":"ITEM-1","issued":{"date-parts":[["0"]]},"title":"County Population Totals: 2010-2019","type":"article-journal"},"uris":["http://www.mendeley.com/documents/?uuid=cebb1f25-dacd-3899-adaf-e448a7257bc6"]}],"mendeley":{"formattedCitation":"[12]","plainTextFormattedCitation":"[12]","previouslyFormattedCitation":"[12]"},"properties":{"noteIndex":0},"schema":"https://github.com/citation-style-language/schema/raw/master/csl-citation.json"}</w:instrText>
      </w:r>
      <w:r w:rsidR="00CE7A1E">
        <w:fldChar w:fldCharType="separate"/>
      </w:r>
      <w:r w:rsidR="0067268F" w:rsidRPr="0067268F">
        <w:rPr>
          <w:noProof/>
        </w:rPr>
        <w:t>[12]</w:t>
      </w:r>
      <w:r w:rsidR="00CE7A1E">
        <w:fldChar w:fldCharType="end"/>
      </w:r>
      <w:r w:rsidR="00CE7A1E">
        <w:t xml:space="preserve">.  </w:t>
      </w:r>
    </w:p>
    <w:p w14:paraId="5F01C7B8" w14:textId="77777777" w:rsidR="00CE7A1E" w:rsidRDefault="00CE7A1E" w:rsidP="004C6477"/>
    <w:p w14:paraId="6257BFEC" w14:textId="416B4E1E" w:rsidR="00CE7A1E" w:rsidRDefault="00CE7A1E" w:rsidP="004C6477">
      <w:r>
        <w:t xml:space="preserve">Feature level normalization was then applied in order to remove the variation of the respective feature scales. Normalization for all features followed the formula: </w:t>
      </w:r>
    </w:p>
    <w:p w14:paraId="4D6C0052" w14:textId="77777777" w:rsidR="00CE7A1E" w:rsidRDefault="00CE7A1E" w:rsidP="004C6477"/>
    <w:p w14:paraId="375845BA" w14:textId="7886F18C" w:rsidR="00CE7A1E" w:rsidRPr="0067268F" w:rsidRDefault="0021593E" w:rsidP="004C6477">
      <m:oMathPara>
        <m:oMath>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w:rPr>
                              <w:rFonts w:ascii="Cambria Math" w:hAnsi="Cambria Math"/>
                            </w:rPr>
                            <m:t>arctanh</m:t>
                          </m:r>
                        </m:fName>
                        <m:e>
                          <m:d>
                            <m:dPr>
                              <m:ctrlPr>
                                <w:rPr>
                                  <w:rFonts w:ascii="Cambria Math" w:hAnsi="Cambria Math"/>
                                  <w:i/>
                                </w:rPr>
                              </m:ctrlPr>
                            </m:dPr>
                            <m:e>
                              <m:r>
                                <w:rPr>
                                  <w:rFonts w:ascii="Cambria Math" w:hAnsi="Cambria Math"/>
                                </w:rPr>
                                <m:t>a</m:t>
                              </m:r>
                            </m:e>
                          </m:d>
                        </m:e>
                      </m:func>
                    </m:num>
                    <m:den>
                      <m:r>
                        <w:rPr>
                          <w:rFonts w:ascii="Cambria Math" w:hAnsi="Cambria Math"/>
                        </w:rPr>
                        <m:t>b</m:t>
                      </m:r>
                    </m:den>
                  </m:f>
                  <m:r>
                    <m:rPr>
                      <m:sty m:val="bi"/>
                    </m:rPr>
                    <w:rPr>
                      <w:rFonts w:ascii="Cambria Math" w:hAnsi="Cambria Math"/>
                    </w:rPr>
                    <m:t>x</m:t>
                  </m:r>
                </m:e>
              </m:d>
            </m:e>
          </m:func>
        </m:oMath>
      </m:oMathPara>
    </w:p>
    <w:p w14:paraId="3DF44CFD" w14:textId="77777777" w:rsidR="0067268F" w:rsidRDefault="0067268F" w:rsidP="004C6477"/>
    <w:p w14:paraId="603A6AFD" w14:textId="77777777" w:rsidR="0067268F" w:rsidRPr="00CE7A1E" w:rsidRDefault="0067268F" w:rsidP="004C6477"/>
    <w:p w14:paraId="6D46ABD0" w14:textId="593335E9" w:rsidR="008470F2" w:rsidRDefault="00CE7A1E" w:rsidP="004C6477">
      <w:r>
        <w:t>Where</w:t>
      </w:r>
      <w:r w:rsidR="00A04ACC">
        <w:t xml:space="preserve"> a represents the tolerance, b represents the maximum value within a given feature and x is the data. This method of normalization defines a curve </w:t>
      </w:r>
      <w:r w:rsidR="008470F2">
        <w:t xml:space="preserve">where the maximum value within a given feature (b) is </w:t>
      </w:r>
      <w:r w:rsidR="003547CF">
        <w:t>mapped to the tolerance value (a). The tolerance value also influences</w:t>
      </w:r>
      <w:r w:rsidR="008470F2">
        <w:t xml:space="preserve"> the rate of decay between 1 and 0. </w:t>
      </w:r>
      <w:r w:rsidR="00756754">
        <w:t xml:space="preserve"> Figure 5 provides a visual representation of the impact of varying the tolerance </w:t>
      </w:r>
      <w:r w:rsidR="0067268F">
        <w:t xml:space="preserve">value </w:t>
      </w:r>
      <w:r w:rsidR="00756754">
        <w:t xml:space="preserve">on the normalization. </w:t>
      </w:r>
    </w:p>
    <w:p w14:paraId="675BB324" w14:textId="77777777" w:rsidR="00756754" w:rsidRDefault="00756754" w:rsidP="004C6477"/>
    <w:p w14:paraId="3F50B76B" w14:textId="77777777" w:rsidR="00322380" w:rsidRDefault="00322380" w:rsidP="00322380">
      <w:pPr>
        <w:keepNext/>
      </w:pPr>
      <w:r>
        <w:rPr>
          <w:noProof/>
          <w:lang w:val="en-US"/>
        </w:rPr>
        <w:drawing>
          <wp:inline distT="0" distB="0" distL="0" distR="0" wp14:anchorId="63E6FC68" wp14:editId="3B84E252">
            <wp:extent cx="5372100" cy="349611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shlynn:Desktop:Summer 2020:Honours-ECE579a:Figures:tanh.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332" t="3028" r="7293" b="3837"/>
                    <a:stretch/>
                  </pic:blipFill>
                  <pic:spPr bwMode="auto">
                    <a:xfrm>
                      <a:off x="0" y="0"/>
                      <a:ext cx="5374695" cy="3497804"/>
                    </a:xfrm>
                    <a:prstGeom prst="rect">
                      <a:avLst/>
                    </a:prstGeom>
                    <a:noFill/>
                    <a:ln>
                      <a:noFill/>
                    </a:ln>
                    <a:extLst>
                      <a:ext uri="{53640926-AAD7-44d8-BBD7-CCE9431645EC}">
                        <a14:shadowObscured xmlns:a14="http://schemas.microsoft.com/office/drawing/2010/main"/>
                      </a:ext>
                    </a:extLst>
                  </pic:spPr>
                </pic:pic>
              </a:graphicData>
            </a:graphic>
          </wp:inline>
        </w:drawing>
      </w:r>
    </w:p>
    <w:p w14:paraId="73EB4604" w14:textId="3BF23EC4" w:rsidR="00322380" w:rsidRPr="00670395" w:rsidRDefault="00322380" w:rsidP="00670395">
      <w:pPr>
        <w:pStyle w:val="Caption"/>
        <w:rPr>
          <w:b w:val="0"/>
          <w:color w:val="auto"/>
        </w:rPr>
      </w:pPr>
      <w:bookmarkStart w:id="15" w:name="_Toc456521830"/>
      <w:r w:rsidRPr="00322380">
        <w:rPr>
          <w:color w:val="auto"/>
        </w:rPr>
        <w:t xml:space="preserve">Figure </w:t>
      </w:r>
      <w:r w:rsidRPr="00322380">
        <w:rPr>
          <w:color w:val="auto"/>
        </w:rPr>
        <w:fldChar w:fldCharType="begin"/>
      </w:r>
      <w:r w:rsidRPr="00322380">
        <w:rPr>
          <w:color w:val="auto"/>
        </w:rPr>
        <w:instrText xml:space="preserve"> SEQ Figure \* ARABIC </w:instrText>
      </w:r>
      <w:r w:rsidRPr="00322380">
        <w:rPr>
          <w:color w:val="auto"/>
        </w:rPr>
        <w:fldChar w:fldCharType="separate"/>
      </w:r>
      <w:r w:rsidR="00E267C8">
        <w:rPr>
          <w:noProof/>
          <w:color w:val="auto"/>
        </w:rPr>
        <w:t>5</w:t>
      </w:r>
      <w:r w:rsidRPr="00322380">
        <w:rPr>
          <w:color w:val="auto"/>
        </w:rPr>
        <w:fldChar w:fldCharType="end"/>
      </w:r>
      <w:r w:rsidRPr="00322380">
        <w:rPr>
          <w:color w:val="auto"/>
        </w:rPr>
        <w:t xml:space="preserve"> </w:t>
      </w:r>
      <w:r w:rsidRPr="00322380">
        <w:rPr>
          <w:b w:val="0"/>
          <w:color w:val="auto"/>
        </w:rPr>
        <w:t>- Im</w:t>
      </w:r>
      <w:r>
        <w:rPr>
          <w:b w:val="0"/>
          <w:color w:val="auto"/>
        </w:rPr>
        <w:t>p</w:t>
      </w:r>
      <w:r w:rsidRPr="00322380">
        <w:rPr>
          <w:b w:val="0"/>
          <w:color w:val="auto"/>
        </w:rPr>
        <w:t>acts of Varying the Tolerance on Normalization</w:t>
      </w:r>
      <w:bookmarkEnd w:id="15"/>
    </w:p>
    <w:p w14:paraId="23EA0CAD" w14:textId="4FBBD1E8" w:rsidR="00322380" w:rsidRDefault="00322380" w:rsidP="00322380">
      <w:r>
        <w:t>Figure 6 provides an example of this normalization on the feature representative of confirmed COVID-19 cases</w:t>
      </w:r>
      <w:r w:rsidR="008936DF">
        <w:t>, here a tolerance of 0.99 was used and the maximum feature value was 0.0772</w:t>
      </w:r>
      <w:r>
        <w:t xml:space="preserve">. Similar normalization histograms for each feature can be found in appendix A. </w:t>
      </w:r>
    </w:p>
    <w:p w14:paraId="7A0263CF" w14:textId="77777777" w:rsidR="00322380" w:rsidRDefault="00322380" w:rsidP="00322380"/>
    <w:p w14:paraId="48BBF595" w14:textId="77777777" w:rsidR="00322380" w:rsidRDefault="00322380" w:rsidP="00322380"/>
    <w:p w14:paraId="6E17D23F" w14:textId="77777777" w:rsidR="008936DF" w:rsidRDefault="008936DF" w:rsidP="008936DF">
      <w:pPr>
        <w:keepNext/>
        <w:jc w:val="center"/>
      </w:pPr>
      <w:r>
        <w:rPr>
          <w:noProof/>
          <w:lang w:val="en-US"/>
        </w:rPr>
        <w:drawing>
          <wp:inline distT="0" distB="0" distL="0" distR="0" wp14:anchorId="3FAFD4C5" wp14:editId="6BFC8FF8">
            <wp:extent cx="5111594" cy="28901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shlynn:Desktop:Summer 2020:Honours-ECE579a:Figures:Feature Data Spreads:Cases_DS.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4099"/>
                    <a:stretch/>
                  </pic:blipFill>
                  <pic:spPr bwMode="auto">
                    <a:xfrm>
                      <a:off x="0" y="0"/>
                      <a:ext cx="5111852" cy="2890303"/>
                    </a:xfrm>
                    <a:prstGeom prst="rect">
                      <a:avLst/>
                    </a:prstGeom>
                    <a:noFill/>
                    <a:ln>
                      <a:noFill/>
                    </a:ln>
                    <a:extLst>
                      <a:ext uri="{53640926-AAD7-44d8-BBD7-CCE9431645EC}">
                        <a14:shadowObscured xmlns:a14="http://schemas.microsoft.com/office/drawing/2010/main"/>
                      </a:ext>
                    </a:extLst>
                  </pic:spPr>
                </pic:pic>
              </a:graphicData>
            </a:graphic>
          </wp:inline>
        </w:drawing>
      </w:r>
    </w:p>
    <w:p w14:paraId="6DC938DB" w14:textId="227A5114" w:rsidR="00322380" w:rsidRPr="008936DF" w:rsidRDefault="008936DF" w:rsidP="008936DF">
      <w:pPr>
        <w:pStyle w:val="Caption"/>
        <w:rPr>
          <w:color w:val="auto"/>
        </w:rPr>
      </w:pPr>
      <w:bookmarkStart w:id="16" w:name="_Toc456521831"/>
      <w:r w:rsidRPr="008936DF">
        <w:rPr>
          <w:color w:val="auto"/>
        </w:rPr>
        <w:t xml:space="preserve">Figure </w:t>
      </w:r>
      <w:r w:rsidRPr="008936DF">
        <w:rPr>
          <w:color w:val="auto"/>
        </w:rPr>
        <w:fldChar w:fldCharType="begin"/>
      </w:r>
      <w:r w:rsidRPr="008936DF">
        <w:rPr>
          <w:color w:val="auto"/>
        </w:rPr>
        <w:instrText xml:space="preserve"> SEQ Figure \* ARABIC </w:instrText>
      </w:r>
      <w:r w:rsidRPr="008936DF">
        <w:rPr>
          <w:color w:val="auto"/>
        </w:rPr>
        <w:fldChar w:fldCharType="separate"/>
      </w:r>
      <w:r w:rsidR="00E267C8">
        <w:rPr>
          <w:noProof/>
          <w:color w:val="auto"/>
        </w:rPr>
        <w:t>6</w:t>
      </w:r>
      <w:r w:rsidRPr="008936DF">
        <w:rPr>
          <w:color w:val="auto"/>
        </w:rPr>
        <w:fldChar w:fldCharType="end"/>
      </w:r>
      <w:r w:rsidRPr="008936DF">
        <w:rPr>
          <w:color w:val="auto"/>
        </w:rPr>
        <w:t xml:space="preserve"> </w:t>
      </w:r>
      <w:r w:rsidRPr="008936DF">
        <w:rPr>
          <w:b w:val="0"/>
          <w:color w:val="auto"/>
        </w:rPr>
        <w:t>- Normalization of COVID-19 Cases</w:t>
      </w:r>
      <w:bookmarkEnd w:id="16"/>
    </w:p>
    <w:p w14:paraId="319400F4" w14:textId="77777777" w:rsidR="00322380" w:rsidRDefault="00322380" w:rsidP="008936DF"/>
    <w:p w14:paraId="185DFB6F" w14:textId="53B2E3D9" w:rsidR="008936DF" w:rsidRDefault="008936DF" w:rsidP="00322380">
      <w:r>
        <w:t>On</w:t>
      </w:r>
      <w:r w:rsidR="00CA15A7">
        <w:t>c</w:t>
      </w:r>
      <w:r>
        <w:t>e all 8 features had been normalized into a zero to one range principal component analysis was applied to the feature space as a method to reduce the dimensionality of the data in anticipation for clustering.  Princ</w:t>
      </w:r>
      <w:r w:rsidR="00CA15A7">
        <w:t>ipal component analysis involves</w:t>
      </w:r>
      <w:r>
        <w:t xml:space="preserve"> </w:t>
      </w:r>
      <w:r w:rsidR="00CA15A7">
        <w:t>the projection of data onto new axes’ defined by the eigenvectors of the covariance matrix of the original feature space. The eigenvectors that the data is projected onto are those with the largest correspond eigenvalues. The magnitude of these eigenvalues is representative of how much of the data is stored within</w:t>
      </w:r>
      <w:r w:rsidR="00670395">
        <w:t xml:space="preserve"> the corresponding eigenvectors. </w:t>
      </w:r>
      <w:r w:rsidR="00CA15A7">
        <w:t xml:space="preserve">Figure 7 shows the values of the eigenvalues generated for the normalized feature space. </w:t>
      </w:r>
    </w:p>
    <w:p w14:paraId="35F7844B" w14:textId="77777777" w:rsidR="00CA15A7" w:rsidRDefault="00CA15A7" w:rsidP="00322380"/>
    <w:p w14:paraId="735C5118" w14:textId="77777777" w:rsidR="00CA15A7" w:rsidRDefault="00CA15A7" w:rsidP="00CA15A7">
      <w:pPr>
        <w:keepNext/>
      </w:pPr>
      <w:r>
        <w:rPr>
          <w:noProof/>
          <w:lang w:val="en-US"/>
        </w:rPr>
        <w:drawing>
          <wp:inline distT="0" distB="0" distL="0" distR="0" wp14:anchorId="4ECA1955" wp14:editId="6857E9D1">
            <wp:extent cx="5487035" cy="29715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shlynn:Desktop:Summer 2020:Honours-ECE579a:Figures:Eigenvalue_Spread.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3029" b="5116"/>
                    <a:stretch/>
                  </pic:blipFill>
                  <pic:spPr bwMode="auto">
                    <a:xfrm>
                      <a:off x="0" y="0"/>
                      <a:ext cx="5488226" cy="2972197"/>
                    </a:xfrm>
                    <a:prstGeom prst="rect">
                      <a:avLst/>
                    </a:prstGeom>
                    <a:noFill/>
                    <a:ln>
                      <a:noFill/>
                    </a:ln>
                    <a:extLst>
                      <a:ext uri="{53640926-AAD7-44d8-BBD7-CCE9431645EC}">
                        <a14:shadowObscured xmlns:a14="http://schemas.microsoft.com/office/drawing/2010/main"/>
                      </a:ext>
                    </a:extLst>
                  </pic:spPr>
                </pic:pic>
              </a:graphicData>
            </a:graphic>
          </wp:inline>
        </w:drawing>
      </w:r>
    </w:p>
    <w:p w14:paraId="1F414E71" w14:textId="496B795D" w:rsidR="00CA15A7" w:rsidRDefault="00CA15A7" w:rsidP="00CA15A7">
      <w:pPr>
        <w:pStyle w:val="Caption"/>
        <w:rPr>
          <w:b w:val="0"/>
          <w:color w:val="auto"/>
        </w:rPr>
      </w:pPr>
      <w:bookmarkStart w:id="17" w:name="_Toc456521832"/>
      <w:r w:rsidRPr="00CA15A7">
        <w:rPr>
          <w:color w:val="auto"/>
        </w:rPr>
        <w:t xml:space="preserve">Figure </w:t>
      </w:r>
      <w:r w:rsidRPr="00CA15A7">
        <w:rPr>
          <w:color w:val="auto"/>
        </w:rPr>
        <w:fldChar w:fldCharType="begin"/>
      </w:r>
      <w:r w:rsidRPr="00CA15A7">
        <w:rPr>
          <w:color w:val="auto"/>
        </w:rPr>
        <w:instrText xml:space="preserve"> SEQ Figure \* ARABIC </w:instrText>
      </w:r>
      <w:r w:rsidRPr="00CA15A7">
        <w:rPr>
          <w:color w:val="auto"/>
        </w:rPr>
        <w:fldChar w:fldCharType="separate"/>
      </w:r>
      <w:r w:rsidR="00E267C8">
        <w:rPr>
          <w:noProof/>
          <w:color w:val="auto"/>
        </w:rPr>
        <w:t>7</w:t>
      </w:r>
      <w:r w:rsidRPr="00CA15A7">
        <w:rPr>
          <w:color w:val="auto"/>
        </w:rPr>
        <w:fldChar w:fldCharType="end"/>
      </w:r>
      <w:r w:rsidRPr="00CA15A7">
        <w:rPr>
          <w:b w:val="0"/>
          <w:color w:val="auto"/>
        </w:rPr>
        <w:t xml:space="preserve"> - Eigenvalues of the Normalized Feature Space</w:t>
      </w:r>
      <w:bookmarkEnd w:id="17"/>
    </w:p>
    <w:p w14:paraId="7EFDB0A7" w14:textId="14AC5F29" w:rsidR="00322380" w:rsidRDefault="00CA15A7" w:rsidP="00322380">
      <w:r>
        <w:t>We can see in figure 7 that the magnitude of the eigenvalues drops off fai</w:t>
      </w:r>
      <w:r w:rsidR="00B90382">
        <w:t>rly quickly after the first two. T</w:t>
      </w:r>
      <w:r>
        <w:t>herefore</w:t>
      </w:r>
      <w:r w:rsidR="00B90382">
        <w:t>, reduction of the data</w:t>
      </w:r>
      <w:r>
        <w:t xml:space="preserve"> to two dimensions should not discard too much relevant information. Figure 8 shows the data after it has been reduced to two dimensions. </w:t>
      </w:r>
    </w:p>
    <w:p w14:paraId="50525760" w14:textId="77777777" w:rsidR="00CA15A7" w:rsidRDefault="00CA15A7" w:rsidP="00CA15A7">
      <w:pPr>
        <w:keepNext/>
      </w:pPr>
      <w:r>
        <w:rPr>
          <w:noProof/>
          <w:lang w:val="en-US"/>
        </w:rPr>
        <w:drawing>
          <wp:inline distT="0" distB="0" distL="0" distR="0" wp14:anchorId="6B20D4B7" wp14:editId="0F1ADD67">
            <wp:extent cx="5482590" cy="2996293"/>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shlynn:Desktop:Summer 2020:Honours-ECE579a:Figures:PCA_Datapoints.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779" b="4527"/>
                    <a:stretch/>
                  </pic:blipFill>
                  <pic:spPr bwMode="auto">
                    <a:xfrm>
                      <a:off x="0" y="0"/>
                      <a:ext cx="5483168" cy="2996609"/>
                    </a:xfrm>
                    <a:prstGeom prst="rect">
                      <a:avLst/>
                    </a:prstGeom>
                    <a:noFill/>
                    <a:ln>
                      <a:noFill/>
                    </a:ln>
                    <a:extLst>
                      <a:ext uri="{53640926-AAD7-44d8-BBD7-CCE9431645EC}">
                        <a14:shadowObscured xmlns:a14="http://schemas.microsoft.com/office/drawing/2010/main"/>
                      </a:ext>
                    </a:extLst>
                  </pic:spPr>
                </pic:pic>
              </a:graphicData>
            </a:graphic>
          </wp:inline>
        </w:drawing>
      </w:r>
    </w:p>
    <w:p w14:paraId="656EE197" w14:textId="46C2937A" w:rsidR="00322380" w:rsidRDefault="00CA15A7" w:rsidP="00CA15A7">
      <w:pPr>
        <w:pStyle w:val="Caption"/>
        <w:rPr>
          <w:b w:val="0"/>
          <w:color w:val="auto"/>
        </w:rPr>
      </w:pPr>
      <w:bookmarkStart w:id="18" w:name="_Toc456521833"/>
      <w:r w:rsidRPr="00A07946">
        <w:rPr>
          <w:color w:val="auto"/>
        </w:rPr>
        <w:t xml:space="preserve">Figure </w:t>
      </w:r>
      <w:r w:rsidRPr="00A07946">
        <w:rPr>
          <w:color w:val="auto"/>
        </w:rPr>
        <w:fldChar w:fldCharType="begin"/>
      </w:r>
      <w:r w:rsidRPr="00A07946">
        <w:rPr>
          <w:color w:val="auto"/>
        </w:rPr>
        <w:instrText xml:space="preserve"> SEQ Figure \* ARABIC </w:instrText>
      </w:r>
      <w:r w:rsidRPr="00A07946">
        <w:rPr>
          <w:color w:val="auto"/>
        </w:rPr>
        <w:fldChar w:fldCharType="separate"/>
      </w:r>
      <w:r w:rsidR="00E267C8">
        <w:rPr>
          <w:noProof/>
          <w:color w:val="auto"/>
        </w:rPr>
        <w:t>8</w:t>
      </w:r>
      <w:r w:rsidRPr="00A07946">
        <w:rPr>
          <w:color w:val="auto"/>
        </w:rPr>
        <w:fldChar w:fldCharType="end"/>
      </w:r>
      <w:r w:rsidRPr="00A07946">
        <w:rPr>
          <w:color w:val="auto"/>
        </w:rPr>
        <w:t xml:space="preserve"> </w:t>
      </w:r>
      <w:r w:rsidRPr="00A07946">
        <w:rPr>
          <w:b w:val="0"/>
          <w:color w:val="auto"/>
        </w:rPr>
        <w:t>- PCA Reduced Data</w:t>
      </w:r>
      <w:bookmarkEnd w:id="18"/>
    </w:p>
    <w:p w14:paraId="2BAD953C" w14:textId="7A90382A" w:rsidR="00A07946" w:rsidRDefault="00A07946" w:rsidP="00A07946">
      <w:r>
        <w:t>The shape of the reduced data is very reminiscent of a rotated x-y axis. This indicates that there are likely issues with the normalization and/or the feature selection process. Moving forward in this analysis features will be adjusted to reflect the available data regarding county level median AQI, maximum AQI and 90</w:t>
      </w:r>
      <w:r w:rsidRPr="00A07946">
        <w:rPr>
          <w:vertAlign w:val="superscript"/>
        </w:rPr>
        <w:t>th</w:t>
      </w:r>
      <w:r>
        <w:t xml:space="preserve"> percentile data in hopes of remedying this issue. </w:t>
      </w:r>
    </w:p>
    <w:p w14:paraId="4BC82837" w14:textId="3322739D" w:rsidR="00A07946" w:rsidRPr="00A07946" w:rsidRDefault="00A07946" w:rsidP="00176BF9">
      <w:pPr>
        <w:pStyle w:val="Heading1"/>
      </w:pPr>
      <w:bookmarkStart w:id="19" w:name="_Toc456521822"/>
      <w:r w:rsidRPr="00A07946">
        <w:t>Future Work</w:t>
      </w:r>
      <w:bookmarkEnd w:id="19"/>
      <w:r w:rsidRPr="00A07946">
        <w:t xml:space="preserve"> </w:t>
      </w:r>
    </w:p>
    <w:p w14:paraId="58BBAE81" w14:textId="77777777" w:rsidR="00A07946" w:rsidRDefault="00A07946" w:rsidP="00A07946"/>
    <w:p w14:paraId="3E369131" w14:textId="26287EAB" w:rsidR="001124CF" w:rsidRDefault="00A07946" w:rsidP="00A07946">
      <w:r>
        <w:t xml:space="preserve">As this analysis progresses it is important to account for other variables within a county that might be impacting the populations’ susceptibility to COVID-19. Some of these factors include, population density, environmental factors such as temperature and humidity, the average age of the population, socio-economic status, state politics and social distancing regulations. </w:t>
      </w:r>
    </w:p>
    <w:p w14:paraId="4E6CCA69" w14:textId="3E9DEE2B" w:rsidR="001124CF" w:rsidRPr="001124CF" w:rsidRDefault="001124CF" w:rsidP="00176BF9">
      <w:pPr>
        <w:pStyle w:val="Heading1"/>
      </w:pPr>
      <w:bookmarkStart w:id="20" w:name="_Toc456521823"/>
      <w:r w:rsidRPr="001124CF">
        <w:t>Conclusions</w:t>
      </w:r>
      <w:bookmarkEnd w:id="20"/>
      <w:r w:rsidRPr="001124CF">
        <w:t xml:space="preserve"> </w:t>
      </w:r>
    </w:p>
    <w:p w14:paraId="69D13F7C" w14:textId="77777777" w:rsidR="00322380" w:rsidRDefault="00322380" w:rsidP="00322380"/>
    <w:p w14:paraId="54AB5C8F" w14:textId="0CF64F9E" w:rsidR="001124CF" w:rsidRDefault="001124CF" w:rsidP="00322380">
      <w:r>
        <w:t>As is common in many data analysis problems</w:t>
      </w:r>
      <w:r w:rsidR="00B90382">
        <w:t xml:space="preserve"> the approach taken to answer </w:t>
      </w:r>
      <w:r>
        <w:t xml:space="preserve">the question of whether air quality has an impact on a </w:t>
      </w:r>
      <w:r w:rsidR="00B90382">
        <w:t>population’s</w:t>
      </w:r>
      <w:r>
        <w:t xml:space="preserve"> susceptibility to COVID-19 has shifted many times. High quality county level air quality has played a la</w:t>
      </w:r>
      <w:r w:rsidR="00CC00F0">
        <w:t xml:space="preserve">rge role in the progression of </w:t>
      </w:r>
      <w:r>
        <w:t xml:space="preserve">this </w:t>
      </w:r>
      <w:r w:rsidR="00B90382">
        <w:t>analysis, which</w:t>
      </w:r>
      <w:r>
        <w:t xml:space="preserve"> will continue over the next month. </w:t>
      </w:r>
    </w:p>
    <w:p w14:paraId="38B70A4C" w14:textId="77777777" w:rsidR="00651A68" w:rsidRDefault="00651A68" w:rsidP="00651A68">
      <w:pPr>
        <w:pStyle w:val="Heading1"/>
      </w:pPr>
      <w:bookmarkStart w:id="21" w:name="_Toc456521824"/>
      <w:r>
        <w:t>References</w:t>
      </w:r>
      <w:bookmarkEnd w:id="21"/>
      <w:r>
        <w:t xml:space="preserve"> </w:t>
      </w:r>
    </w:p>
    <w:p w14:paraId="6112E537" w14:textId="77777777" w:rsidR="00651A68" w:rsidRPr="003C1125" w:rsidRDefault="00651A68" w:rsidP="00651A68">
      <w:pPr>
        <w:widowControl w:val="0"/>
        <w:autoSpaceDE w:val="0"/>
        <w:autoSpaceDN w:val="0"/>
        <w:adjustRightInd w:val="0"/>
        <w:ind w:left="640" w:hanging="640"/>
        <w:rPr>
          <w:rFonts w:ascii="Cambria" w:hAnsi="Cambria"/>
          <w:noProof/>
          <w:lang w:val="en-US"/>
        </w:rPr>
      </w:pPr>
      <w:r>
        <w:fldChar w:fldCharType="begin" w:fldLock="1"/>
      </w:r>
      <w:r>
        <w:instrText xml:space="preserve">ADDIN Mendeley Bibliography CSL_BIBLIOGRAPHY </w:instrText>
      </w:r>
      <w:r>
        <w:fldChar w:fldCharType="separate"/>
      </w:r>
      <w:r w:rsidRPr="003C1125">
        <w:rPr>
          <w:rFonts w:ascii="Cambria" w:hAnsi="Cambria"/>
          <w:noProof/>
          <w:lang w:val="en-US"/>
        </w:rPr>
        <w:t>[1]</w:t>
      </w:r>
      <w:r w:rsidRPr="003C1125">
        <w:rPr>
          <w:rFonts w:ascii="Cambria" w:hAnsi="Cambria"/>
          <w:noProof/>
          <w:lang w:val="en-US"/>
        </w:rPr>
        <w:tab/>
        <w:t>U. of Washington, “COVID-19 Projections.” https://covid19.healthdata.org/united-states-of-america (accessed Jul. 13, 2020).</w:t>
      </w:r>
    </w:p>
    <w:p w14:paraId="2CF0667E" w14:textId="77777777" w:rsidR="00651A68" w:rsidRPr="003C1125" w:rsidRDefault="00651A68" w:rsidP="00651A68">
      <w:pPr>
        <w:widowControl w:val="0"/>
        <w:autoSpaceDE w:val="0"/>
        <w:autoSpaceDN w:val="0"/>
        <w:adjustRightInd w:val="0"/>
        <w:ind w:left="640" w:hanging="640"/>
        <w:rPr>
          <w:rFonts w:ascii="Cambria" w:hAnsi="Cambria"/>
          <w:noProof/>
          <w:lang w:val="en-US"/>
        </w:rPr>
      </w:pPr>
      <w:r w:rsidRPr="003C1125">
        <w:rPr>
          <w:rFonts w:ascii="Cambria" w:hAnsi="Cambria"/>
          <w:noProof/>
          <w:lang w:val="en-US"/>
        </w:rPr>
        <w:t>[2]</w:t>
      </w:r>
      <w:r w:rsidRPr="003C1125">
        <w:rPr>
          <w:rFonts w:ascii="Cambria" w:hAnsi="Cambria"/>
          <w:noProof/>
          <w:lang w:val="en-US"/>
        </w:rPr>
        <w:tab/>
        <w:t xml:space="preserve">D. Wang </w:t>
      </w:r>
      <w:r w:rsidRPr="003C1125">
        <w:rPr>
          <w:rFonts w:ascii="Cambria" w:hAnsi="Cambria"/>
          <w:i/>
          <w:iCs/>
          <w:noProof/>
          <w:lang w:val="en-US"/>
        </w:rPr>
        <w:t>et al.</w:t>
      </w:r>
      <w:r w:rsidRPr="003C1125">
        <w:rPr>
          <w:rFonts w:ascii="Cambria" w:hAnsi="Cambria"/>
          <w:noProof/>
          <w:lang w:val="en-US"/>
        </w:rPr>
        <w:t xml:space="preserve">, “Clinical Characteristics of 138 Hospitalized Patients with 2019 Novel Coronavirus-Infected Pneumonia in Wuhan, China,” </w:t>
      </w:r>
      <w:r w:rsidRPr="003C1125">
        <w:rPr>
          <w:rFonts w:ascii="Cambria" w:hAnsi="Cambria"/>
          <w:i/>
          <w:iCs/>
          <w:noProof/>
          <w:lang w:val="en-US"/>
        </w:rPr>
        <w:t>JAMA - J. Am. Med. Assoc.</w:t>
      </w:r>
      <w:r w:rsidRPr="003C1125">
        <w:rPr>
          <w:rFonts w:ascii="Cambria" w:hAnsi="Cambria"/>
          <w:noProof/>
          <w:lang w:val="en-US"/>
        </w:rPr>
        <w:t>, vol. 323, no. 11, pp. 1061–1069, Mar. 2020, doi: 10.1001/jama.2020.1585.</w:t>
      </w:r>
    </w:p>
    <w:p w14:paraId="1D98BEC0" w14:textId="77777777" w:rsidR="00651A68" w:rsidRPr="003C1125" w:rsidRDefault="00651A68" w:rsidP="00651A68">
      <w:pPr>
        <w:widowControl w:val="0"/>
        <w:autoSpaceDE w:val="0"/>
        <w:autoSpaceDN w:val="0"/>
        <w:adjustRightInd w:val="0"/>
        <w:ind w:left="640" w:hanging="640"/>
        <w:rPr>
          <w:rFonts w:ascii="Cambria" w:hAnsi="Cambria"/>
          <w:noProof/>
          <w:lang w:val="en-US"/>
        </w:rPr>
      </w:pPr>
      <w:r w:rsidRPr="003C1125">
        <w:rPr>
          <w:rFonts w:ascii="Cambria" w:hAnsi="Cambria"/>
          <w:noProof/>
          <w:lang w:val="en-US"/>
        </w:rPr>
        <w:t>[3]</w:t>
      </w:r>
      <w:r w:rsidRPr="003C1125">
        <w:rPr>
          <w:rFonts w:ascii="Cambria" w:hAnsi="Cambria"/>
          <w:noProof/>
          <w:lang w:val="en-US"/>
        </w:rPr>
        <w:tab/>
        <w:t>Centers for Disease Control and Prevention, “Evidence used to update the list of underlying medical conditions that increase a person’s risk of severe illness from COVID-19 | CDC.” https://www.cdc.gov/coronavirus/2019-ncov/need-extra-precautions/evidence-table.html (accessed Jul. 14, 2020).</w:t>
      </w:r>
    </w:p>
    <w:p w14:paraId="07DA9077" w14:textId="77777777" w:rsidR="00651A68" w:rsidRPr="003C1125" w:rsidRDefault="00651A68" w:rsidP="00651A68">
      <w:pPr>
        <w:widowControl w:val="0"/>
        <w:autoSpaceDE w:val="0"/>
        <w:autoSpaceDN w:val="0"/>
        <w:adjustRightInd w:val="0"/>
        <w:ind w:left="640" w:hanging="640"/>
        <w:rPr>
          <w:rFonts w:ascii="Cambria" w:hAnsi="Cambria"/>
          <w:noProof/>
          <w:lang w:val="en-US"/>
        </w:rPr>
      </w:pPr>
      <w:r w:rsidRPr="003C1125">
        <w:rPr>
          <w:rFonts w:ascii="Cambria" w:hAnsi="Cambria"/>
          <w:noProof/>
          <w:lang w:val="en-US"/>
        </w:rPr>
        <w:t>[4]</w:t>
      </w:r>
      <w:r w:rsidRPr="003C1125">
        <w:rPr>
          <w:rFonts w:ascii="Cambria" w:hAnsi="Cambria"/>
          <w:noProof/>
          <w:lang w:val="en-US"/>
        </w:rPr>
        <w:tab/>
        <w:t xml:space="preserve">I. Manisalidis, E. Stavropoulou, A. Stavropoulos, and E. Bezirtzoglou, “Environmental and Health Impacts of Air Pollution: A Review,” </w:t>
      </w:r>
      <w:r w:rsidRPr="003C1125">
        <w:rPr>
          <w:rFonts w:ascii="Cambria" w:hAnsi="Cambria"/>
          <w:i/>
          <w:iCs/>
          <w:noProof/>
          <w:lang w:val="en-US"/>
        </w:rPr>
        <w:t>Frontiers in Public Health</w:t>
      </w:r>
      <w:r w:rsidRPr="003C1125">
        <w:rPr>
          <w:rFonts w:ascii="Cambria" w:hAnsi="Cambria"/>
          <w:noProof/>
          <w:lang w:val="en-US"/>
        </w:rPr>
        <w:t>, vol. 8. Frontiers Media S.A., p. 14, Feb. 20, 2020, doi: 10.3389/fpubh.2020.00014.</w:t>
      </w:r>
    </w:p>
    <w:p w14:paraId="66E4C7FF" w14:textId="77777777" w:rsidR="00651A68" w:rsidRPr="003C1125" w:rsidRDefault="00651A68" w:rsidP="00651A68">
      <w:pPr>
        <w:widowControl w:val="0"/>
        <w:autoSpaceDE w:val="0"/>
        <w:autoSpaceDN w:val="0"/>
        <w:adjustRightInd w:val="0"/>
        <w:ind w:left="640" w:hanging="640"/>
        <w:rPr>
          <w:rFonts w:ascii="Cambria" w:hAnsi="Cambria"/>
          <w:noProof/>
          <w:lang w:val="en-US"/>
        </w:rPr>
      </w:pPr>
      <w:r w:rsidRPr="003C1125">
        <w:rPr>
          <w:rFonts w:ascii="Cambria" w:hAnsi="Cambria"/>
          <w:noProof/>
          <w:lang w:val="en-US"/>
        </w:rPr>
        <w:t>[5]</w:t>
      </w:r>
      <w:r w:rsidRPr="003C1125">
        <w:rPr>
          <w:rFonts w:ascii="Cambria" w:hAnsi="Cambria"/>
          <w:noProof/>
          <w:lang w:val="en-US"/>
        </w:rPr>
        <w:tab/>
        <w:t>U.S. Enviromental Protection Agency, “Patient Exposure and the Air Quality Index | Particle Pollution and Your Patients’ Health | US EPA.” https://www.epa.gov/pmcourse/patient-exposure-and-air-quality-index (accessed Jul. 13, 2020).</w:t>
      </w:r>
    </w:p>
    <w:p w14:paraId="71D96643" w14:textId="77777777" w:rsidR="00651A68" w:rsidRPr="003C1125" w:rsidRDefault="00651A68" w:rsidP="00651A68">
      <w:pPr>
        <w:widowControl w:val="0"/>
        <w:autoSpaceDE w:val="0"/>
        <w:autoSpaceDN w:val="0"/>
        <w:adjustRightInd w:val="0"/>
        <w:ind w:left="640" w:hanging="640"/>
        <w:rPr>
          <w:rFonts w:ascii="Cambria" w:hAnsi="Cambria"/>
          <w:noProof/>
          <w:lang w:val="en-US"/>
        </w:rPr>
      </w:pPr>
      <w:r w:rsidRPr="003C1125">
        <w:rPr>
          <w:rFonts w:ascii="Cambria" w:hAnsi="Cambria"/>
          <w:noProof/>
          <w:lang w:val="en-US"/>
        </w:rPr>
        <w:t>[6]</w:t>
      </w:r>
      <w:r w:rsidRPr="003C1125">
        <w:rPr>
          <w:rFonts w:ascii="Cambria" w:hAnsi="Cambria"/>
          <w:noProof/>
          <w:lang w:val="en-US"/>
        </w:rPr>
        <w:tab/>
        <w:t>U.S. Enviromental Protection Agency, “AQI Basics | AirNow.gov.” https://www.airnow.gov/aqi/aqi-basics/ (accessed Jul. 14, 2020).</w:t>
      </w:r>
    </w:p>
    <w:p w14:paraId="3C35165F" w14:textId="77777777" w:rsidR="00651A68" w:rsidRPr="003C1125" w:rsidRDefault="00651A68" w:rsidP="00651A68">
      <w:pPr>
        <w:widowControl w:val="0"/>
        <w:autoSpaceDE w:val="0"/>
        <w:autoSpaceDN w:val="0"/>
        <w:adjustRightInd w:val="0"/>
        <w:ind w:left="640" w:hanging="640"/>
        <w:rPr>
          <w:rFonts w:ascii="Cambria" w:hAnsi="Cambria"/>
          <w:noProof/>
          <w:lang w:val="en-US"/>
        </w:rPr>
      </w:pPr>
      <w:r w:rsidRPr="003C1125">
        <w:rPr>
          <w:rFonts w:ascii="Cambria" w:hAnsi="Cambria"/>
          <w:noProof/>
          <w:lang w:val="en-US"/>
        </w:rPr>
        <w:t>[7]</w:t>
      </w:r>
      <w:r w:rsidRPr="003C1125">
        <w:rPr>
          <w:rFonts w:ascii="Cambria" w:hAnsi="Cambria"/>
          <w:noProof/>
          <w:lang w:val="en-US"/>
        </w:rPr>
        <w:tab/>
        <w:t>U.S. Enviromental Protection Agency, “Technical Assistance Document for the Reporting of Daily Air Quality – the Air Quality Index (AQI).” Accessed: Jul. 13, 2020. [Online]. Available: https://www.airnow.gov/sites/default/files/2020-05/aqi-technical-assistance-document-sept2018.pdf.</w:t>
      </w:r>
    </w:p>
    <w:p w14:paraId="5BA80211" w14:textId="77777777" w:rsidR="00651A68" w:rsidRPr="003C1125" w:rsidRDefault="00651A68" w:rsidP="00651A68">
      <w:pPr>
        <w:widowControl w:val="0"/>
        <w:autoSpaceDE w:val="0"/>
        <w:autoSpaceDN w:val="0"/>
        <w:adjustRightInd w:val="0"/>
        <w:ind w:left="640" w:hanging="640"/>
        <w:rPr>
          <w:rFonts w:ascii="Cambria" w:hAnsi="Cambria"/>
          <w:noProof/>
          <w:lang w:val="en-US"/>
        </w:rPr>
      </w:pPr>
      <w:r w:rsidRPr="003C1125">
        <w:rPr>
          <w:rFonts w:ascii="Cambria" w:hAnsi="Cambria"/>
          <w:noProof/>
          <w:lang w:val="en-US"/>
        </w:rPr>
        <w:t>[8]</w:t>
      </w:r>
      <w:r w:rsidRPr="003C1125">
        <w:rPr>
          <w:rFonts w:ascii="Cambria" w:hAnsi="Cambria"/>
          <w:noProof/>
          <w:lang w:val="en-US"/>
        </w:rPr>
        <w:tab/>
        <w:t>Systems Science and Engineering (CSSE) at Johns Hopkins University, “CSSEGISandData/COVID-19: Novel Coronavirus (COVID-19) Cases, provided by JHU CSSE.” https://github.com/CSSEGISandData/COVID-19 (accessed Jul. 14, 2020).</w:t>
      </w:r>
    </w:p>
    <w:p w14:paraId="576431EC" w14:textId="77777777" w:rsidR="00651A68" w:rsidRPr="003C1125" w:rsidRDefault="00651A68" w:rsidP="00651A68">
      <w:pPr>
        <w:widowControl w:val="0"/>
        <w:autoSpaceDE w:val="0"/>
        <w:autoSpaceDN w:val="0"/>
        <w:adjustRightInd w:val="0"/>
        <w:ind w:left="640" w:hanging="640"/>
        <w:rPr>
          <w:rFonts w:ascii="Cambria" w:hAnsi="Cambria"/>
          <w:noProof/>
          <w:lang w:val="en-US"/>
        </w:rPr>
      </w:pPr>
      <w:r w:rsidRPr="003C1125">
        <w:rPr>
          <w:rFonts w:ascii="Cambria" w:hAnsi="Cambria"/>
          <w:noProof/>
          <w:lang w:val="en-US"/>
        </w:rPr>
        <w:t>[9]</w:t>
      </w:r>
      <w:r w:rsidRPr="003C1125">
        <w:rPr>
          <w:rFonts w:ascii="Cambria" w:hAnsi="Cambria"/>
          <w:noProof/>
          <w:lang w:val="en-US"/>
        </w:rPr>
        <w:tab/>
        <w:t>W. A. Q. I. Project, “Air Quality Historical Data Platform.” https://aqicn.org/data-platform/register/ (accessed Jul. 14, 2020).</w:t>
      </w:r>
    </w:p>
    <w:p w14:paraId="39DC0C37" w14:textId="77777777" w:rsidR="00651A68" w:rsidRPr="003C1125" w:rsidRDefault="00651A68" w:rsidP="00651A68">
      <w:pPr>
        <w:widowControl w:val="0"/>
        <w:autoSpaceDE w:val="0"/>
        <w:autoSpaceDN w:val="0"/>
        <w:adjustRightInd w:val="0"/>
        <w:ind w:left="640" w:hanging="640"/>
        <w:rPr>
          <w:rFonts w:ascii="Cambria" w:hAnsi="Cambria"/>
          <w:noProof/>
          <w:lang w:val="en-US"/>
        </w:rPr>
      </w:pPr>
      <w:r w:rsidRPr="003C1125">
        <w:rPr>
          <w:rFonts w:ascii="Cambria" w:hAnsi="Cambria"/>
          <w:noProof/>
          <w:lang w:val="en-US"/>
        </w:rPr>
        <w:t>[10]</w:t>
      </w:r>
      <w:r w:rsidRPr="003C1125">
        <w:rPr>
          <w:rFonts w:ascii="Cambria" w:hAnsi="Cambria"/>
          <w:noProof/>
          <w:lang w:val="en-US"/>
        </w:rPr>
        <w:tab/>
        <w:t>U.S. Enviromental Protection Agency, “AirData Download Files Documentation.” https://aqs.epa.gov/aqsweb/airdata/FileFormats.html#_annual_summary_files (accessed Jul. 14, 2020).</w:t>
      </w:r>
    </w:p>
    <w:p w14:paraId="49CD7FE2" w14:textId="77777777" w:rsidR="00651A68" w:rsidRPr="003C1125" w:rsidRDefault="00651A68" w:rsidP="00651A68">
      <w:pPr>
        <w:widowControl w:val="0"/>
        <w:autoSpaceDE w:val="0"/>
        <w:autoSpaceDN w:val="0"/>
        <w:adjustRightInd w:val="0"/>
        <w:ind w:left="640" w:hanging="640"/>
        <w:rPr>
          <w:rFonts w:ascii="Cambria" w:hAnsi="Cambria"/>
          <w:noProof/>
          <w:lang w:val="en-US"/>
        </w:rPr>
      </w:pPr>
      <w:r w:rsidRPr="003C1125">
        <w:rPr>
          <w:rFonts w:ascii="Cambria" w:hAnsi="Cambria"/>
          <w:noProof/>
          <w:lang w:val="en-US"/>
        </w:rPr>
        <w:t>[11]</w:t>
      </w:r>
      <w:r w:rsidRPr="003C1125">
        <w:rPr>
          <w:rFonts w:ascii="Cambria" w:hAnsi="Cambria"/>
          <w:noProof/>
          <w:lang w:val="en-US"/>
        </w:rPr>
        <w:tab/>
        <w:t>U.S. Enviromental Protection Agency, “Download Files | AirData | US EPA.” https://aqs.epa.gov/aqsweb/airdata/download_files.html (accessed Jul. 15, 2020).</w:t>
      </w:r>
    </w:p>
    <w:p w14:paraId="6BAFDC23" w14:textId="77777777" w:rsidR="00651A68" w:rsidRPr="003C1125" w:rsidRDefault="00651A68" w:rsidP="00651A68">
      <w:pPr>
        <w:widowControl w:val="0"/>
        <w:autoSpaceDE w:val="0"/>
        <w:autoSpaceDN w:val="0"/>
        <w:adjustRightInd w:val="0"/>
        <w:ind w:left="640" w:hanging="640"/>
        <w:rPr>
          <w:rFonts w:ascii="Cambria" w:hAnsi="Cambria"/>
          <w:noProof/>
        </w:rPr>
      </w:pPr>
      <w:r w:rsidRPr="003C1125">
        <w:rPr>
          <w:rFonts w:ascii="Cambria" w:hAnsi="Cambria"/>
          <w:noProof/>
          <w:lang w:val="en-US"/>
        </w:rPr>
        <w:t>[12]</w:t>
      </w:r>
      <w:r w:rsidRPr="003C1125">
        <w:rPr>
          <w:rFonts w:ascii="Cambria" w:hAnsi="Cambria"/>
          <w:noProof/>
          <w:lang w:val="en-US"/>
        </w:rPr>
        <w:tab/>
        <w:t>U. C. Bureau, “County Population Totals: 2010-2019,” Accessed: Jul. 14, 2020. [Online]. Available: https://www.census.gov/data/datasets/time-series/demo/popest/2010s-counties-total.html.</w:t>
      </w:r>
    </w:p>
    <w:p w14:paraId="6F7A6B23" w14:textId="2AC0FF80" w:rsidR="00322380" w:rsidRDefault="00651A68" w:rsidP="00176BF9">
      <w:pPr>
        <w:pStyle w:val="Heading1"/>
      </w:pPr>
      <w:r>
        <w:fldChar w:fldCharType="end"/>
      </w:r>
      <w:bookmarkStart w:id="22" w:name="_Toc456521825"/>
      <w:r w:rsidR="00322380">
        <w:t>APPENDIX A – Normalization Histograms</w:t>
      </w:r>
      <w:bookmarkEnd w:id="22"/>
      <w:r w:rsidR="00322380">
        <w:t xml:space="preserve"> </w:t>
      </w:r>
    </w:p>
    <w:p w14:paraId="6C79544D" w14:textId="77777777" w:rsidR="003C1125" w:rsidRDefault="003C1125" w:rsidP="003C1125"/>
    <w:p w14:paraId="05A402B7" w14:textId="0C645FFB" w:rsidR="003C1125" w:rsidRPr="003C1125" w:rsidRDefault="003C1125" w:rsidP="003C1125">
      <w:r>
        <w:t xml:space="preserve">This appendix includes normalization histograms for each feature in the feature space defined in the most recent iteration of this analysis.  Note that the data for ‘Good AQI Days’ was </w:t>
      </w:r>
      <w:r w:rsidR="00E267C8">
        <w:t xml:space="preserve">not normalized as the un-normalized data was well spread out across the desired feature scale. </w:t>
      </w:r>
    </w:p>
    <w:p w14:paraId="4A3E5E8B" w14:textId="77777777" w:rsidR="00176BF9" w:rsidRDefault="00176BF9" w:rsidP="00176BF9"/>
    <w:p w14:paraId="51F69592" w14:textId="77777777" w:rsidR="003C1125" w:rsidRPr="00E267C8" w:rsidRDefault="003C1125" w:rsidP="003C1125">
      <w:pPr>
        <w:keepNext/>
      </w:pPr>
      <w:r w:rsidRPr="00E267C8">
        <w:rPr>
          <w:noProof/>
          <w:lang w:val="en-US"/>
        </w:rPr>
        <w:drawing>
          <wp:inline distT="0" distB="0" distL="0" distR="0" wp14:anchorId="7C6D54FB" wp14:editId="6893C5CC">
            <wp:extent cx="5486400" cy="3232785"/>
            <wp:effectExtent l="0" t="0" r="0" b="0"/>
            <wp:docPr id="1" name="Picture 1" descr="Macintosh HD:Users:Ashlynn:Desktop:Summer 2020:Honours-ECE579a:Figures:Feature Data Spreads:Good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hlynn:Desktop:Summer 2020:Honours-ECE579a:Figures:Feature Data Spreads:GoodAQI_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5EF09C65" w14:textId="01C2D563" w:rsidR="00176BF9" w:rsidRPr="00E267C8" w:rsidRDefault="003C1125" w:rsidP="003C1125">
      <w:pPr>
        <w:pStyle w:val="Caption"/>
        <w:rPr>
          <w:color w:val="auto"/>
        </w:rPr>
      </w:pPr>
      <w:bookmarkStart w:id="23" w:name="_Toc456521834"/>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00E267C8" w:rsidRPr="00E267C8">
        <w:rPr>
          <w:noProof/>
          <w:color w:val="auto"/>
        </w:rPr>
        <w:t>9</w:t>
      </w:r>
      <w:r w:rsidRPr="00E267C8">
        <w:rPr>
          <w:color w:val="auto"/>
        </w:rPr>
        <w:fldChar w:fldCharType="end"/>
      </w:r>
      <w:r w:rsidRPr="00E267C8">
        <w:rPr>
          <w:color w:val="auto"/>
        </w:rPr>
        <w:t xml:space="preserve"> – </w:t>
      </w:r>
      <w:r w:rsidR="00E267C8" w:rsidRPr="00E267C8">
        <w:rPr>
          <w:b w:val="0"/>
          <w:color w:val="auto"/>
        </w:rPr>
        <w:t xml:space="preserve">Appendix A, </w:t>
      </w:r>
      <w:r w:rsidRPr="00E267C8">
        <w:rPr>
          <w:b w:val="0"/>
          <w:color w:val="auto"/>
        </w:rPr>
        <w:t>Data Spread for Good AQI Days</w:t>
      </w:r>
      <w:bookmarkEnd w:id="23"/>
    </w:p>
    <w:p w14:paraId="2AB2BFA2" w14:textId="77777777" w:rsidR="00E267C8" w:rsidRPr="00E267C8" w:rsidRDefault="003C1125" w:rsidP="00E267C8">
      <w:pPr>
        <w:keepNext/>
      </w:pPr>
      <w:r w:rsidRPr="00E267C8">
        <w:rPr>
          <w:noProof/>
          <w:lang w:val="en-US"/>
        </w:rPr>
        <w:drawing>
          <wp:inline distT="0" distB="0" distL="0" distR="0" wp14:anchorId="77497ABA" wp14:editId="28786E4F">
            <wp:extent cx="5486400" cy="3232785"/>
            <wp:effectExtent l="0" t="0" r="0" b="0"/>
            <wp:docPr id="3" name="Picture 3" descr="Macintosh HD:Users:Ashlynn:Desktop:Summer 2020:Honours-ECE579a:Figures:Feature Data Spreads:Moderate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hlynn:Desktop:Summer 2020:Honours-ECE579a:Figures:Feature Data Spreads:ModerateAQI_D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1E384675" w14:textId="51FE0705" w:rsidR="003C1125" w:rsidRPr="00E267C8" w:rsidRDefault="00E267C8" w:rsidP="00E267C8">
      <w:pPr>
        <w:pStyle w:val="Caption"/>
        <w:rPr>
          <w:color w:val="auto"/>
        </w:rPr>
      </w:pPr>
      <w:bookmarkStart w:id="24" w:name="_Toc456521835"/>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Pr="00E267C8">
        <w:rPr>
          <w:noProof/>
          <w:color w:val="auto"/>
        </w:rPr>
        <w:t>10</w:t>
      </w:r>
      <w:r w:rsidRPr="00E267C8">
        <w:rPr>
          <w:color w:val="auto"/>
        </w:rPr>
        <w:fldChar w:fldCharType="end"/>
      </w:r>
      <w:r w:rsidRPr="00E267C8">
        <w:rPr>
          <w:color w:val="auto"/>
        </w:rPr>
        <w:t xml:space="preserve"> - </w:t>
      </w:r>
      <w:r w:rsidRPr="00E267C8">
        <w:rPr>
          <w:b w:val="0"/>
          <w:color w:val="auto"/>
        </w:rPr>
        <w:t>Appendix A, Data Spread for Moderate AQI Days</w:t>
      </w:r>
      <w:bookmarkEnd w:id="24"/>
    </w:p>
    <w:p w14:paraId="33094585" w14:textId="77777777" w:rsidR="00E267C8" w:rsidRPr="00E267C8" w:rsidRDefault="003C1125" w:rsidP="00E267C8">
      <w:pPr>
        <w:keepNext/>
      </w:pPr>
      <w:r w:rsidRPr="00E267C8">
        <w:rPr>
          <w:noProof/>
          <w:lang w:val="en-US"/>
        </w:rPr>
        <w:drawing>
          <wp:inline distT="0" distB="0" distL="0" distR="0" wp14:anchorId="28DC7A9B" wp14:editId="1178513D">
            <wp:extent cx="5486400" cy="3232785"/>
            <wp:effectExtent l="0" t="0" r="0" b="0"/>
            <wp:docPr id="11" name="Picture 11" descr="Macintosh HD:Users:Ashlynn:Desktop:Summer 2020:Honours-ECE579a:Figures:Feature Data Spreads:UnhealthySensitive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hlynn:Desktop:Summer 2020:Honours-ECE579a:Figures:Feature Data Spreads:UnhealthySensitiveAQI_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26999037" w14:textId="77777777" w:rsidR="00E267C8" w:rsidRPr="00E267C8" w:rsidRDefault="00E267C8" w:rsidP="00E267C8">
      <w:pPr>
        <w:pStyle w:val="Caption"/>
        <w:rPr>
          <w:color w:val="auto"/>
        </w:rPr>
      </w:pPr>
      <w:bookmarkStart w:id="25" w:name="_Toc456521836"/>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Pr="00E267C8">
        <w:rPr>
          <w:noProof/>
          <w:color w:val="auto"/>
        </w:rPr>
        <w:t>11</w:t>
      </w:r>
      <w:r w:rsidRPr="00E267C8">
        <w:rPr>
          <w:color w:val="auto"/>
        </w:rPr>
        <w:fldChar w:fldCharType="end"/>
      </w:r>
      <w:r w:rsidRPr="00E267C8">
        <w:rPr>
          <w:color w:val="auto"/>
        </w:rPr>
        <w:t xml:space="preserve"> - </w:t>
      </w:r>
      <w:r w:rsidRPr="00E267C8">
        <w:rPr>
          <w:b w:val="0"/>
          <w:color w:val="auto"/>
        </w:rPr>
        <w:t>Appendix A, Data Spread for Unhealthy for Sensitive Groups AQI Days</w:t>
      </w:r>
      <w:bookmarkEnd w:id="25"/>
    </w:p>
    <w:p w14:paraId="2B9B7497" w14:textId="77777777" w:rsidR="00E267C8" w:rsidRPr="00E267C8" w:rsidRDefault="00E267C8" w:rsidP="00E267C8">
      <w:pPr>
        <w:pStyle w:val="Caption"/>
        <w:rPr>
          <w:color w:val="auto"/>
        </w:rPr>
      </w:pPr>
    </w:p>
    <w:p w14:paraId="2C2C54DB" w14:textId="77777777" w:rsidR="00E267C8" w:rsidRPr="00E267C8" w:rsidRDefault="00E267C8" w:rsidP="00E267C8">
      <w:pPr>
        <w:pStyle w:val="Caption"/>
        <w:keepNext/>
        <w:rPr>
          <w:color w:val="auto"/>
        </w:rPr>
      </w:pPr>
      <w:r w:rsidRPr="00E267C8">
        <w:rPr>
          <w:noProof/>
          <w:color w:val="auto"/>
          <w:lang w:val="en-US"/>
        </w:rPr>
        <w:drawing>
          <wp:inline distT="0" distB="0" distL="0" distR="0" wp14:anchorId="759A9C58" wp14:editId="55BBF457">
            <wp:extent cx="5486400" cy="3232785"/>
            <wp:effectExtent l="0" t="0" r="0" b="0"/>
            <wp:docPr id="12" name="Picture 12" descr="Macintosh HD:Users:Ashlynn:Desktop:Summer 2020:Honours-ECE579a:Figures:Feature Data Spreads:Unhealthy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lynn:Desktop:Summer 2020:Honours-ECE579a:Figures:Feature Data Spreads:UnhealthyAQI_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6FF3B059" w14:textId="039C619A" w:rsidR="003C1125" w:rsidRPr="00E267C8" w:rsidRDefault="00E267C8" w:rsidP="00E267C8">
      <w:pPr>
        <w:pStyle w:val="Caption"/>
        <w:rPr>
          <w:color w:val="auto"/>
        </w:rPr>
      </w:pPr>
      <w:bookmarkStart w:id="26" w:name="_Toc456521837"/>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Pr="00E267C8">
        <w:rPr>
          <w:noProof/>
          <w:color w:val="auto"/>
        </w:rPr>
        <w:t>12</w:t>
      </w:r>
      <w:r w:rsidRPr="00E267C8">
        <w:rPr>
          <w:color w:val="auto"/>
        </w:rPr>
        <w:fldChar w:fldCharType="end"/>
      </w:r>
      <w:r w:rsidRPr="00E267C8">
        <w:rPr>
          <w:color w:val="auto"/>
        </w:rPr>
        <w:t xml:space="preserve"> - </w:t>
      </w:r>
      <w:r w:rsidRPr="00E267C8">
        <w:rPr>
          <w:b w:val="0"/>
          <w:color w:val="auto"/>
        </w:rPr>
        <w:t>Appendix A, Data Spread for Unhealthy AQI Days</w:t>
      </w:r>
      <w:bookmarkEnd w:id="26"/>
    </w:p>
    <w:p w14:paraId="6D9C14CE" w14:textId="77777777" w:rsidR="00E267C8" w:rsidRPr="00E267C8" w:rsidRDefault="003C1125" w:rsidP="00E267C8">
      <w:pPr>
        <w:keepNext/>
      </w:pPr>
      <w:r w:rsidRPr="00E267C8">
        <w:rPr>
          <w:noProof/>
          <w:lang w:val="en-US"/>
        </w:rPr>
        <w:drawing>
          <wp:inline distT="0" distB="0" distL="0" distR="0" wp14:anchorId="54170829" wp14:editId="34F63A56">
            <wp:extent cx="5486400" cy="3232785"/>
            <wp:effectExtent l="0" t="0" r="0" b="0"/>
            <wp:docPr id="13" name="Picture 13" descr="Macintosh HD:Users:Ashlynn:Desktop:Summer 2020:Honours-ECE579a:Figures:Feature Data Spreads:VeryUnhealthy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lynn:Desktop:Summer 2020:Honours-ECE579a:Figures:Feature Data Spreads:VeryUnhealthyAQI_D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21590F4A" w14:textId="335BF48F" w:rsidR="00E267C8" w:rsidRPr="00E267C8" w:rsidRDefault="00E267C8" w:rsidP="00E267C8">
      <w:pPr>
        <w:pStyle w:val="Caption"/>
        <w:rPr>
          <w:color w:val="auto"/>
        </w:rPr>
      </w:pPr>
      <w:bookmarkStart w:id="27" w:name="_Toc456521838"/>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Pr="00E267C8">
        <w:rPr>
          <w:noProof/>
          <w:color w:val="auto"/>
        </w:rPr>
        <w:t>13</w:t>
      </w:r>
      <w:r w:rsidRPr="00E267C8">
        <w:rPr>
          <w:color w:val="auto"/>
        </w:rPr>
        <w:fldChar w:fldCharType="end"/>
      </w:r>
      <w:r w:rsidRPr="00E267C8">
        <w:rPr>
          <w:color w:val="auto"/>
        </w:rPr>
        <w:t xml:space="preserve"> - </w:t>
      </w:r>
      <w:r w:rsidRPr="00E267C8">
        <w:rPr>
          <w:b w:val="0"/>
          <w:color w:val="auto"/>
        </w:rPr>
        <w:t>Appendix A, Data Spread for Unhealthy AQI Days</w:t>
      </w:r>
      <w:bookmarkEnd w:id="27"/>
    </w:p>
    <w:p w14:paraId="67E51634" w14:textId="77777777" w:rsidR="00E267C8" w:rsidRPr="00E267C8" w:rsidRDefault="003C1125" w:rsidP="00E267C8">
      <w:pPr>
        <w:keepNext/>
      </w:pPr>
      <w:r w:rsidRPr="00E267C8">
        <w:rPr>
          <w:noProof/>
          <w:lang w:val="en-US"/>
        </w:rPr>
        <w:drawing>
          <wp:inline distT="0" distB="0" distL="0" distR="0" wp14:anchorId="264ACE20" wp14:editId="2BBE89ED">
            <wp:extent cx="5486400" cy="3232785"/>
            <wp:effectExtent l="0" t="0" r="0" b="0"/>
            <wp:docPr id="14" name="Picture 14" descr="Macintosh HD:Users:Ashlynn:Desktop:Summer 2020:Honours-ECE579a:Figures:Feature Data Spreads:HazardousAQI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shlynn:Desktop:Summer 2020:Honours-ECE579a:Figures:Feature Data Spreads:HazardousAQI_D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5A91AD98" w14:textId="5804854E" w:rsidR="00E267C8" w:rsidRPr="00E267C8" w:rsidRDefault="00E267C8" w:rsidP="00E267C8">
      <w:pPr>
        <w:pStyle w:val="Caption"/>
        <w:rPr>
          <w:color w:val="auto"/>
        </w:rPr>
      </w:pPr>
      <w:bookmarkStart w:id="28" w:name="_Toc456521839"/>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Pr="00E267C8">
        <w:rPr>
          <w:noProof/>
          <w:color w:val="auto"/>
        </w:rPr>
        <w:t>14</w:t>
      </w:r>
      <w:r w:rsidRPr="00E267C8">
        <w:rPr>
          <w:color w:val="auto"/>
        </w:rPr>
        <w:fldChar w:fldCharType="end"/>
      </w:r>
      <w:r w:rsidRPr="00E267C8">
        <w:rPr>
          <w:color w:val="auto"/>
        </w:rPr>
        <w:t xml:space="preserve"> - </w:t>
      </w:r>
      <w:r w:rsidRPr="00E267C8">
        <w:rPr>
          <w:b w:val="0"/>
          <w:color w:val="auto"/>
        </w:rPr>
        <w:t>Appendix A, Data Spread for Hazardous AQI Days</w:t>
      </w:r>
      <w:bookmarkEnd w:id="28"/>
    </w:p>
    <w:p w14:paraId="42BBC597" w14:textId="77777777" w:rsidR="00E267C8" w:rsidRPr="00E267C8" w:rsidRDefault="003C1125" w:rsidP="00E267C8">
      <w:pPr>
        <w:keepNext/>
      </w:pPr>
      <w:r w:rsidRPr="00E267C8">
        <w:rPr>
          <w:noProof/>
          <w:lang w:val="en-US"/>
        </w:rPr>
        <w:drawing>
          <wp:inline distT="0" distB="0" distL="0" distR="0" wp14:anchorId="7A905E8D" wp14:editId="4C3814E0">
            <wp:extent cx="5486400" cy="3232785"/>
            <wp:effectExtent l="0" t="0" r="0" b="0"/>
            <wp:docPr id="15" name="Picture 15" descr="Macintosh HD:Users:Ashlynn:Desktop:Summer 2020:Honours-ECE579a:Figures:Feature Data Spreads:Cases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shlynn:Desktop:Summer 2020:Honours-ECE579a:Figures:Feature Data Spreads:Cases_D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38981151" w14:textId="6439D7DB" w:rsidR="00E267C8" w:rsidRPr="00E267C8" w:rsidRDefault="00E267C8" w:rsidP="00E267C8">
      <w:pPr>
        <w:pStyle w:val="Caption"/>
        <w:rPr>
          <w:color w:val="auto"/>
        </w:rPr>
      </w:pPr>
      <w:bookmarkStart w:id="29" w:name="_Toc456521840"/>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Pr="00E267C8">
        <w:rPr>
          <w:noProof/>
          <w:color w:val="auto"/>
        </w:rPr>
        <w:t>15</w:t>
      </w:r>
      <w:r w:rsidRPr="00E267C8">
        <w:rPr>
          <w:color w:val="auto"/>
        </w:rPr>
        <w:fldChar w:fldCharType="end"/>
      </w:r>
      <w:r w:rsidRPr="00E267C8">
        <w:rPr>
          <w:color w:val="auto"/>
        </w:rPr>
        <w:t xml:space="preserve"> - </w:t>
      </w:r>
      <w:r w:rsidRPr="00E267C8">
        <w:rPr>
          <w:b w:val="0"/>
          <w:color w:val="auto"/>
        </w:rPr>
        <w:t>Appendix A, Data Spread for COVID-19 Cases</w:t>
      </w:r>
      <w:bookmarkEnd w:id="29"/>
      <w:r w:rsidRPr="00E267C8">
        <w:rPr>
          <w:color w:val="auto"/>
        </w:rPr>
        <w:t xml:space="preserve"> </w:t>
      </w:r>
    </w:p>
    <w:p w14:paraId="71BB0D9C" w14:textId="77777777" w:rsidR="00E267C8" w:rsidRPr="00E267C8" w:rsidRDefault="003C1125" w:rsidP="00E267C8">
      <w:pPr>
        <w:keepNext/>
      </w:pPr>
      <w:r w:rsidRPr="00E267C8">
        <w:rPr>
          <w:noProof/>
          <w:lang w:val="en-US"/>
        </w:rPr>
        <w:drawing>
          <wp:inline distT="0" distB="0" distL="0" distR="0" wp14:anchorId="424FEE6B" wp14:editId="6C84D4FB">
            <wp:extent cx="5486400" cy="3232785"/>
            <wp:effectExtent l="0" t="0" r="0" b="0"/>
            <wp:docPr id="16" name="Picture 16" descr="Macintosh HD:Users:Ashlynn:Desktop:Summer 2020:Honours-ECE579a:Figures:Feature Data Spreads:Deaths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shlynn:Desktop:Summer 2020:Honours-ECE579a:Figures:Feature Data Spreads:Deaths_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232785"/>
                    </a:xfrm>
                    <a:prstGeom prst="rect">
                      <a:avLst/>
                    </a:prstGeom>
                    <a:noFill/>
                    <a:ln>
                      <a:noFill/>
                    </a:ln>
                  </pic:spPr>
                </pic:pic>
              </a:graphicData>
            </a:graphic>
          </wp:inline>
        </w:drawing>
      </w:r>
    </w:p>
    <w:p w14:paraId="2F6DE833" w14:textId="6DF58AD2" w:rsidR="00176BF9" w:rsidRPr="00E267C8" w:rsidRDefault="00E267C8" w:rsidP="00E267C8">
      <w:pPr>
        <w:pStyle w:val="Caption"/>
        <w:rPr>
          <w:color w:val="auto"/>
        </w:rPr>
      </w:pPr>
      <w:bookmarkStart w:id="30" w:name="_Toc456521841"/>
      <w:r w:rsidRPr="00E267C8">
        <w:rPr>
          <w:color w:val="auto"/>
        </w:rPr>
        <w:t xml:space="preserve">Figure </w:t>
      </w:r>
      <w:r w:rsidRPr="00E267C8">
        <w:rPr>
          <w:color w:val="auto"/>
        </w:rPr>
        <w:fldChar w:fldCharType="begin"/>
      </w:r>
      <w:r w:rsidRPr="00E267C8">
        <w:rPr>
          <w:color w:val="auto"/>
        </w:rPr>
        <w:instrText xml:space="preserve"> SEQ Figure \* ARABIC </w:instrText>
      </w:r>
      <w:r w:rsidRPr="00E267C8">
        <w:rPr>
          <w:color w:val="auto"/>
        </w:rPr>
        <w:fldChar w:fldCharType="separate"/>
      </w:r>
      <w:r w:rsidRPr="00E267C8">
        <w:rPr>
          <w:noProof/>
          <w:color w:val="auto"/>
        </w:rPr>
        <w:t>16</w:t>
      </w:r>
      <w:r w:rsidRPr="00E267C8">
        <w:rPr>
          <w:color w:val="auto"/>
        </w:rPr>
        <w:fldChar w:fldCharType="end"/>
      </w:r>
      <w:r w:rsidRPr="00E267C8">
        <w:rPr>
          <w:color w:val="auto"/>
        </w:rPr>
        <w:t xml:space="preserve"> - </w:t>
      </w:r>
      <w:r w:rsidRPr="00E267C8">
        <w:rPr>
          <w:b w:val="0"/>
          <w:color w:val="auto"/>
        </w:rPr>
        <w:t>Appendix A, Data Spread for COVID-19 Deaths</w:t>
      </w:r>
      <w:bookmarkEnd w:id="30"/>
    </w:p>
    <w:p w14:paraId="4FAD73FC" w14:textId="77777777" w:rsidR="00E267C8" w:rsidRDefault="00E267C8" w:rsidP="00176BF9">
      <w:pPr>
        <w:pStyle w:val="Heading1"/>
      </w:pPr>
    </w:p>
    <w:p w14:paraId="7FDB9219" w14:textId="77777777" w:rsidR="00E267C8" w:rsidRPr="00E267C8" w:rsidRDefault="00E267C8" w:rsidP="00E267C8"/>
    <w:p w14:paraId="5847FCD7" w14:textId="53DD0B32" w:rsidR="003C1125" w:rsidRPr="003C1125" w:rsidRDefault="003C1125" w:rsidP="003C1125"/>
    <w:sectPr w:rsidR="003C1125" w:rsidRPr="003C1125" w:rsidSect="004D00D4">
      <w:type w:val="continuous"/>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E61C02"/>
    <w:multiLevelType w:val="hybridMultilevel"/>
    <w:tmpl w:val="518A7B9A"/>
    <w:lvl w:ilvl="0" w:tplc="E47CE46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58"/>
    <w:rsid w:val="00042D66"/>
    <w:rsid w:val="000A2D31"/>
    <w:rsid w:val="000A58C4"/>
    <w:rsid w:val="001124CF"/>
    <w:rsid w:val="00112CAA"/>
    <w:rsid w:val="001373F6"/>
    <w:rsid w:val="00176BF9"/>
    <w:rsid w:val="001A4FC9"/>
    <w:rsid w:val="001D7452"/>
    <w:rsid w:val="0021593E"/>
    <w:rsid w:val="002223FD"/>
    <w:rsid w:val="00250C7A"/>
    <w:rsid w:val="00277511"/>
    <w:rsid w:val="002A7FE2"/>
    <w:rsid w:val="002B4341"/>
    <w:rsid w:val="002D2257"/>
    <w:rsid w:val="00322380"/>
    <w:rsid w:val="003547CF"/>
    <w:rsid w:val="003A5D74"/>
    <w:rsid w:val="003C1125"/>
    <w:rsid w:val="003D478F"/>
    <w:rsid w:val="00446919"/>
    <w:rsid w:val="004926F8"/>
    <w:rsid w:val="004C6477"/>
    <w:rsid w:val="004D00D4"/>
    <w:rsid w:val="004F100F"/>
    <w:rsid w:val="005943E8"/>
    <w:rsid w:val="005B16CB"/>
    <w:rsid w:val="005F4BB4"/>
    <w:rsid w:val="00635614"/>
    <w:rsid w:val="00651A68"/>
    <w:rsid w:val="00670395"/>
    <w:rsid w:val="0067268F"/>
    <w:rsid w:val="00686441"/>
    <w:rsid w:val="006B365A"/>
    <w:rsid w:val="006F7C66"/>
    <w:rsid w:val="0073349B"/>
    <w:rsid w:val="00754B55"/>
    <w:rsid w:val="00756754"/>
    <w:rsid w:val="00762258"/>
    <w:rsid w:val="007C0C12"/>
    <w:rsid w:val="007F7458"/>
    <w:rsid w:val="008165AB"/>
    <w:rsid w:val="008470F2"/>
    <w:rsid w:val="00871CCB"/>
    <w:rsid w:val="00882FE6"/>
    <w:rsid w:val="008839FE"/>
    <w:rsid w:val="008936DF"/>
    <w:rsid w:val="009160D6"/>
    <w:rsid w:val="00931D48"/>
    <w:rsid w:val="009425D9"/>
    <w:rsid w:val="00997296"/>
    <w:rsid w:val="009A5B90"/>
    <w:rsid w:val="009E767A"/>
    <w:rsid w:val="00A04ACC"/>
    <w:rsid w:val="00A07946"/>
    <w:rsid w:val="00A83D0F"/>
    <w:rsid w:val="00AC274C"/>
    <w:rsid w:val="00B0205B"/>
    <w:rsid w:val="00B31379"/>
    <w:rsid w:val="00B54C2C"/>
    <w:rsid w:val="00B90382"/>
    <w:rsid w:val="00B97AFA"/>
    <w:rsid w:val="00BA322D"/>
    <w:rsid w:val="00BC1BA5"/>
    <w:rsid w:val="00C03EC0"/>
    <w:rsid w:val="00C07431"/>
    <w:rsid w:val="00C817E0"/>
    <w:rsid w:val="00CA15A7"/>
    <w:rsid w:val="00CB2A9F"/>
    <w:rsid w:val="00CC00F0"/>
    <w:rsid w:val="00CE7A1E"/>
    <w:rsid w:val="00D1198D"/>
    <w:rsid w:val="00D81CFD"/>
    <w:rsid w:val="00DA253A"/>
    <w:rsid w:val="00DA3088"/>
    <w:rsid w:val="00DA4F32"/>
    <w:rsid w:val="00DC5580"/>
    <w:rsid w:val="00DE1766"/>
    <w:rsid w:val="00E267C8"/>
    <w:rsid w:val="00E61B59"/>
    <w:rsid w:val="00E82120"/>
    <w:rsid w:val="00E83C0D"/>
    <w:rsid w:val="00E9129C"/>
    <w:rsid w:val="00E947BA"/>
    <w:rsid w:val="00F55686"/>
    <w:rsid w:val="00F62879"/>
    <w:rsid w:val="00FD26C7"/>
    <w:rsid w:val="00FF16F8"/>
    <w:rsid w:val="00FF4C8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1035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BF9"/>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76BF9"/>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614"/>
    <w:rPr>
      <w:rFonts w:ascii="Lucida Grande" w:hAnsi="Lucida Grande"/>
      <w:sz w:val="18"/>
      <w:szCs w:val="18"/>
    </w:rPr>
  </w:style>
  <w:style w:type="character" w:customStyle="1" w:styleId="BalloonTextChar">
    <w:name w:val="Balloon Text Char"/>
    <w:basedOn w:val="DefaultParagraphFont"/>
    <w:link w:val="BalloonText"/>
    <w:uiPriority w:val="99"/>
    <w:semiHidden/>
    <w:rsid w:val="00635614"/>
    <w:rPr>
      <w:rFonts w:ascii="Lucida Grande" w:hAnsi="Lucida Grande"/>
      <w:sz w:val="18"/>
      <w:szCs w:val="18"/>
    </w:rPr>
  </w:style>
  <w:style w:type="paragraph" w:styleId="ListParagraph">
    <w:name w:val="List Paragraph"/>
    <w:basedOn w:val="Normal"/>
    <w:uiPriority w:val="34"/>
    <w:qFormat/>
    <w:rsid w:val="00997296"/>
    <w:pPr>
      <w:ind w:left="720"/>
      <w:contextualSpacing/>
    </w:pPr>
  </w:style>
  <w:style w:type="paragraph" w:styleId="NormalWeb">
    <w:name w:val="Normal (Web)"/>
    <w:basedOn w:val="Normal"/>
    <w:uiPriority w:val="99"/>
    <w:semiHidden/>
    <w:unhideWhenUsed/>
    <w:rsid w:val="007C0C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C0C12"/>
    <w:rPr>
      <w:color w:val="0000FF"/>
      <w:u w:val="single"/>
    </w:rPr>
  </w:style>
  <w:style w:type="paragraph" w:styleId="Caption">
    <w:name w:val="caption"/>
    <w:basedOn w:val="Normal"/>
    <w:next w:val="Normal"/>
    <w:uiPriority w:val="35"/>
    <w:unhideWhenUsed/>
    <w:qFormat/>
    <w:rsid w:val="00762258"/>
    <w:pPr>
      <w:spacing w:after="200"/>
    </w:pPr>
    <w:rPr>
      <w:b/>
      <w:bCs/>
      <w:color w:val="4F81BD" w:themeColor="accent1"/>
      <w:sz w:val="18"/>
      <w:szCs w:val="18"/>
    </w:rPr>
  </w:style>
  <w:style w:type="character" w:styleId="PlaceholderText">
    <w:name w:val="Placeholder Text"/>
    <w:basedOn w:val="DefaultParagraphFont"/>
    <w:uiPriority w:val="99"/>
    <w:semiHidden/>
    <w:rsid w:val="00CE7A1E"/>
    <w:rPr>
      <w:color w:val="808080"/>
    </w:rPr>
  </w:style>
  <w:style w:type="character" w:customStyle="1" w:styleId="Heading1Char">
    <w:name w:val="Heading 1 Char"/>
    <w:basedOn w:val="DefaultParagraphFont"/>
    <w:link w:val="Heading1"/>
    <w:uiPriority w:val="9"/>
    <w:rsid w:val="00176BF9"/>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176BF9"/>
    <w:rPr>
      <w:rFonts w:asciiTheme="majorHAnsi" w:eastAsiaTheme="majorEastAsia" w:hAnsiTheme="majorHAnsi" w:cstheme="majorBidi"/>
      <w:b/>
      <w:bCs/>
      <w:sz w:val="26"/>
      <w:szCs w:val="26"/>
    </w:rPr>
  </w:style>
  <w:style w:type="character" w:styleId="Strong">
    <w:name w:val="Strong"/>
    <w:basedOn w:val="DefaultParagraphFont"/>
    <w:uiPriority w:val="22"/>
    <w:qFormat/>
    <w:rsid w:val="00176BF9"/>
    <w:rPr>
      <w:b/>
      <w:bCs/>
    </w:rPr>
  </w:style>
  <w:style w:type="character" w:styleId="CommentReference">
    <w:name w:val="annotation reference"/>
    <w:basedOn w:val="DefaultParagraphFont"/>
    <w:uiPriority w:val="99"/>
    <w:semiHidden/>
    <w:unhideWhenUsed/>
    <w:rsid w:val="001D7452"/>
    <w:rPr>
      <w:sz w:val="18"/>
      <w:szCs w:val="18"/>
    </w:rPr>
  </w:style>
  <w:style w:type="paragraph" w:styleId="CommentText">
    <w:name w:val="annotation text"/>
    <w:basedOn w:val="Normal"/>
    <w:link w:val="CommentTextChar"/>
    <w:uiPriority w:val="99"/>
    <w:semiHidden/>
    <w:unhideWhenUsed/>
    <w:rsid w:val="001D7452"/>
  </w:style>
  <w:style w:type="character" w:customStyle="1" w:styleId="CommentTextChar">
    <w:name w:val="Comment Text Char"/>
    <w:basedOn w:val="DefaultParagraphFont"/>
    <w:link w:val="CommentText"/>
    <w:uiPriority w:val="99"/>
    <w:semiHidden/>
    <w:rsid w:val="001D7452"/>
  </w:style>
  <w:style w:type="paragraph" w:styleId="CommentSubject">
    <w:name w:val="annotation subject"/>
    <w:basedOn w:val="CommentText"/>
    <w:next w:val="CommentText"/>
    <w:link w:val="CommentSubjectChar"/>
    <w:uiPriority w:val="99"/>
    <w:semiHidden/>
    <w:unhideWhenUsed/>
    <w:rsid w:val="001D7452"/>
    <w:rPr>
      <w:b/>
      <w:bCs/>
      <w:sz w:val="20"/>
      <w:szCs w:val="20"/>
    </w:rPr>
  </w:style>
  <w:style w:type="character" w:customStyle="1" w:styleId="CommentSubjectChar">
    <w:name w:val="Comment Subject Char"/>
    <w:basedOn w:val="CommentTextChar"/>
    <w:link w:val="CommentSubject"/>
    <w:uiPriority w:val="99"/>
    <w:semiHidden/>
    <w:rsid w:val="001D7452"/>
    <w:rPr>
      <w:b/>
      <w:bCs/>
      <w:sz w:val="20"/>
      <w:szCs w:val="20"/>
    </w:rPr>
  </w:style>
  <w:style w:type="paragraph" w:styleId="TOC1">
    <w:name w:val="toc 1"/>
    <w:basedOn w:val="Normal"/>
    <w:next w:val="Normal"/>
    <w:autoRedefine/>
    <w:uiPriority w:val="39"/>
    <w:unhideWhenUsed/>
    <w:rsid w:val="00931D48"/>
    <w:pPr>
      <w:spacing w:before="120"/>
    </w:pPr>
    <w:rPr>
      <w:b/>
    </w:rPr>
  </w:style>
  <w:style w:type="paragraph" w:styleId="TOC2">
    <w:name w:val="toc 2"/>
    <w:basedOn w:val="Normal"/>
    <w:next w:val="Normal"/>
    <w:autoRedefine/>
    <w:uiPriority w:val="39"/>
    <w:unhideWhenUsed/>
    <w:rsid w:val="00931D48"/>
    <w:pPr>
      <w:ind w:left="240"/>
    </w:pPr>
    <w:rPr>
      <w:b/>
      <w:sz w:val="22"/>
      <w:szCs w:val="22"/>
    </w:rPr>
  </w:style>
  <w:style w:type="paragraph" w:styleId="TOC3">
    <w:name w:val="toc 3"/>
    <w:basedOn w:val="Normal"/>
    <w:next w:val="Normal"/>
    <w:autoRedefine/>
    <w:uiPriority w:val="39"/>
    <w:unhideWhenUsed/>
    <w:rsid w:val="00931D48"/>
    <w:pPr>
      <w:ind w:left="480"/>
    </w:pPr>
    <w:rPr>
      <w:sz w:val="22"/>
      <w:szCs w:val="22"/>
    </w:rPr>
  </w:style>
  <w:style w:type="paragraph" w:styleId="TOC4">
    <w:name w:val="toc 4"/>
    <w:basedOn w:val="Normal"/>
    <w:next w:val="Normal"/>
    <w:autoRedefine/>
    <w:uiPriority w:val="39"/>
    <w:unhideWhenUsed/>
    <w:rsid w:val="00931D48"/>
    <w:pPr>
      <w:ind w:left="720"/>
    </w:pPr>
    <w:rPr>
      <w:sz w:val="20"/>
      <w:szCs w:val="20"/>
    </w:rPr>
  </w:style>
  <w:style w:type="paragraph" w:styleId="TOC5">
    <w:name w:val="toc 5"/>
    <w:basedOn w:val="Normal"/>
    <w:next w:val="Normal"/>
    <w:autoRedefine/>
    <w:uiPriority w:val="39"/>
    <w:unhideWhenUsed/>
    <w:rsid w:val="00931D48"/>
    <w:pPr>
      <w:ind w:left="960"/>
    </w:pPr>
    <w:rPr>
      <w:sz w:val="20"/>
      <w:szCs w:val="20"/>
    </w:rPr>
  </w:style>
  <w:style w:type="paragraph" w:styleId="TOC6">
    <w:name w:val="toc 6"/>
    <w:basedOn w:val="Normal"/>
    <w:next w:val="Normal"/>
    <w:autoRedefine/>
    <w:uiPriority w:val="39"/>
    <w:unhideWhenUsed/>
    <w:rsid w:val="00931D48"/>
    <w:pPr>
      <w:ind w:left="1200"/>
    </w:pPr>
    <w:rPr>
      <w:sz w:val="20"/>
      <w:szCs w:val="20"/>
    </w:rPr>
  </w:style>
  <w:style w:type="paragraph" w:styleId="TOC7">
    <w:name w:val="toc 7"/>
    <w:basedOn w:val="Normal"/>
    <w:next w:val="Normal"/>
    <w:autoRedefine/>
    <w:uiPriority w:val="39"/>
    <w:unhideWhenUsed/>
    <w:rsid w:val="00931D48"/>
    <w:pPr>
      <w:ind w:left="1440"/>
    </w:pPr>
    <w:rPr>
      <w:sz w:val="20"/>
      <w:szCs w:val="20"/>
    </w:rPr>
  </w:style>
  <w:style w:type="paragraph" w:styleId="TOC8">
    <w:name w:val="toc 8"/>
    <w:basedOn w:val="Normal"/>
    <w:next w:val="Normal"/>
    <w:autoRedefine/>
    <w:uiPriority w:val="39"/>
    <w:unhideWhenUsed/>
    <w:rsid w:val="00931D48"/>
    <w:pPr>
      <w:ind w:left="1680"/>
    </w:pPr>
    <w:rPr>
      <w:sz w:val="20"/>
      <w:szCs w:val="20"/>
    </w:rPr>
  </w:style>
  <w:style w:type="paragraph" w:styleId="TOC9">
    <w:name w:val="toc 9"/>
    <w:basedOn w:val="Normal"/>
    <w:next w:val="Normal"/>
    <w:autoRedefine/>
    <w:uiPriority w:val="39"/>
    <w:unhideWhenUsed/>
    <w:rsid w:val="00931D48"/>
    <w:pPr>
      <w:ind w:left="1920"/>
    </w:pPr>
    <w:rPr>
      <w:sz w:val="20"/>
      <w:szCs w:val="20"/>
    </w:rPr>
  </w:style>
  <w:style w:type="paragraph" w:styleId="TableofFigures">
    <w:name w:val="table of figures"/>
    <w:basedOn w:val="Normal"/>
    <w:next w:val="Normal"/>
    <w:uiPriority w:val="99"/>
    <w:unhideWhenUsed/>
    <w:rsid w:val="00931D48"/>
    <w:pPr>
      <w:ind w:left="480" w:hanging="480"/>
    </w:pPr>
  </w:style>
  <w:style w:type="paragraph" w:styleId="TOCHeading">
    <w:name w:val="TOC Heading"/>
    <w:basedOn w:val="Heading1"/>
    <w:next w:val="Normal"/>
    <w:uiPriority w:val="39"/>
    <w:unhideWhenUsed/>
    <w:qFormat/>
    <w:rsid w:val="004D00D4"/>
    <w:pPr>
      <w:spacing w:line="276" w:lineRule="auto"/>
      <w:outlineLvl w:val="9"/>
    </w:pPr>
    <w:rPr>
      <w:color w:val="365F91" w:themeColor="accent1" w:themeShade="BF"/>
      <w:sz w:val="28"/>
      <w:szCs w:val="2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6BF9"/>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176BF9"/>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614"/>
    <w:rPr>
      <w:rFonts w:ascii="Lucida Grande" w:hAnsi="Lucida Grande"/>
      <w:sz w:val="18"/>
      <w:szCs w:val="18"/>
    </w:rPr>
  </w:style>
  <w:style w:type="character" w:customStyle="1" w:styleId="BalloonTextChar">
    <w:name w:val="Balloon Text Char"/>
    <w:basedOn w:val="DefaultParagraphFont"/>
    <w:link w:val="BalloonText"/>
    <w:uiPriority w:val="99"/>
    <w:semiHidden/>
    <w:rsid w:val="00635614"/>
    <w:rPr>
      <w:rFonts w:ascii="Lucida Grande" w:hAnsi="Lucida Grande"/>
      <w:sz w:val="18"/>
      <w:szCs w:val="18"/>
    </w:rPr>
  </w:style>
  <w:style w:type="paragraph" w:styleId="ListParagraph">
    <w:name w:val="List Paragraph"/>
    <w:basedOn w:val="Normal"/>
    <w:uiPriority w:val="34"/>
    <w:qFormat/>
    <w:rsid w:val="00997296"/>
    <w:pPr>
      <w:ind w:left="720"/>
      <w:contextualSpacing/>
    </w:pPr>
  </w:style>
  <w:style w:type="paragraph" w:styleId="NormalWeb">
    <w:name w:val="Normal (Web)"/>
    <w:basedOn w:val="Normal"/>
    <w:uiPriority w:val="99"/>
    <w:semiHidden/>
    <w:unhideWhenUsed/>
    <w:rsid w:val="007C0C12"/>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C0C12"/>
    <w:rPr>
      <w:color w:val="0000FF"/>
      <w:u w:val="single"/>
    </w:rPr>
  </w:style>
  <w:style w:type="paragraph" w:styleId="Caption">
    <w:name w:val="caption"/>
    <w:basedOn w:val="Normal"/>
    <w:next w:val="Normal"/>
    <w:uiPriority w:val="35"/>
    <w:unhideWhenUsed/>
    <w:qFormat/>
    <w:rsid w:val="00762258"/>
    <w:pPr>
      <w:spacing w:after="200"/>
    </w:pPr>
    <w:rPr>
      <w:b/>
      <w:bCs/>
      <w:color w:val="4F81BD" w:themeColor="accent1"/>
      <w:sz w:val="18"/>
      <w:szCs w:val="18"/>
    </w:rPr>
  </w:style>
  <w:style w:type="character" w:styleId="PlaceholderText">
    <w:name w:val="Placeholder Text"/>
    <w:basedOn w:val="DefaultParagraphFont"/>
    <w:uiPriority w:val="99"/>
    <w:semiHidden/>
    <w:rsid w:val="00CE7A1E"/>
    <w:rPr>
      <w:color w:val="808080"/>
    </w:rPr>
  </w:style>
  <w:style w:type="character" w:customStyle="1" w:styleId="Heading1Char">
    <w:name w:val="Heading 1 Char"/>
    <w:basedOn w:val="DefaultParagraphFont"/>
    <w:link w:val="Heading1"/>
    <w:uiPriority w:val="9"/>
    <w:rsid w:val="00176BF9"/>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176BF9"/>
    <w:rPr>
      <w:rFonts w:asciiTheme="majorHAnsi" w:eastAsiaTheme="majorEastAsia" w:hAnsiTheme="majorHAnsi" w:cstheme="majorBidi"/>
      <w:b/>
      <w:bCs/>
      <w:sz w:val="26"/>
      <w:szCs w:val="26"/>
    </w:rPr>
  </w:style>
  <w:style w:type="character" w:styleId="Strong">
    <w:name w:val="Strong"/>
    <w:basedOn w:val="DefaultParagraphFont"/>
    <w:uiPriority w:val="22"/>
    <w:qFormat/>
    <w:rsid w:val="00176BF9"/>
    <w:rPr>
      <w:b/>
      <w:bCs/>
    </w:rPr>
  </w:style>
  <w:style w:type="character" w:styleId="CommentReference">
    <w:name w:val="annotation reference"/>
    <w:basedOn w:val="DefaultParagraphFont"/>
    <w:uiPriority w:val="99"/>
    <w:semiHidden/>
    <w:unhideWhenUsed/>
    <w:rsid w:val="001D7452"/>
    <w:rPr>
      <w:sz w:val="18"/>
      <w:szCs w:val="18"/>
    </w:rPr>
  </w:style>
  <w:style w:type="paragraph" w:styleId="CommentText">
    <w:name w:val="annotation text"/>
    <w:basedOn w:val="Normal"/>
    <w:link w:val="CommentTextChar"/>
    <w:uiPriority w:val="99"/>
    <w:semiHidden/>
    <w:unhideWhenUsed/>
    <w:rsid w:val="001D7452"/>
  </w:style>
  <w:style w:type="character" w:customStyle="1" w:styleId="CommentTextChar">
    <w:name w:val="Comment Text Char"/>
    <w:basedOn w:val="DefaultParagraphFont"/>
    <w:link w:val="CommentText"/>
    <w:uiPriority w:val="99"/>
    <w:semiHidden/>
    <w:rsid w:val="001D7452"/>
  </w:style>
  <w:style w:type="paragraph" w:styleId="CommentSubject">
    <w:name w:val="annotation subject"/>
    <w:basedOn w:val="CommentText"/>
    <w:next w:val="CommentText"/>
    <w:link w:val="CommentSubjectChar"/>
    <w:uiPriority w:val="99"/>
    <w:semiHidden/>
    <w:unhideWhenUsed/>
    <w:rsid w:val="001D7452"/>
    <w:rPr>
      <w:b/>
      <w:bCs/>
      <w:sz w:val="20"/>
      <w:szCs w:val="20"/>
    </w:rPr>
  </w:style>
  <w:style w:type="character" w:customStyle="1" w:styleId="CommentSubjectChar">
    <w:name w:val="Comment Subject Char"/>
    <w:basedOn w:val="CommentTextChar"/>
    <w:link w:val="CommentSubject"/>
    <w:uiPriority w:val="99"/>
    <w:semiHidden/>
    <w:rsid w:val="001D7452"/>
    <w:rPr>
      <w:b/>
      <w:bCs/>
      <w:sz w:val="20"/>
      <w:szCs w:val="20"/>
    </w:rPr>
  </w:style>
  <w:style w:type="paragraph" w:styleId="TOC1">
    <w:name w:val="toc 1"/>
    <w:basedOn w:val="Normal"/>
    <w:next w:val="Normal"/>
    <w:autoRedefine/>
    <w:uiPriority w:val="39"/>
    <w:unhideWhenUsed/>
    <w:rsid w:val="00931D48"/>
    <w:pPr>
      <w:spacing w:before="120"/>
    </w:pPr>
    <w:rPr>
      <w:b/>
    </w:rPr>
  </w:style>
  <w:style w:type="paragraph" w:styleId="TOC2">
    <w:name w:val="toc 2"/>
    <w:basedOn w:val="Normal"/>
    <w:next w:val="Normal"/>
    <w:autoRedefine/>
    <w:uiPriority w:val="39"/>
    <w:unhideWhenUsed/>
    <w:rsid w:val="00931D48"/>
    <w:pPr>
      <w:ind w:left="240"/>
    </w:pPr>
    <w:rPr>
      <w:b/>
      <w:sz w:val="22"/>
      <w:szCs w:val="22"/>
    </w:rPr>
  </w:style>
  <w:style w:type="paragraph" w:styleId="TOC3">
    <w:name w:val="toc 3"/>
    <w:basedOn w:val="Normal"/>
    <w:next w:val="Normal"/>
    <w:autoRedefine/>
    <w:uiPriority w:val="39"/>
    <w:unhideWhenUsed/>
    <w:rsid w:val="00931D48"/>
    <w:pPr>
      <w:ind w:left="480"/>
    </w:pPr>
    <w:rPr>
      <w:sz w:val="22"/>
      <w:szCs w:val="22"/>
    </w:rPr>
  </w:style>
  <w:style w:type="paragraph" w:styleId="TOC4">
    <w:name w:val="toc 4"/>
    <w:basedOn w:val="Normal"/>
    <w:next w:val="Normal"/>
    <w:autoRedefine/>
    <w:uiPriority w:val="39"/>
    <w:unhideWhenUsed/>
    <w:rsid w:val="00931D48"/>
    <w:pPr>
      <w:ind w:left="720"/>
    </w:pPr>
    <w:rPr>
      <w:sz w:val="20"/>
      <w:szCs w:val="20"/>
    </w:rPr>
  </w:style>
  <w:style w:type="paragraph" w:styleId="TOC5">
    <w:name w:val="toc 5"/>
    <w:basedOn w:val="Normal"/>
    <w:next w:val="Normal"/>
    <w:autoRedefine/>
    <w:uiPriority w:val="39"/>
    <w:unhideWhenUsed/>
    <w:rsid w:val="00931D48"/>
    <w:pPr>
      <w:ind w:left="960"/>
    </w:pPr>
    <w:rPr>
      <w:sz w:val="20"/>
      <w:szCs w:val="20"/>
    </w:rPr>
  </w:style>
  <w:style w:type="paragraph" w:styleId="TOC6">
    <w:name w:val="toc 6"/>
    <w:basedOn w:val="Normal"/>
    <w:next w:val="Normal"/>
    <w:autoRedefine/>
    <w:uiPriority w:val="39"/>
    <w:unhideWhenUsed/>
    <w:rsid w:val="00931D48"/>
    <w:pPr>
      <w:ind w:left="1200"/>
    </w:pPr>
    <w:rPr>
      <w:sz w:val="20"/>
      <w:szCs w:val="20"/>
    </w:rPr>
  </w:style>
  <w:style w:type="paragraph" w:styleId="TOC7">
    <w:name w:val="toc 7"/>
    <w:basedOn w:val="Normal"/>
    <w:next w:val="Normal"/>
    <w:autoRedefine/>
    <w:uiPriority w:val="39"/>
    <w:unhideWhenUsed/>
    <w:rsid w:val="00931D48"/>
    <w:pPr>
      <w:ind w:left="1440"/>
    </w:pPr>
    <w:rPr>
      <w:sz w:val="20"/>
      <w:szCs w:val="20"/>
    </w:rPr>
  </w:style>
  <w:style w:type="paragraph" w:styleId="TOC8">
    <w:name w:val="toc 8"/>
    <w:basedOn w:val="Normal"/>
    <w:next w:val="Normal"/>
    <w:autoRedefine/>
    <w:uiPriority w:val="39"/>
    <w:unhideWhenUsed/>
    <w:rsid w:val="00931D48"/>
    <w:pPr>
      <w:ind w:left="1680"/>
    </w:pPr>
    <w:rPr>
      <w:sz w:val="20"/>
      <w:szCs w:val="20"/>
    </w:rPr>
  </w:style>
  <w:style w:type="paragraph" w:styleId="TOC9">
    <w:name w:val="toc 9"/>
    <w:basedOn w:val="Normal"/>
    <w:next w:val="Normal"/>
    <w:autoRedefine/>
    <w:uiPriority w:val="39"/>
    <w:unhideWhenUsed/>
    <w:rsid w:val="00931D48"/>
    <w:pPr>
      <w:ind w:left="1920"/>
    </w:pPr>
    <w:rPr>
      <w:sz w:val="20"/>
      <w:szCs w:val="20"/>
    </w:rPr>
  </w:style>
  <w:style w:type="paragraph" w:styleId="TableofFigures">
    <w:name w:val="table of figures"/>
    <w:basedOn w:val="Normal"/>
    <w:next w:val="Normal"/>
    <w:uiPriority w:val="99"/>
    <w:unhideWhenUsed/>
    <w:rsid w:val="00931D48"/>
    <w:pPr>
      <w:ind w:left="480" w:hanging="480"/>
    </w:pPr>
  </w:style>
  <w:style w:type="paragraph" w:styleId="TOCHeading">
    <w:name w:val="TOC Heading"/>
    <w:basedOn w:val="Heading1"/>
    <w:next w:val="Normal"/>
    <w:uiPriority w:val="39"/>
    <w:unhideWhenUsed/>
    <w:qFormat/>
    <w:rsid w:val="004D00D4"/>
    <w:pPr>
      <w:spacing w:line="276" w:lineRule="auto"/>
      <w:outlineLvl w:val="9"/>
    </w:pPr>
    <w:rPr>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4861">
      <w:bodyDiv w:val="1"/>
      <w:marLeft w:val="0"/>
      <w:marRight w:val="0"/>
      <w:marTop w:val="0"/>
      <w:marBottom w:val="0"/>
      <w:divBdr>
        <w:top w:val="none" w:sz="0" w:space="0" w:color="auto"/>
        <w:left w:val="none" w:sz="0" w:space="0" w:color="auto"/>
        <w:bottom w:val="none" w:sz="0" w:space="0" w:color="auto"/>
        <w:right w:val="none" w:sz="0" w:space="0" w:color="auto"/>
      </w:divBdr>
    </w:div>
    <w:div w:id="214703038">
      <w:bodyDiv w:val="1"/>
      <w:marLeft w:val="0"/>
      <w:marRight w:val="0"/>
      <w:marTop w:val="0"/>
      <w:marBottom w:val="0"/>
      <w:divBdr>
        <w:top w:val="none" w:sz="0" w:space="0" w:color="auto"/>
        <w:left w:val="none" w:sz="0" w:space="0" w:color="auto"/>
        <w:bottom w:val="none" w:sz="0" w:space="0" w:color="auto"/>
        <w:right w:val="none" w:sz="0" w:space="0" w:color="auto"/>
      </w:divBdr>
    </w:div>
    <w:div w:id="304512645">
      <w:bodyDiv w:val="1"/>
      <w:marLeft w:val="0"/>
      <w:marRight w:val="0"/>
      <w:marTop w:val="0"/>
      <w:marBottom w:val="0"/>
      <w:divBdr>
        <w:top w:val="none" w:sz="0" w:space="0" w:color="auto"/>
        <w:left w:val="none" w:sz="0" w:space="0" w:color="auto"/>
        <w:bottom w:val="none" w:sz="0" w:space="0" w:color="auto"/>
        <w:right w:val="none" w:sz="0" w:space="0" w:color="auto"/>
      </w:divBdr>
    </w:div>
    <w:div w:id="323511475">
      <w:bodyDiv w:val="1"/>
      <w:marLeft w:val="0"/>
      <w:marRight w:val="0"/>
      <w:marTop w:val="0"/>
      <w:marBottom w:val="0"/>
      <w:divBdr>
        <w:top w:val="none" w:sz="0" w:space="0" w:color="auto"/>
        <w:left w:val="none" w:sz="0" w:space="0" w:color="auto"/>
        <w:bottom w:val="none" w:sz="0" w:space="0" w:color="auto"/>
        <w:right w:val="none" w:sz="0" w:space="0" w:color="auto"/>
      </w:divBdr>
    </w:div>
    <w:div w:id="404498410">
      <w:bodyDiv w:val="1"/>
      <w:marLeft w:val="0"/>
      <w:marRight w:val="0"/>
      <w:marTop w:val="0"/>
      <w:marBottom w:val="0"/>
      <w:divBdr>
        <w:top w:val="none" w:sz="0" w:space="0" w:color="auto"/>
        <w:left w:val="none" w:sz="0" w:space="0" w:color="auto"/>
        <w:bottom w:val="none" w:sz="0" w:space="0" w:color="auto"/>
        <w:right w:val="none" w:sz="0" w:space="0" w:color="auto"/>
      </w:divBdr>
    </w:div>
    <w:div w:id="564225794">
      <w:bodyDiv w:val="1"/>
      <w:marLeft w:val="0"/>
      <w:marRight w:val="0"/>
      <w:marTop w:val="0"/>
      <w:marBottom w:val="0"/>
      <w:divBdr>
        <w:top w:val="none" w:sz="0" w:space="0" w:color="auto"/>
        <w:left w:val="none" w:sz="0" w:space="0" w:color="auto"/>
        <w:bottom w:val="none" w:sz="0" w:space="0" w:color="auto"/>
        <w:right w:val="none" w:sz="0" w:space="0" w:color="auto"/>
      </w:divBdr>
    </w:div>
    <w:div w:id="771315312">
      <w:bodyDiv w:val="1"/>
      <w:marLeft w:val="0"/>
      <w:marRight w:val="0"/>
      <w:marTop w:val="0"/>
      <w:marBottom w:val="0"/>
      <w:divBdr>
        <w:top w:val="none" w:sz="0" w:space="0" w:color="auto"/>
        <w:left w:val="none" w:sz="0" w:space="0" w:color="auto"/>
        <w:bottom w:val="none" w:sz="0" w:space="0" w:color="auto"/>
        <w:right w:val="none" w:sz="0" w:space="0" w:color="auto"/>
      </w:divBdr>
    </w:div>
    <w:div w:id="830482010">
      <w:bodyDiv w:val="1"/>
      <w:marLeft w:val="0"/>
      <w:marRight w:val="0"/>
      <w:marTop w:val="0"/>
      <w:marBottom w:val="0"/>
      <w:divBdr>
        <w:top w:val="none" w:sz="0" w:space="0" w:color="auto"/>
        <w:left w:val="none" w:sz="0" w:space="0" w:color="auto"/>
        <w:bottom w:val="none" w:sz="0" w:space="0" w:color="auto"/>
        <w:right w:val="none" w:sz="0" w:space="0" w:color="auto"/>
      </w:divBdr>
    </w:div>
    <w:div w:id="1173690886">
      <w:bodyDiv w:val="1"/>
      <w:marLeft w:val="0"/>
      <w:marRight w:val="0"/>
      <w:marTop w:val="0"/>
      <w:marBottom w:val="0"/>
      <w:divBdr>
        <w:top w:val="none" w:sz="0" w:space="0" w:color="auto"/>
        <w:left w:val="none" w:sz="0" w:space="0" w:color="auto"/>
        <w:bottom w:val="none" w:sz="0" w:space="0" w:color="auto"/>
        <w:right w:val="none" w:sz="0" w:space="0" w:color="auto"/>
      </w:divBdr>
    </w:div>
    <w:div w:id="1316028562">
      <w:bodyDiv w:val="1"/>
      <w:marLeft w:val="0"/>
      <w:marRight w:val="0"/>
      <w:marTop w:val="0"/>
      <w:marBottom w:val="0"/>
      <w:divBdr>
        <w:top w:val="none" w:sz="0" w:space="0" w:color="auto"/>
        <w:left w:val="none" w:sz="0" w:space="0" w:color="auto"/>
        <w:bottom w:val="none" w:sz="0" w:space="0" w:color="auto"/>
        <w:right w:val="none" w:sz="0" w:space="0" w:color="auto"/>
      </w:divBdr>
    </w:div>
    <w:div w:id="1530146263">
      <w:bodyDiv w:val="1"/>
      <w:marLeft w:val="0"/>
      <w:marRight w:val="0"/>
      <w:marTop w:val="0"/>
      <w:marBottom w:val="0"/>
      <w:divBdr>
        <w:top w:val="none" w:sz="0" w:space="0" w:color="auto"/>
        <w:left w:val="none" w:sz="0" w:space="0" w:color="auto"/>
        <w:bottom w:val="none" w:sz="0" w:space="0" w:color="auto"/>
        <w:right w:val="none" w:sz="0" w:space="0" w:color="auto"/>
      </w:divBdr>
    </w:div>
    <w:div w:id="1567110634">
      <w:bodyDiv w:val="1"/>
      <w:marLeft w:val="0"/>
      <w:marRight w:val="0"/>
      <w:marTop w:val="0"/>
      <w:marBottom w:val="0"/>
      <w:divBdr>
        <w:top w:val="none" w:sz="0" w:space="0" w:color="auto"/>
        <w:left w:val="none" w:sz="0" w:space="0" w:color="auto"/>
        <w:bottom w:val="none" w:sz="0" w:space="0" w:color="auto"/>
        <w:right w:val="none" w:sz="0" w:space="0" w:color="auto"/>
      </w:divBdr>
    </w:div>
    <w:div w:id="1651598712">
      <w:bodyDiv w:val="1"/>
      <w:marLeft w:val="0"/>
      <w:marRight w:val="0"/>
      <w:marTop w:val="0"/>
      <w:marBottom w:val="0"/>
      <w:divBdr>
        <w:top w:val="none" w:sz="0" w:space="0" w:color="auto"/>
        <w:left w:val="none" w:sz="0" w:space="0" w:color="auto"/>
        <w:bottom w:val="none" w:sz="0" w:space="0" w:color="auto"/>
        <w:right w:val="none" w:sz="0" w:space="0" w:color="auto"/>
      </w:divBdr>
    </w:div>
    <w:div w:id="2046249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Uni20</b:Tag>
    <b:SourceType>InternetSite</b:SourceType>
    <b:Guid>{B921CCC9-58D1-AD41-B2D3-0D3048D07245}</b:Guid>
    <b:Author>
      <b:Author>
        <b:Corporate>University of Washington</b:Corporate>
      </b:Author>
    </b:Author>
    <b:Title>COVID-19 Projections </b:Title>
    <b:URL>https://covid19.healthdata.org/united-states-of-america</b:URL>
    <b:YearAccessed>2020</b:YearAccessed>
    <b:MonthAccessed>07</b:MonthAccessed>
    <b:DayAccessed>13</b:DayAccessed>
    <b:RefOrder>1</b:RefOrder>
  </b:Source>
</b:Sources>
</file>

<file path=customXml/itemProps1.xml><?xml version="1.0" encoding="utf-8"?>
<ds:datastoreItem xmlns:ds="http://schemas.openxmlformats.org/officeDocument/2006/customXml" ds:itemID="{BFEB725D-2517-5D4E-9BB8-1DB967B5E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16</Pages>
  <Words>6692</Words>
  <Characters>38146</Characters>
  <Application>Microsoft Macintosh Word</Application>
  <DocSecurity>0</DocSecurity>
  <Lines>317</Lines>
  <Paragraphs>89</Paragraphs>
  <ScaleCrop>false</ScaleCrop>
  <Company/>
  <LinksUpToDate>false</LinksUpToDate>
  <CharactersWithSpaces>44749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Ashlynn Steeves</dc:creator>
  <cp:keywords/>
  <dc:description/>
  <cp:lastModifiedBy>Ashlynn Steeves</cp:lastModifiedBy>
  <cp:revision>22</cp:revision>
  <dcterms:created xsi:type="dcterms:W3CDTF">2020-07-11T04:27:00Z</dcterms:created>
  <dcterms:modified xsi:type="dcterms:W3CDTF">2020-07-16T19:30:00Z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d6ab31f6-4f78-3213-b52f-8c9ebc1971a6</vt:lpwstr>
  </property>
  <property fmtid="{D5CDD505-2E9C-101B-9397-08002B2CF9AE}" pid="24" name="Mendeley Citation Style_1">
    <vt:lpwstr>http://www.zotero.org/styles/ieee</vt:lpwstr>
  </property>
</Properties>
</file>