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</w:p>
    <w:p>
      <w:r>
        <w:rPr>
          <w:rFonts w:ascii="Arial" w:cs="Arial" w:eastAsia="Arial" w:hAnsi="Arial"/>
          <w:b/>
          <w:bCs/>
          <w:color w:val="FE5000"/>
          <w:sz w:val="72"/>
          <w:szCs w:val="72"/>
        </w:rPr>
        <w:t xml:space="preserve">FRAME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Flow-Ready Assembly of Modular Elements</w:t>
      </w:r>
    </w:p>
    <w:p>
      <w:pPr>
        <w:spacing w:after="0" w:before="60"/>
      </w:pPr>
    </w:p>
    <w:p>
      <w:r>
        <w:rPr>
          <w:rFonts w:ascii="Arial" w:cs="Arial" w:eastAsia="Arial" w:hAnsi="Arial"/>
          <w:color w:val="004E42"/>
          <w:sz w:val="36"/>
          <w:szCs w:val="36"/>
        </w:rPr>
        <w:t xml:space="preserve">Methodology Overview</w:t>
      </w:r>
    </w:p>
    <w:p>
      <w:pPr>
        <w:spacing w:after="0" w:before="60"/>
      </w:pPr>
    </w:p>
    <w:p>
      <w:r>
        <w:rPr>
          <w:rFonts w:ascii="Arial" w:cs="Arial" w:eastAsia="Arial" w:hAnsi="Arial"/>
          <w:color w:val="555555"/>
          <w:sz w:val="22"/>
          <w:szCs w:val="22"/>
        </w:rPr>
        <w:t xml:space="preserve">POC  |  Trading Cards and Preloved Fashion  |  US Market</w:t>
      </w:r>
    </w:p>
    <w:p>
      <w:pPr>
        <w:spacing w:after="0" w:before="300"/>
      </w:pPr>
    </w:p>
    <w:p>
      <w:pPr>
        <w:pBdr>
          <w:bottom w:val="single" w:color="FE5000" w:sz="4" w:space="1"/>
        </w:pBdr>
        <w:spacing w:after="260" w:before="260"/>
      </w:pP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E5000" w:sz="1"/>
              <w:left w:val="single" w:color="FE5000" w:sz="1"/>
              <w:bottom w:val="single" w:color="FE5000" w:sz="1"/>
              <w:right w:val="single" w:color="FE5000" w:sz="1"/>
            </w:tcBorders>
            <w:shd w:fill="FE500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760"/>
            <w:tcBorders>
              <w:top w:val="single" w:color="E6EFED" w:sz="1"/>
              <w:left w:val="single" w:color="E6EFED" w:sz="1"/>
              <w:bottom w:val="single" w:color="E6EFED" w:sz="1"/>
              <w:right w:val="single" w:color="E6EFED" w:sz="1"/>
            </w:tcBorders>
            <w:shd w:fill="E6EFED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E42"/>
                <w:sz w:val="28"/>
                <w:szCs w:val="28"/>
              </w:rPr>
              <w:t xml:space="preserve">What FRAME Does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CDB8" w:val="clear"/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FRAME takes ranked creatives from CARS and assembles them into a complete email. It decides which creative goes in which slot, ensures the pieces tell a coherent story, and scores the final output for quality.</w:t>
            </w:r>
          </w:p>
        </w:tc>
      </w:tr>
    </w:tbl>
    <w:p>
      <w:pPr>
        <w:spacing w:after="0" w:before="180"/>
      </w:pP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The pipeline position:</w:t>
      </w:r>
    </w:p>
    <w:p>
      <w:pPr>
        <w:spacing w:after="0" w:before="100"/>
      </w:pP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Intent Agent  →  CARS  →  FRAME  →  GOAT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(intents)        (ranked)   (assembled)  (send/no-send)</w:t>
      </w:r>
    </w:p>
    <w:p>
      <w:pPr>
        <w:spacing w:after="0" w:before="180"/>
      </w:pP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FRAME fills 3 science-composed placements: 1 Hero and 2 Content slots. Two additional slots (Strategic banner, App banner) are filled by manual rules outside FRAME.</w:t>
      </w:r>
    </w:p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E5000" w:sz="1"/>
              <w:left w:val="single" w:color="FE5000" w:sz="1"/>
              <w:bottom w:val="single" w:color="FE5000" w:sz="1"/>
              <w:right w:val="single" w:color="FE5000" w:sz="1"/>
            </w:tcBorders>
            <w:shd w:fill="FE500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760"/>
            <w:tcBorders>
              <w:top w:val="single" w:color="E6EFED" w:sz="1"/>
              <w:left w:val="single" w:color="E6EFED" w:sz="1"/>
              <w:bottom w:val="single" w:color="E6EFED" w:sz="1"/>
              <w:right w:val="single" w:color="E6EFED" w:sz="1"/>
            </w:tcBorders>
            <w:shd w:fill="E6EFED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E42"/>
                <w:sz w:val="28"/>
                <w:szCs w:val="28"/>
              </w:rPr>
              <w:t xml:space="preserve">Methodology</w:t>
            </w:r>
          </w:p>
        </w:tc>
      </w:tr>
    </w:tbl>
    <w:p>
      <w:pPr>
        <w:spacing w:after="0" w:before="1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4E42"/>
          <w:sz w:val="22"/>
          <w:szCs w:val="22"/>
        </w:rPr>
        <w:t xml:space="preserve">Assembly logic (assumed):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FRAME receives a ranked list of creatives from CARS. The simplest approach is top-N selection: the highest-scoring creative eligible for Hero goes in Hero, the next eligible creatives fill Content slots. However, smarter logic may apply — for example, ensuring the Hero serves the user’s strongest intent, or avoiding redundant creatives in adjacent slots.</w:t>
      </w:r>
    </w:p>
    <w:p>
      <w:pPr>
        <w:spacing w:after="0" w:before="1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4E42"/>
          <w:sz w:val="22"/>
          <w:szCs w:val="22"/>
        </w:rPr>
        <w:t xml:space="preserve">Quality scoring: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FRAME computes an Assembly Quality Score (0–100) as a weighted aggregate of several dimensions: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004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004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004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it’s scored</w:t>
            </w:r>
          </w:p>
        </w:tc>
      </w:tr>
      <w:tr>
        <w:tc>
          <w:tcPr>
            <w:tcW w:type="dxa" w:w="28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Brand/Policy Compliance</w:t>
            </w:r>
          </w:p>
        </w:tc>
        <w:tc>
          <w:tcPr>
            <w:tcW w:type="dxa" w:w="12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gate</w:t>
            </w:r>
          </w:p>
        </w:tc>
        <w:tc>
          <w:tcPr>
            <w:tcW w:type="dxa" w:w="53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check — fail = score 0, no send</w:t>
            </w:r>
          </w:p>
        </w:tc>
      </w:tr>
      <w:tr>
        <w:tc>
          <w:tcPr>
            <w:tcW w:type="dxa" w:w="28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Alignment</w:t>
            </w:r>
          </w:p>
        </w:tc>
        <w:tc>
          <w:tcPr>
            <w:tcW w:type="dxa" w:w="12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53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match between assembled content and user intents</w:t>
            </w:r>
          </w:p>
        </w:tc>
      </w:tr>
      <w:tr>
        <w:tc>
          <w:tcPr>
            <w:tcW w:type="dxa" w:w="28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Coherence &amp; Narrative Flow</w:t>
            </w:r>
          </w:p>
        </w:tc>
        <w:tc>
          <w:tcPr>
            <w:tcW w:type="dxa" w:w="12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53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 — likely LLM judgment or embedding similarity</w:t>
            </w:r>
          </w:p>
        </w:tc>
      </w:tr>
      <w:tr>
        <w:tc>
          <w:tcPr>
            <w:tcW w:type="dxa" w:w="28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12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gate</w:t>
            </w:r>
          </w:p>
        </w:tc>
        <w:tc>
          <w:tcPr>
            <w:tcW w:type="dxa" w:w="53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required slots filled correctly</w:t>
            </w:r>
          </w:p>
        </w:tc>
      </w:tr>
      <w:tr>
        <w:tc>
          <w:tcPr>
            <w:tcW w:type="dxa" w:w="28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Placement Fit</w:t>
            </w:r>
          </w:p>
        </w:tc>
        <w:tc>
          <w:tcPr>
            <w:tcW w:type="dxa" w:w="12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gate</w:t>
            </w:r>
          </w:p>
        </w:tc>
        <w:tc>
          <w:tcPr>
            <w:tcW w:type="dxa" w:w="53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creative is valid for its assigned slot</w:t>
            </w:r>
          </w:p>
        </w:tc>
      </w:tr>
      <w:tr>
        <w:tc>
          <w:tcPr>
            <w:tcW w:type="dxa" w:w="28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2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53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 text present, spam words avoided</w:t>
            </w:r>
          </w:p>
        </w:tc>
      </w:tr>
      <w:tr>
        <w:tc>
          <w:tcPr>
            <w:tcW w:type="dxa" w:w="28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Predicted Engagement</w:t>
            </w:r>
          </w:p>
        </w:tc>
        <w:tc>
          <w:tcPr>
            <w:tcW w:type="dxa" w:w="12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3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 — CTR prediction model if available</w:t>
            </w:r>
          </w:p>
        </w:tc>
      </w:tr>
    </w:tbl>
    <w:p>
      <w:pPr>
        <w:spacing w:after="0" w:before="1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4E42"/>
          <w:sz w:val="22"/>
          <w:szCs w:val="22"/>
        </w:rPr>
        <w:t xml:space="preserve">Recomposition: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If the quality score falls below threshold (e.g., 75), FRAME attempts to recompose — swapping in alternate creatives or reordering. Maximum 2 attempts before outputting the best result to GOAT.</w:t>
      </w:r>
    </w:p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E5000" w:sz="1"/>
              <w:left w:val="single" w:color="FE5000" w:sz="1"/>
              <w:bottom w:val="single" w:color="FE5000" w:sz="1"/>
              <w:right w:val="single" w:color="FE5000" w:sz="1"/>
            </w:tcBorders>
            <w:shd w:fill="FE500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760"/>
            <w:tcBorders>
              <w:top w:val="single" w:color="E6EFED" w:sz="1"/>
              <w:left w:val="single" w:color="E6EFED" w:sz="1"/>
              <w:bottom w:val="single" w:color="E6EFED" w:sz="1"/>
              <w:right w:val="single" w:color="E6EFED" w:sz="1"/>
            </w:tcBorders>
            <w:shd w:fill="E6EFED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E42"/>
                <w:sz w:val="28"/>
                <w:szCs w:val="28"/>
              </w:rPr>
              <w:t xml:space="preserve">Inputs and Outputs</w:t>
            </w:r>
          </w:p>
        </w:tc>
      </w:tr>
    </w:tbl>
    <w:p>
      <w:pPr>
        <w:spacing w:after="0" w:before="1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4E42"/>
          <w:sz w:val="22"/>
          <w:szCs w:val="22"/>
        </w:rPr>
        <w:t xml:space="preserve">Inputs: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004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004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004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4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ranked_creatives</w:t>
            </w:r>
          </w:p>
        </w:tc>
        <w:tc>
          <w:tcPr>
            <w:tcW w:type="dxa" w:w="18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CARS</w:t>
            </w:r>
          </w:p>
        </w:tc>
        <w:tc>
          <w:tcPr>
            <w:tcW w:type="dxa" w:w="51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Creatives ranked by intent match, with scores and metadata</w:t>
            </w:r>
          </w:p>
        </w:tc>
      </w:tr>
      <w:tr>
        <w:tc>
          <w:tcPr>
            <w:tcW w:type="dxa" w:w="24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intent_objects</w:t>
            </w:r>
          </w:p>
        </w:tc>
        <w:tc>
          <w:tcPr>
            <w:tcW w:type="dxa" w:w="18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Agent</w:t>
            </w:r>
          </w:p>
        </w:tc>
        <w:tc>
          <w:tcPr>
            <w:tcW w:type="dxa" w:w="51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User’s intents with titles, journey stages, evidence scores</w:t>
            </w:r>
          </w:p>
        </w:tc>
      </w:tr>
      <w:tr>
        <w:tc>
          <w:tcPr>
            <w:tcW w:type="dxa" w:w="24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canvas_template</w:t>
            </w:r>
          </w:p>
        </w:tc>
        <w:tc>
          <w:tcPr>
            <w:tcW w:type="dxa" w:w="18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UEP</w:t>
            </w:r>
          </w:p>
        </w:tc>
        <w:tc>
          <w:tcPr>
            <w:tcW w:type="dxa" w:w="51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definitions and layout constraints</w:t>
            </w:r>
          </w:p>
        </w:tc>
      </w:tr>
      <w:tr>
        <w:tc>
          <w:tcPr>
            <w:tcW w:type="dxa" w:w="24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quality_threshold</w:t>
            </w:r>
          </w:p>
        </w:tc>
        <w:tc>
          <w:tcPr>
            <w:tcW w:type="dxa" w:w="18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51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score required (e.g., 75)</w:t>
            </w:r>
          </w:p>
        </w:tc>
      </w:tr>
    </w:tbl>
    <w:p>
      <w:pPr>
        <w:spacing w:after="0" w:before="1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4E42"/>
          <w:sz w:val="22"/>
          <w:szCs w:val="22"/>
        </w:rPr>
        <w:t xml:space="preserve">Outputs: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004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004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  <w:tc>
          <w:tcPr>
            <w:tcW w:type="dxa" w:w="47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004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6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populated_canvas</w:t>
            </w:r>
          </w:p>
        </w:tc>
        <w:tc>
          <w:tcPr>
            <w:tcW w:type="dxa" w:w="20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GOAT / Render</w:t>
            </w:r>
          </w:p>
        </w:tc>
        <w:tc>
          <w:tcPr>
            <w:tcW w:type="dxa" w:w="47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assembled email with creatives assigned to slots</w:t>
            </w:r>
          </w:p>
        </w:tc>
      </w:tr>
      <w:tr>
        <w:tc>
          <w:tcPr>
            <w:tcW w:type="dxa" w:w="26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quality_score</w:t>
            </w:r>
          </w:p>
        </w:tc>
        <w:tc>
          <w:tcPr>
            <w:tcW w:type="dxa" w:w="20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GOAT</w:t>
            </w:r>
          </w:p>
        </w:tc>
        <w:tc>
          <w:tcPr>
            <w:tcW w:type="dxa" w:w="47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score (0–100) plus per-dimension breakdown</w:t>
            </w:r>
          </w:p>
        </w:tc>
      </w:tr>
      <w:tr>
        <w:tc>
          <w:tcPr>
            <w:tcW w:type="dxa" w:w="26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composition_reasoning</w:t>
            </w:r>
          </w:p>
        </w:tc>
        <w:tc>
          <w:tcPr>
            <w:tcW w:type="dxa" w:w="20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47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each creative was selected (for debugging)</w:t>
            </w:r>
          </w:p>
        </w:tc>
      </w:tr>
    </w:tbl>
    <w:p>
      <w:pPr>
        <w:spacing w:after="0" w:before="1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4E42"/>
          <w:sz w:val="22"/>
          <w:szCs w:val="22"/>
        </w:rPr>
        <w:t xml:space="preserve">Example output structure:</w:t>
      </w:r>
    </w:p>
    <w:p>
      <w:pPr>
        <w:spacing w:after="0" w:before="100"/>
      </w:pP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"userId": "u_123",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"canvas":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"hero": { "creativeId": "cr_001", "intentServed": 1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"content_1": { "creativeId": "cr_005", "intentServed": 1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"content_2": { "creativeId": "cr_012", "intentServed": 2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"qualityScore":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"overall": 82,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"intentAlignment": 0.85,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"coherence": 0.78,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"accessibility": 0.95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"recompositionAttempts":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E5000" w:sz="1"/>
              <w:left w:val="single" w:color="FE5000" w:sz="1"/>
              <w:bottom w:val="single" w:color="FE5000" w:sz="1"/>
              <w:right w:val="single" w:color="FE5000" w:sz="1"/>
            </w:tcBorders>
            <w:shd w:fill="FE5000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760"/>
            <w:tcBorders>
              <w:top w:val="single" w:color="E6EFED" w:sz="1"/>
              <w:left w:val="single" w:color="E6EFED" w:sz="1"/>
              <w:bottom w:val="single" w:color="E6EFED" w:sz="1"/>
              <w:right w:val="single" w:color="E6EFED" w:sz="1"/>
            </w:tcBorders>
            <w:shd w:fill="E6EFED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E42"/>
                <w:sz w:val="28"/>
                <w:szCs w:val="28"/>
              </w:rPr>
              <w:t xml:space="preserve">Open Questions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CDB8" w:val="clear"/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These are blocking. We cannot finalise the FRAME design until we get clarity on these.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3160"/>
      </w:tblGrid>
      <w:tr>
        <w:tc>
          <w:tcPr>
            <w:tcW w:type="dxa" w:w="4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004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004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1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004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unlocks</w:t>
            </w:r>
          </w:p>
        </w:tc>
      </w:tr>
      <w:tr>
        <w:tc>
          <w:tcPr>
            <w:tcW w:type="dxa" w:w="4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FRAME decide which creative goes in which slot? (Top-N? Intent-aware? Placement-filtered?)</w:t>
            </w:r>
          </w:p>
        </w:tc>
        <w:tc>
          <w:tcPr>
            <w:tcW w:type="dxa" w:w="31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assembly algorithm</w:t>
            </w:r>
          </w:p>
        </w:tc>
      </w:tr>
      <w:tr>
        <w:tc>
          <w:tcPr>
            <w:tcW w:type="dxa" w:w="4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is Coherence &amp; Narrative Flow (30%) actually scored? (LLM? Rules? Embedding similarity?)</w:t>
            </w:r>
          </w:p>
        </w:tc>
        <w:tc>
          <w:tcPr>
            <w:tcW w:type="dxa" w:w="31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Determines if FRAME is expensive (LLM) or cheap (rules)</w:t>
            </w:r>
          </w:p>
        </w:tc>
      </w:tr>
      <w:tr>
        <w:tc>
          <w:tcPr>
            <w:tcW w:type="dxa" w:w="4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FRAME using an LLM at runtime for assembly or quality scoring?</w:t>
            </w:r>
          </w:p>
        </w:tc>
        <w:tc>
          <w:tcPr>
            <w:tcW w:type="dxa" w:w="31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 cost and latency implications</w:t>
            </w:r>
          </w:p>
        </w:tc>
      </w:tr>
      <w:tr>
        <w:tc>
          <w:tcPr>
            <w:tcW w:type="dxa" w:w="4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an existing CTR prediction model for Predicted Engagement (20%)?</w:t>
            </w:r>
          </w:p>
        </w:tc>
        <w:tc>
          <w:tcPr>
            <w:tcW w:type="dxa" w:w="31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shd w:fill="F0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not, this dimension may be dropped for POC</w:t>
            </w:r>
          </w:p>
        </w:tc>
      </w:tr>
      <w:tr>
        <w:tc>
          <w:tcPr>
            <w:tcW w:type="dxa" w:w="4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specifically changes during recomposition? (Swap creatives? Reorder? Drop slots?)</w:t>
            </w:r>
          </w:p>
        </w:tc>
        <w:tc>
          <w:tcPr>
            <w:tcW w:type="dxa" w:w="3160"/>
            <w:tcBorders>
              <w:top w:val="single" w:color="6DCDB8" w:sz="1"/>
              <w:left w:val="single" w:color="6DCDB8" w:sz="1"/>
              <w:bottom w:val="single" w:color="6DCDB8" w:sz="1"/>
              <w:right w:val="single" w:color="6DCD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Recomposition strategy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2026-04-14T11:51:45.644Z</dcterms:created>
  <dcterms:modified xsi:type="dcterms:W3CDTF">2026-04-14T11:51:45.645Z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