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
      </w:pPr>
    </w:p>
    <w:p>
      <w:r>
        <w:rPr>
          <w:rFonts w:ascii="Arial" w:cs="Arial" w:eastAsia="Arial" w:hAnsi="Arial"/>
          <w:b/>
          <w:bCs/>
          <w:color w:val="FE5000"/>
          <w:sz w:val="72"/>
          <w:szCs w:val="72"/>
        </w:rPr>
        <w:t xml:space="preserve">Content Ranking Agent (CARS)</w:t>
      </w:r>
    </w:p>
    <w:p>
      <w:pPr>
        <w:spacing w:after="0" w:before="60"/>
      </w:pPr>
    </w:p>
    <w:p>
      <w:r>
        <w:rPr>
          <w:rFonts w:ascii="Arial" w:cs="Arial" w:eastAsia="Arial" w:hAnsi="Arial"/>
          <w:color w:val="004E42"/>
          <w:sz w:val="36"/>
          <w:szCs w:val="36"/>
        </w:rPr>
        <w:t xml:space="preserve">Methodology Overview</w:t>
      </w:r>
    </w:p>
    <w:p>
      <w:pPr>
        <w:spacing w:after="0" w:before="60"/>
      </w:pPr>
    </w:p>
    <w:p>
      <w:r>
        <w:rPr>
          <w:rFonts w:ascii="Arial" w:cs="Arial" w:eastAsia="Arial" w:hAnsi="Arial"/>
          <w:color w:val="555555"/>
          <w:sz w:val="22"/>
          <w:szCs w:val="22"/>
        </w:rPr>
        <w:t xml:space="preserve">POC  |  Trading Cards and Preloved Fashion  |  US Market</w:t>
      </w:r>
    </w:p>
    <w:p>
      <w:pPr>
        <w:spacing w:after="0" w:before="300"/>
      </w:pPr>
    </w:p>
    <w:p>
      <w:pPr>
        <w:pBdr>
          <w:bottom w:val="single" w:color="FE5000" w:sz="4" w:space="1"/>
        </w:pBdr>
        <w:spacing w:after="260" w:before="26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FE5000" w:sz="1"/>
              <w:left w:val="single" w:color="FE5000" w:sz="1"/>
              <w:bottom w:val="single" w:color="FE5000" w:sz="1"/>
              <w:right w:val="single" w:color="FE5000" w:sz="1"/>
            </w:tcBorders>
            <w:shd w:fill="FE5000" w:val="clear"/>
            <w:tcMar>
              <w:top w:type="dxa" w:w="110"/>
              <w:left w:type="dxa" w:w="160"/>
              <w:bottom w:type="dxa" w:w="110"/>
              <w:right w:type="dxa" w:w="160"/>
            </w:tcMar>
            <w:vAlign w:val="center"/>
          </w:tcPr>
          <w:p>
            <w:r>
              <w:rPr>
                <w:rFonts w:ascii="Arial" w:cs="Arial" w:eastAsia="Arial" w:hAnsi="Arial"/>
                <w:b/>
                <w:bCs/>
                <w:color w:val="FFFFFF"/>
                <w:sz w:val="28"/>
                <w:szCs w:val="28"/>
              </w:rPr>
              <w:t xml:space="preserve">01</w:t>
            </w:r>
          </w:p>
        </w:tc>
        <w:tc>
          <w:tcPr>
            <w:tcW w:type="dxa" w:w="8760"/>
            <w:tcBorders>
              <w:top w:val="single" w:color="E6EFED" w:sz="1"/>
              <w:left w:val="single" w:color="E6EFED" w:sz="1"/>
              <w:bottom w:val="single" w:color="E6EFED" w:sz="1"/>
              <w:right w:val="single" w:color="E6EFED" w:sz="1"/>
            </w:tcBorders>
            <w:shd w:fill="E6EFED" w:val="clear"/>
            <w:tcMar>
              <w:top w:type="dxa" w:w="110"/>
              <w:left w:type="dxa" w:w="160"/>
              <w:bottom w:type="dxa" w:w="110"/>
              <w:right w:type="dxa" w:w="160"/>
            </w:tcMar>
            <w:vAlign w:val="center"/>
          </w:tcPr>
          <w:p>
            <w:r>
              <w:rPr>
                <w:rFonts w:ascii="Arial" w:cs="Arial" w:eastAsia="Arial" w:hAnsi="Arial"/>
                <w:b/>
                <w:bCs/>
                <w:color w:val="004E42"/>
                <w:sz w:val="28"/>
                <w:szCs w:val="28"/>
              </w:rPr>
              <w:t xml:space="preserve">What CARS Does</w:t>
            </w:r>
          </w:p>
        </w:tc>
      </w:tr>
    </w:tbl>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6DCDB8" w:val="clear"/>
          </w:tcPr>
          <w:p/>
        </w:tc>
        <w:tc>
          <w:tcPr>
            <w:tcW w:type="dxa" w:w="9160"/>
            <w:tcBorders>
              <w:top w:val="none" w:color="FFFFFF" w:sz="0"/>
              <w:left w:val="none" w:color="FFFFFF" w:sz="0"/>
              <w:bottom w:val="none" w:color="FFFFFF" w:sz="0"/>
              <w:right w:val="none" w:color="FFFFFF" w:sz="0"/>
            </w:tcBorders>
            <w:shd w:fill="F7FAFA" w:val="clear"/>
            <w:tcMar>
              <w:top w:type="dxa" w:w="140"/>
              <w:left w:type="dxa" w:w="200"/>
              <w:bottom w:type="dxa" w:w="140"/>
              <w:right w:type="dxa" w:w="200"/>
            </w:tcMar>
          </w:tcPr>
          <w:p>
            <w:r>
              <w:rPr>
                <w:rFonts w:ascii="Arial" w:cs="Arial" w:eastAsia="Arial" w:hAnsi="Arial"/>
                <w:color w:val="333333"/>
                <w:sz w:val="22"/>
                <w:szCs w:val="22"/>
              </w:rPr>
              <w:t xml:space="preserve">CARS sits between the Intent Agent and FRAME. It takes all available marketing creatives and ranks them by how relevant they are to what each user is currently trying to do. The output is a prioritised list that FRAME uses to assemble the final email.</w:t>
            </w:r>
          </w:p>
        </w:tc>
      </w:tr>
    </w:tbl>
    <w:p>
      <w:pPr>
        <w:spacing w:after="0" w:before="180"/>
      </w:pPr>
    </w:p>
    <w:p>
      <w:pPr>
        <w:spacing w:after="180"/>
      </w:pPr>
      <w:r>
        <w:rPr>
          <w:rFonts w:ascii="Arial" w:cs="Arial" w:eastAsia="Arial" w:hAnsi="Arial"/>
          <w:sz w:val="22"/>
          <w:szCs w:val="22"/>
        </w:rPr>
        <w:t xml:space="preserve">The pipeline flow is straightforward: the Intent Agent tells us what the user wants, CARS ranks creatives against those intents, and FRAME assembles the final email from the top-ranked content.</w:t>
      </w:r>
    </w:p>
    <w:p>
      <w:pPr>
        <w:spacing w:after="0" w:before="180"/>
      </w:pPr>
    </w:p>
    <w:p>
      <w:pPr>
        <w:spacing w:after="180"/>
      </w:pPr>
      <w:r>
        <w:rPr>
          <w:rFonts w:ascii="Arial" w:cs="Arial" w:eastAsia="Arial" w:hAnsi="Arial"/>
          <w:sz w:val="22"/>
          <w:szCs w:val="22"/>
        </w:rPr>
        <w:t xml:space="preserve">If the Intent Agent tells us a user is “chasing Haaland rookie cards” with high confidence, CARS scores every available banner, carousel, and promo tile against that intent. FRAME then gets a ranked list so it can assemble an email that actually makes sense for that user — not just a generic Trading Cards message.</w:t>
      </w:r>
    </w:p>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FE5000" w:sz="1"/>
              <w:left w:val="single" w:color="FE5000" w:sz="1"/>
              <w:bottom w:val="single" w:color="FE5000" w:sz="1"/>
              <w:right w:val="single" w:color="FE5000" w:sz="1"/>
            </w:tcBorders>
            <w:shd w:fill="FE5000" w:val="clear"/>
            <w:tcMar>
              <w:top w:type="dxa" w:w="110"/>
              <w:left w:type="dxa" w:w="160"/>
              <w:bottom w:type="dxa" w:w="110"/>
              <w:right w:type="dxa" w:w="160"/>
            </w:tcMar>
            <w:vAlign w:val="center"/>
          </w:tcPr>
          <w:p>
            <w:r>
              <w:rPr>
                <w:rFonts w:ascii="Arial" w:cs="Arial" w:eastAsia="Arial" w:hAnsi="Arial"/>
                <w:b/>
                <w:bCs/>
                <w:color w:val="FFFFFF"/>
                <w:sz w:val="28"/>
                <w:szCs w:val="28"/>
              </w:rPr>
              <w:t xml:space="preserve">02</w:t>
            </w:r>
          </w:p>
        </w:tc>
        <w:tc>
          <w:tcPr>
            <w:tcW w:type="dxa" w:w="8760"/>
            <w:tcBorders>
              <w:top w:val="single" w:color="E6EFED" w:sz="1"/>
              <w:left w:val="single" w:color="E6EFED" w:sz="1"/>
              <w:bottom w:val="single" w:color="E6EFED" w:sz="1"/>
              <w:right w:val="single" w:color="E6EFED" w:sz="1"/>
            </w:tcBorders>
            <w:shd w:fill="E6EFED" w:val="clear"/>
            <w:tcMar>
              <w:top w:type="dxa" w:w="110"/>
              <w:left w:type="dxa" w:w="160"/>
              <w:bottom w:type="dxa" w:w="110"/>
              <w:right w:type="dxa" w:w="160"/>
            </w:tcMar>
            <w:vAlign w:val="center"/>
          </w:tcPr>
          <w:p>
            <w:r>
              <w:rPr>
                <w:rFonts w:ascii="Arial" w:cs="Arial" w:eastAsia="Arial" w:hAnsi="Arial"/>
                <w:b/>
                <w:bCs/>
                <w:color w:val="004E42"/>
                <w:sz w:val="28"/>
                <w:szCs w:val="28"/>
              </w:rPr>
              <w:t xml:space="preserve">Pipeline Architecture</w:t>
            </w:r>
          </w:p>
        </w:tc>
      </w:tr>
    </w:tbl>
    <w:p>
      <w:pPr>
        <w:spacing w:after="0" w:before="180"/>
      </w:pPr>
    </w:p>
    <w:p>
      <w:pPr>
        <w:spacing w:after="180"/>
      </w:pPr>
      <w:r>
        <w:rPr>
          <w:rFonts w:ascii="Arial" w:cs="Arial" w:eastAsia="Arial" w:hAnsi="Arial"/>
          <w:sz w:val="22"/>
          <w:szCs w:val="22"/>
        </w:rPr>
        <w:t xml:space="preserve">CARS has two layers: a batch layer that runs daily to prepare creative embeddings, and a runtime layer that scores and ranks for each user at send time.</w:t>
      </w:r>
    </w:p>
    <w:p>
      <w:pPr>
        <w:spacing w:after="0" w:before="150"/>
      </w:pPr>
    </w:p>
    <w:p>
      <w:pPr>
        <w:jc w:val="center"/>
      </w:pPr>
      <w:r>
        <w:drawing>
          <wp:inline distT="0" distB="0" distL="0" distR="0">
            <wp:extent cx="619125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4219575"/>
                    </a:xfrm>
                    <a:prstGeom prst="rect">
                      <a:avLst/>
                    </a:prstGeom>
                  </pic:spPr>
                </pic:pic>
              </a:graphicData>
            </a:graphic>
          </wp:inline>
        </w:drawing>
      </w:r>
    </w:p>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FE5000" w:sz="1"/>
              <w:left w:val="single" w:color="FE5000" w:sz="1"/>
              <w:bottom w:val="single" w:color="FE5000" w:sz="1"/>
              <w:right w:val="single" w:color="FE5000" w:sz="1"/>
            </w:tcBorders>
            <w:shd w:fill="FE5000" w:val="clear"/>
            <w:tcMar>
              <w:top w:type="dxa" w:w="110"/>
              <w:left w:type="dxa" w:w="160"/>
              <w:bottom w:type="dxa" w:w="110"/>
              <w:right w:type="dxa" w:w="160"/>
            </w:tcMar>
            <w:vAlign w:val="center"/>
          </w:tcPr>
          <w:p>
            <w:r>
              <w:rPr>
                <w:rFonts w:ascii="Arial" w:cs="Arial" w:eastAsia="Arial" w:hAnsi="Arial"/>
                <w:b/>
                <w:bCs/>
                <w:color w:val="FFFFFF"/>
                <w:sz w:val="28"/>
                <w:szCs w:val="28"/>
              </w:rPr>
              <w:t xml:space="preserve">03</w:t>
            </w:r>
          </w:p>
        </w:tc>
        <w:tc>
          <w:tcPr>
            <w:tcW w:type="dxa" w:w="8760"/>
            <w:tcBorders>
              <w:top w:val="single" w:color="E6EFED" w:sz="1"/>
              <w:left w:val="single" w:color="E6EFED" w:sz="1"/>
              <w:bottom w:val="single" w:color="E6EFED" w:sz="1"/>
              <w:right w:val="single" w:color="E6EFED" w:sz="1"/>
            </w:tcBorders>
            <w:shd w:fill="E6EFED" w:val="clear"/>
            <w:tcMar>
              <w:top w:type="dxa" w:w="110"/>
              <w:left w:type="dxa" w:w="160"/>
              <w:bottom w:type="dxa" w:w="110"/>
              <w:right w:type="dxa" w:w="160"/>
            </w:tcMar>
            <w:vAlign w:val="center"/>
          </w:tcPr>
          <w:p>
            <w:r>
              <w:rPr>
                <w:rFonts w:ascii="Arial" w:cs="Arial" w:eastAsia="Arial" w:hAnsi="Arial"/>
                <w:b/>
                <w:bCs/>
                <w:color w:val="004E42"/>
                <w:sz w:val="28"/>
                <w:szCs w:val="28"/>
              </w:rPr>
              <w:t xml:space="preserve">The Approach</w:t>
            </w:r>
          </w:p>
        </w:tc>
      </w:tr>
    </w:tbl>
    <w:p>
      <w:pPr>
        <w:spacing w:after="0" w:before="180"/>
      </w:pPr>
    </w:p>
    <w:p>
      <w:pPr>
        <w:spacing w:after="180"/>
      </w:pPr>
      <w:r>
        <w:rPr>
          <w:rFonts w:ascii="Arial" w:cs="Arial" w:eastAsia="Arial" w:hAnsi="Arial"/>
          <w:sz w:val="22"/>
          <w:szCs w:val="22"/>
        </w:rPr>
        <w:t xml:space="preserve">We use embedding-based semantic matching. Each creative gets converted into a vector that captures its meaning (from both image and text). Each intent also becomes a vector. We then measure how close they are in vector space — closer means more relevant.</w:t>
      </w:r>
    </w:p>
    <w:p>
      <w:pPr>
        <w:spacing w:after="0" w:before="150"/>
      </w:pPr>
    </w:p>
    <w:p>
      <w:pPr>
        <w:spacing w:after="120"/>
      </w:pPr>
      <w:r>
        <w:rPr>
          <w:rFonts w:ascii="Arial" w:cs="Arial" w:eastAsia="Arial" w:hAnsi="Arial"/>
          <w:b/>
          <w:bCs/>
          <w:color w:val="004E42"/>
          <w:sz w:val="22"/>
          <w:szCs w:val="22"/>
        </w:rPr>
        <w:t xml:space="preserve">Step 1 — Embed creatives (batch, daily)</w:t>
      </w:r>
    </w:p>
    <w:p>
      <w:pPr>
        <w:spacing w:after="180"/>
      </w:pPr>
      <w:r>
        <w:rPr>
          <w:rFonts w:ascii="Arial" w:cs="Arial" w:eastAsia="Arial" w:hAnsi="Arial"/>
          <w:sz w:val="22"/>
          <w:szCs w:val="22"/>
        </w:rPr>
        <w:t xml:space="preserve">Each creative is embedded using a multi-modal model (CLIP or Gemini) that jointly encodes the image and text metadata. This runs once per day as a batch job.</w:t>
      </w:r>
    </w:p>
    <w:p>
      <w:pPr>
        <w:spacing w:after="0" w:before="100"/>
      </w:pPr>
    </w:p>
    <w:p>
      <w:pPr>
        <w:spacing w:after="120"/>
      </w:pPr>
      <w:r>
        <w:rPr>
          <w:rFonts w:ascii="Arial" w:cs="Arial" w:eastAsia="Arial" w:hAnsi="Arial"/>
          <w:b/>
          <w:bCs/>
          <w:color w:val="004E42"/>
          <w:sz w:val="22"/>
          <w:szCs w:val="22"/>
        </w:rPr>
        <w:t xml:space="preserve">Step 2 — Embed intents (runtime, per user)</w:t>
      </w:r>
    </w:p>
    <w:p>
      <w:pPr>
        <w:spacing w:after="180"/>
      </w:pPr>
      <w:r>
        <w:rPr>
          <w:rFonts w:ascii="Arial" w:cs="Arial" w:eastAsia="Arial" w:hAnsi="Arial"/>
          <w:sz w:val="22"/>
          <w:szCs w:val="22"/>
        </w:rPr>
        <w:t xml:space="preserve">When a user is about to receive an email, we fetch their intents and embed each intent title into the same vector space.</w:t>
      </w:r>
    </w:p>
    <w:p>
      <w:pPr>
        <w:spacing w:after="0" w:before="100"/>
      </w:pPr>
    </w:p>
    <w:p>
      <w:pPr>
        <w:spacing w:after="120"/>
      </w:pPr>
      <w:r>
        <w:rPr>
          <w:rFonts w:ascii="Arial" w:cs="Arial" w:eastAsia="Arial" w:hAnsi="Arial"/>
          <w:b/>
          <w:bCs/>
          <w:color w:val="004E42"/>
          <w:sz w:val="22"/>
          <w:szCs w:val="22"/>
        </w:rPr>
        <w:t xml:space="preserve">Step 3 — Compute similarity</w:t>
      </w:r>
    </w:p>
    <w:p>
      <w:pPr>
        <w:spacing w:after="180"/>
      </w:pPr>
      <w:r>
        <w:rPr>
          <w:rFonts w:ascii="Arial" w:cs="Arial" w:eastAsia="Arial" w:hAnsi="Arial"/>
          <w:sz w:val="22"/>
          <w:szCs w:val="22"/>
        </w:rPr>
        <w:t xml:space="preserve">We calculate cosine similarity between every creative and every intent. For a user with 3 intents and 500 creatives, this produces a 500 x 3 matrix of scores.</w:t>
      </w:r>
    </w:p>
    <w:p>
      <w:pPr>
        <w:spacing w:after="0" w:before="100"/>
      </w:pPr>
    </w:p>
    <w:p>
      <w:pPr>
        <w:spacing w:after="120"/>
      </w:pPr>
      <w:r>
        <w:rPr>
          <w:rFonts w:ascii="Arial" w:cs="Arial" w:eastAsia="Arial" w:hAnsi="Arial"/>
          <w:b/>
          <w:bCs/>
          <w:color w:val="004E42"/>
          <w:sz w:val="22"/>
          <w:szCs w:val="22"/>
        </w:rPr>
        <w:t xml:space="preserve">Step 4 — Aggregate to single score</w:t>
      </w:r>
    </w:p>
    <w:p>
      <w:pPr>
        <w:spacing w:after="180"/>
      </w:pPr>
      <w:r>
        <w:rPr>
          <w:rFonts w:ascii="Arial" w:cs="Arial" w:eastAsia="Arial" w:hAnsi="Arial"/>
          <w:sz w:val="22"/>
          <w:szCs w:val="22"/>
        </w:rPr>
        <w:t xml:space="preserve">We collapse the matrix to one score per creative using a weighted average, where the weights are the evidence scores from the Intent Agent. A creative matching a strong intent scores higher than one matching a weak intent.</w:t>
      </w:r>
    </w:p>
    <w:p>
      <w:pPr>
        <w:spacing w:after="0" w:before="100"/>
      </w:pPr>
    </w:p>
    <w:p>
      <w:pPr>
        <w:spacing w:after="120"/>
      </w:pPr>
      <w:r>
        <w:rPr>
          <w:rFonts w:ascii="Arial" w:cs="Arial" w:eastAsia="Arial" w:hAnsi="Arial"/>
          <w:b/>
          <w:bCs/>
          <w:color w:val="004E42"/>
          <w:sz w:val="22"/>
          <w:szCs w:val="22"/>
        </w:rPr>
        <w:t xml:space="preserve">Step 5 — Filter and rank</w:t>
      </w:r>
    </w:p>
    <w:p>
      <w:pPr>
        <w:spacing w:after="180"/>
      </w:pPr>
      <w:r>
        <w:rPr>
          <w:rFonts w:ascii="Arial" w:cs="Arial" w:eastAsia="Arial" w:hAnsi="Arial"/>
          <w:sz w:val="22"/>
          <w:szCs w:val="22"/>
        </w:rPr>
        <w:t xml:space="preserve">We drop creatives below the threshold, sort by overall score, and pass the ranked list to FRAME.</w:t>
      </w:r>
    </w:p>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6DCDB8" w:val="clear"/>
          </w:tcPr>
          <w:p/>
        </w:tc>
        <w:tc>
          <w:tcPr>
            <w:tcW w:type="dxa" w:w="9160"/>
            <w:tcBorders>
              <w:top w:val="none" w:color="FFFFFF" w:sz="0"/>
              <w:left w:val="none" w:color="FFFFFF" w:sz="0"/>
              <w:bottom w:val="none" w:color="FFFFFF" w:sz="0"/>
              <w:right w:val="none" w:color="FFFFFF" w:sz="0"/>
            </w:tcBorders>
            <w:shd w:fill="F7FAFA" w:val="clear"/>
            <w:tcMar>
              <w:top w:type="dxa" w:w="140"/>
              <w:left w:type="dxa" w:w="200"/>
              <w:bottom w:type="dxa" w:w="140"/>
              <w:right w:type="dxa" w:w="200"/>
            </w:tcMar>
          </w:tcPr>
          <w:p>
            <w:r>
              <w:rPr>
                <w:rFonts w:ascii="Arial" w:cs="Arial" w:eastAsia="Arial" w:hAnsi="Arial"/>
                <w:color w:val="333333"/>
                <w:sz w:val="22"/>
                <w:szCs w:val="22"/>
              </w:rPr>
              <w:t xml:space="preserve">Why this approach? No LLM at runtime — it’s fast, predictable, and cheap. Multi-modal embeddings capture visual signals that text alone would miss. And weighting by intent strength means we prioritise creatives that match strong signals, not just any intent.</w:t>
            </w: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FE5000" w:sz="1"/>
              <w:left w:val="single" w:color="FE5000" w:sz="1"/>
              <w:bottom w:val="single" w:color="FE5000" w:sz="1"/>
              <w:right w:val="single" w:color="FE5000" w:sz="1"/>
            </w:tcBorders>
            <w:shd w:fill="FE5000" w:val="clear"/>
            <w:tcMar>
              <w:top w:type="dxa" w:w="110"/>
              <w:left w:type="dxa" w:w="160"/>
              <w:bottom w:type="dxa" w:w="110"/>
              <w:right w:type="dxa" w:w="160"/>
            </w:tcMar>
            <w:vAlign w:val="center"/>
          </w:tcPr>
          <w:p>
            <w:r>
              <w:rPr>
                <w:rFonts w:ascii="Arial" w:cs="Arial" w:eastAsia="Arial" w:hAnsi="Arial"/>
                <w:b/>
                <w:bCs/>
                <w:color w:val="FFFFFF"/>
                <w:sz w:val="28"/>
                <w:szCs w:val="28"/>
              </w:rPr>
              <w:t xml:space="preserve">04</w:t>
            </w:r>
          </w:p>
        </w:tc>
        <w:tc>
          <w:tcPr>
            <w:tcW w:type="dxa" w:w="8760"/>
            <w:tcBorders>
              <w:top w:val="single" w:color="E6EFED" w:sz="1"/>
              <w:left w:val="single" w:color="E6EFED" w:sz="1"/>
              <w:bottom w:val="single" w:color="E6EFED" w:sz="1"/>
              <w:right w:val="single" w:color="E6EFED" w:sz="1"/>
            </w:tcBorders>
            <w:shd w:fill="E6EFED" w:val="clear"/>
            <w:tcMar>
              <w:top w:type="dxa" w:w="110"/>
              <w:left w:type="dxa" w:w="160"/>
              <w:bottom w:type="dxa" w:w="110"/>
              <w:right w:type="dxa" w:w="160"/>
            </w:tcMar>
            <w:vAlign w:val="center"/>
          </w:tcPr>
          <w:p>
            <w:r>
              <w:rPr>
                <w:rFonts w:ascii="Arial" w:cs="Arial" w:eastAsia="Arial" w:hAnsi="Arial"/>
                <w:b/>
                <w:bCs/>
                <w:color w:val="004E42"/>
                <w:sz w:val="28"/>
                <w:szCs w:val="28"/>
              </w:rPr>
              <w:t xml:space="preserve">Scoring Logic</w:t>
            </w:r>
          </w:p>
        </w:tc>
      </w:tr>
    </w:tbl>
    <w:p>
      <w:pPr>
        <w:spacing w:after="0" w:before="180"/>
      </w:pPr>
    </w:p>
    <w:p>
      <w:pPr>
        <w:spacing w:after="120"/>
      </w:pPr>
      <w:r>
        <w:rPr>
          <w:rFonts w:ascii="Arial" w:cs="Arial" w:eastAsia="Arial" w:hAnsi="Arial"/>
          <w:b/>
          <w:bCs/>
          <w:color w:val="004E42"/>
          <w:sz w:val="22"/>
          <w:szCs w:val="22"/>
        </w:rPr>
        <w:t xml:space="preserve">Overall score per creative:</w:t>
      </w:r>
    </w:p>
    <w:p>
      <w:pPr>
        <w:spacing w:after="0" w:before="100"/>
      </w:pPr>
    </w:p>
    <w:p>
      <w:pPr>
        <w:shd w:fill="F5F5F5" w:val="clear"/>
        <w:spacing w:after="0"/>
      </w:pPr>
      <w:r>
        <w:rPr>
          <w:rFonts w:ascii="Courier New" w:cs="Courier New" w:eastAsia="Courier New" w:hAnsi="Courier New"/>
          <w:sz w:val="18"/>
          <w:szCs w:val="18"/>
        </w:rPr>
        <w:t xml:space="preserve">overallScore = Σ (matchScore_i × evidenceScore_i) / Σ evidenceScore_i</w:t>
      </w:r>
    </w:p>
    <w:p>
      <w:pPr>
        <w:spacing w:after="0" w:before="150"/>
      </w:pPr>
    </w:p>
    <w:p>
      <w:pPr>
        <w:spacing w:after="180"/>
      </w:pPr>
      <w:r>
        <w:rPr>
          <w:rFonts w:ascii="Arial" w:cs="Arial" w:eastAsia="Arial" w:hAnsi="Arial"/>
          <w:sz w:val="22"/>
          <w:szCs w:val="22"/>
        </w:rPr>
        <w:t xml:space="preserve">In plain terms: we take each intent’s match score, weight it by how confident we are in that intent, and compute the weighted average. A creative that matches a strong intent well will outscore one that matches a weak intent perfectly.</w:t>
      </w:r>
    </w:p>
    <w:p>
      <w:pPr>
        <w:spacing w:after="0" w:before="150"/>
      </w:pPr>
    </w:p>
    <w:p>
      <w:pPr>
        <w:spacing w:after="120"/>
      </w:pPr>
      <w:r>
        <w:rPr>
          <w:rFonts w:ascii="Arial" w:cs="Arial" w:eastAsia="Arial" w:hAnsi="Arial"/>
          <w:b/>
          <w:bCs/>
          <w:color w:val="004E42"/>
          <w:sz w:val="22"/>
          <w:szCs w:val="22"/>
        </w:rPr>
        <w:t xml:space="preserve">Thresholds: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6DCDB8" w:sz="1"/>
              <w:left w:val="single" w:color="6DCDB8" w:sz="1"/>
              <w:bottom w:val="single" w:color="6DCDB8" w:sz="1"/>
              <w:right w:val="single" w:color="6DCDB8" w:sz="1"/>
            </w:tcBorders>
            <w:shd w:fill="004E42"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1200"/>
            <w:tcBorders>
              <w:top w:val="single" w:color="6DCDB8" w:sz="1"/>
              <w:left w:val="single" w:color="6DCDB8" w:sz="1"/>
              <w:bottom w:val="single" w:color="6DCDB8" w:sz="1"/>
              <w:right w:val="single" w:color="6DCDB8" w:sz="1"/>
            </w:tcBorders>
            <w:shd w:fill="004E42"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160"/>
            <w:tcBorders>
              <w:top w:val="single" w:color="6DCDB8" w:sz="1"/>
              <w:left w:val="single" w:color="6DCDB8" w:sz="1"/>
              <w:bottom w:val="single" w:color="6DCDB8" w:sz="1"/>
              <w:right w:val="single" w:color="6DCDB8" w:sz="1"/>
            </w:tcBorders>
            <w:shd w:fill="004E42"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30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Creative threshold</w:t>
            </w:r>
          </w:p>
        </w:tc>
        <w:tc>
          <w:tcPr>
            <w:tcW w:type="dxa" w:w="12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0.4</w:t>
            </w:r>
          </w:p>
        </w:tc>
        <w:tc>
          <w:tcPr>
            <w:tcW w:type="dxa" w:w="516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Creatives below this are filtered out entirely</w:t>
            </w:r>
          </w:p>
        </w:tc>
      </w:tr>
      <w:tr>
        <w:tc>
          <w:tcPr>
            <w:tcW w:type="dxa" w:w="300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Intent coverage threshold</w:t>
            </w:r>
          </w:p>
        </w:tc>
        <w:tc>
          <w:tcPr>
            <w:tcW w:type="dxa" w:w="120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0.5</w:t>
            </w:r>
          </w:p>
        </w:tc>
        <w:tc>
          <w:tcPr>
            <w:tcW w:type="dxa" w:w="516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If no creative scores above this for an intent, we mark that intent as "not covered"</w:t>
            </w:r>
          </w:p>
        </w:tc>
      </w:tr>
    </w:tbl>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6DCDB8" w:val="clear"/>
          </w:tcPr>
          <w:p/>
        </w:tc>
        <w:tc>
          <w:tcPr>
            <w:tcW w:type="dxa" w:w="9160"/>
            <w:tcBorders>
              <w:top w:val="none" w:color="FFFFFF" w:sz="0"/>
              <w:left w:val="none" w:color="FFFFFF" w:sz="0"/>
              <w:bottom w:val="none" w:color="FFFFFF" w:sz="0"/>
              <w:right w:val="none" w:color="FFFFFF" w:sz="0"/>
            </w:tcBorders>
            <w:shd w:fill="F7FAFA" w:val="clear"/>
            <w:tcMar>
              <w:top w:type="dxa" w:w="140"/>
              <w:left w:type="dxa" w:w="200"/>
              <w:bottom w:type="dxa" w:w="140"/>
              <w:right w:type="dxa" w:w="200"/>
            </w:tcMar>
          </w:tcPr>
          <w:p>
            <w:r>
              <w:rPr>
                <w:rFonts w:ascii="Arial" w:cs="Arial" w:eastAsia="Arial" w:hAnsi="Arial"/>
                <w:color w:val="333333"/>
                <w:sz w:val="22"/>
                <w:szCs w:val="22"/>
              </w:rPr>
              <w:t xml:space="preserve">Intent coverage tells FRAME which intents have viable creative matches and which don’t. If intent #2 has no good matches, FRAME shouldn’t try to build a narrative around it.</w:t>
            </w: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FE5000" w:sz="1"/>
              <w:left w:val="single" w:color="FE5000" w:sz="1"/>
              <w:bottom w:val="single" w:color="FE5000" w:sz="1"/>
              <w:right w:val="single" w:color="FE5000" w:sz="1"/>
            </w:tcBorders>
            <w:shd w:fill="FE5000" w:val="clear"/>
            <w:tcMar>
              <w:top w:type="dxa" w:w="110"/>
              <w:left w:type="dxa" w:w="160"/>
              <w:bottom w:type="dxa" w:w="110"/>
              <w:right w:type="dxa" w:w="160"/>
            </w:tcMar>
            <w:vAlign w:val="center"/>
          </w:tcPr>
          <w:p>
            <w:r>
              <w:rPr>
                <w:rFonts w:ascii="Arial" w:cs="Arial" w:eastAsia="Arial" w:hAnsi="Arial"/>
                <w:b/>
                <w:bCs/>
                <w:color w:val="FFFFFF"/>
                <w:sz w:val="28"/>
                <w:szCs w:val="28"/>
              </w:rPr>
              <w:t xml:space="preserve">05</w:t>
            </w:r>
          </w:p>
        </w:tc>
        <w:tc>
          <w:tcPr>
            <w:tcW w:type="dxa" w:w="8760"/>
            <w:tcBorders>
              <w:top w:val="single" w:color="E6EFED" w:sz="1"/>
              <w:left w:val="single" w:color="E6EFED" w:sz="1"/>
              <w:bottom w:val="single" w:color="E6EFED" w:sz="1"/>
              <w:right w:val="single" w:color="E6EFED" w:sz="1"/>
            </w:tcBorders>
            <w:shd w:fill="E6EFED" w:val="clear"/>
            <w:tcMar>
              <w:top w:type="dxa" w:w="110"/>
              <w:left w:type="dxa" w:w="160"/>
              <w:bottom w:type="dxa" w:w="110"/>
              <w:right w:type="dxa" w:w="160"/>
            </w:tcMar>
            <w:vAlign w:val="center"/>
          </w:tcPr>
          <w:p>
            <w:r>
              <w:rPr>
                <w:rFonts w:ascii="Arial" w:cs="Arial" w:eastAsia="Arial" w:hAnsi="Arial"/>
                <w:b/>
                <w:bCs/>
                <w:color w:val="004E42"/>
                <w:sz w:val="28"/>
                <w:szCs w:val="28"/>
              </w:rPr>
              <w:t xml:space="preserve">Inputs and Outputs</w:t>
            </w:r>
          </w:p>
        </w:tc>
      </w:tr>
    </w:tbl>
    <w:p>
      <w:pPr>
        <w:spacing w:after="0" w:before="180"/>
      </w:pPr>
    </w:p>
    <w:p>
      <w:pPr>
        <w:spacing w:after="120"/>
      </w:pPr>
      <w:r>
        <w:rPr>
          <w:rFonts w:ascii="Arial" w:cs="Arial" w:eastAsia="Arial" w:hAnsi="Arial"/>
          <w:b/>
          <w:bCs/>
          <w:color w:val="004E42"/>
          <w:sz w:val="22"/>
          <w:szCs w:val="22"/>
        </w:rPr>
        <w:t xml:space="preserve">What CARS receives from the Intent Agent:</w:t>
      </w:r>
    </w:p>
    <w:p>
      <w:pPr>
        <w:spacing w:after="0" w:before="100"/>
      </w:pPr>
    </w:p>
    <w:p>
      <w:pPr>
        <w:shd w:fill="F5F5F5" w:val="clear"/>
        <w:spacing w:after="0"/>
      </w:pPr>
      <w:r>
        <w:rPr>
          <w:rFonts w:ascii="Courier New" w:cs="Courier New" w:eastAsia="Courier New" w:hAnsi="Courier New"/>
          <w:sz w:val="18"/>
          <w:szCs w:val="18"/>
        </w:rPr>
        <w:t xml:space="preserve">{</w:t>
      </w:r>
    </w:p>
    <w:p>
      <w:pPr>
        <w:shd w:fill="F5F5F5" w:val="clear"/>
        <w:spacing w:after="0"/>
      </w:pPr>
      <w:r>
        <w:rPr>
          <w:rFonts w:ascii="Courier New" w:cs="Courier New" w:eastAsia="Courier New" w:hAnsi="Courier New"/>
          <w:sz w:val="18"/>
          <w:szCs w:val="18"/>
        </w:rPr>
        <w:t xml:space="preserve">  "userId": "u_123",</w:t>
      </w:r>
    </w:p>
    <w:p>
      <w:pPr>
        <w:shd w:fill="F5F5F5" w:val="clear"/>
        <w:spacing w:after="0"/>
      </w:pPr>
      <w:r>
        <w:rPr>
          <w:rFonts w:ascii="Courier New" w:cs="Courier New" w:eastAsia="Courier New" w:hAnsi="Courier New"/>
          <w:sz w:val="18"/>
          <w:szCs w:val="18"/>
        </w:rPr>
        <w:t xml:space="preserve">  "intents": [</w:t>
      </w:r>
    </w:p>
    <w:p>
      <w:pPr>
        <w:shd w:fill="F5F5F5" w:val="clear"/>
        <w:spacing w:after="0"/>
      </w:pPr>
      <w:r>
        <w:rPr>
          <w:rFonts w:ascii="Courier New" w:cs="Courier New" w:eastAsia="Courier New" w:hAnsi="Courier New"/>
          <w:sz w:val="18"/>
          <w:szCs w:val="18"/>
        </w:rPr>
        <w:t xml:space="preserve">    { "rank": 1, "intentTitle": "chasing Haaland rookie cards",</w:t>
      </w:r>
    </w:p>
    <w:p>
      <w:pPr>
        <w:shd w:fill="F5F5F5" w:val="clear"/>
        <w:spacing w:after="0"/>
      </w:pPr>
      <w:r>
        <w:rPr>
          <w:rFonts w:ascii="Courier New" w:cs="Courier New" w:eastAsia="Courier New" w:hAnsi="Courier New"/>
          <w:sz w:val="18"/>
          <w:szCs w:val="18"/>
        </w:rPr>
        <w:t xml:space="preserve">      "journeyStage": "ready_to_buy", "evidenceScore": 0.82 },</w:t>
      </w:r>
    </w:p>
    <w:p>
      <w:pPr>
        <w:shd w:fill="F5F5F5" w:val="clear"/>
        <w:spacing w:after="0"/>
      </w:pPr>
      <w:r>
        <w:rPr>
          <w:rFonts w:ascii="Courier New" w:cs="Courier New" w:eastAsia="Courier New" w:hAnsi="Courier New"/>
          <w:sz w:val="18"/>
          <w:szCs w:val="18"/>
        </w:rPr>
        <w:t xml:space="preserve">    { "rank": 2, "intentTitle": "hunting vintage denim",</w:t>
      </w:r>
    </w:p>
    <w:p>
      <w:pPr>
        <w:shd w:fill="F5F5F5" w:val="clear"/>
        <w:spacing w:after="0"/>
      </w:pPr>
      <w:r>
        <w:rPr>
          <w:rFonts w:ascii="Courier New" w:cs="Courier New" w:eastAsia="Courier New" w:hAnsi="Courier New"/>
          <w:sz w:val="18"/>
          <w:szCs w:val="18"/>
        </w:rPr>
        <w:t xml:space="preserve">      "journeyStage": "browsing", "evidenceScore": 0.44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w:t>
      </w:r>
    </w:p>
    <w:p>
      <w:pPr>
        <w:spacing w:after="0" w:before="180"/>
      </w:pPr>
    </w:p>
    <w:p>
      <w:pPr>
        <w:spacing w:after="120"/>
      </w:pPr>
      <w:r>
        <w:rPr>
          <w:rFonts w:ascii="Arial" w:cs="Arial" w:eastAsia="Arial" w:hAnsi="Arial"/>
          <w:b/>
          <w:bCs/>
          <w:color w:val="004E42"/>
          <w:sz w:val="22"/>
          <w:szCs w:val="22"/>
        </w:rPr>
        <w:t xml:space="preserve">What CARS receives from the Creative Inventory (UEP):</w:t>
      </w:r>
    </w:p>
    <w:p>
      <w:pPr>
        <w:spacing w:after="0" w:before="100"/>
      </w:pPr>
    </w:p>
    <w:p>
      <w:pPr>
        <w:shd w:fill="F5F5F5" w:val="clear"/>
        <w:spacing w:after="0"/>
      </w:pPr>
      <w:r>
        <w:rPr>
          <w:rFonts w:ascii="Courier New" w:cs="Courier New" w:eastAsia="Courier New" w:hAnsi="Courier New"/>
          <w:sz w:val="18"/>
          <w:szCs w:val="18"/>
        </w:rPr>
        <w:t xml:space="preserve">{</w:t>
      </w:r>
    </w:p>
    <w:p>
      <w:pPr>
        <w:shd w:fill="F5F5F5" w:val="clear"/>
        <w:spacing w:after="0"/>
      </w:pPr>
      <w:r>
        <w:rPr>
          <w:rFonts w:ascii="Courier New" w:cs="Courier New" w:eastAsia="Courier New" w:hAnsi="Courier New"/>
          <w:sz w:val="18"/>
          <w:szCs w:val="18"/>
        </w:rPr>
        <w:t xml:space="preserve">  "creativeId": "cr_001",</w:t>
      </w:r>
    </w:p>
    <w:p>
      <w:pPr>
        <w:shd w:fill="F5F5F5" w:val="clear"/>
        <w:spacing w:after="0"/>
      </w:pPr>
      <w:r>
        <w:rPr>
          <w:rFonts w:ascii="Courier New" w:cs="Courier New" w:eastAsia="Courier New" w:hAnsi="Courier New"/>
          <w:sz w:val="18"/>
          <w:szCs w:val="18"/>
        </w:rPr>
        <w:t xml:space="preserve">  "title": "Haaland Rookie Cards — Top Picks",</w:t>
      </w:r>
    </w:p>
    <w:p>
      <w:pPr>
        <w:shd w:fill="F5F5F5" w:val="clear"/>
        <w:spacing w:after="0"/>
      </w:pPr>
      <w:r>
        <w:rPr>
          <w:rFonts w:ascii="Courier New" w:cs="Courier New" w:eastAsia="Courier New" w:hAnsi="Courier New"/>
          <w:sz w:val="18"/>
          <w:szCs w:val="18"/>
        </w:rPr>
        <w:t xml:space="preserve">  "category": "Trading Cards",</w:t>
      </w:r>
    </w:p>
    <w:p>
      <w:pPr>
        <w:shd w:fill="F5F5F5" w:val="clear"/>
        <w:spacing w:after="0"/>
      </w:pPr>
      <w:r>
        <w:rPr>
          <w:rFonts w:ascii="Courier New" w:cs="Courier New" w:eastAsia="Courier New" w:hAnsi="Courier New"/>
          <w:sz w:val="18"/>
          <w:szCs w:val="18"/>
        </w:rPr>
        <w:t xml:space="preserve">  "tags": ["football", "rookie"],</w:t>
      </w:r>
    </w:p>
    <w:p>
      <w:pPr>
        <w:shd w:fill="F5F5F5" w:val="clear"/>
        <w:spacing w:after="0"/>
      </w:pPr>
      <w:r>
        <w:rPr>
          <w:rFonts w:ascii="Courier New" w:cs="Courier New" w:eastAsia="Courier New" w:hAnsi="Courier New"/>
          <w:sz w:val="18"/>
          <w:szCs w:val="18"/>
        </w:rPr>
        <w:t xml:space="preserve">  "imageUrl": "https://...",</w:t>
      </w:r>
    </w:p>
    <w:p>
      <w:pPr>
        <w:shd w:fill="F5F5F5" w:val="clear"/>
        <w:spacing w:after="0"/>
      </w:pPr>
      <w:r>
        <w:rPr>
          <w:rFonts w:ascii="Courier New" w:cs="Courier New" w:eastAsia="Courier New" w:hAnsi="Courier New"/>
          <w:sz w:val="18"/>
          <w:szCs w:val="18"/>
        </w:rPr>
        <w:t xml:space="preserve">  "placementTypes": ["hero", "content"],</w:t>
      </w:r>
    </w:p>
    <w:p>
      <w:pPr>
        <w:shd w:fill="F5F5F5" w:val="clear"/>
        <w:spacing w:after="0"/>
      </w:pPr>
      <w:r>
        <w:rPr>
          <w:rFonts w:ascii="Courier New" w:cs="Courier New" w:eastAsia="Courier New" w:hAnsi="Courier New"/>
          <w:sz w:val="18"/>
          <w:szCs w:val="18"/>
        </w:rPr>
        <w:t xml:space="preserve">  "isRequired": false</w:t>
      </w:r>
    </w:p>
    <w:p>
      <w:pPr>
        <w:shd w:fill="F5F5F5" w:val="clear"/>
        <w:spacing w:after="0"/>
      </w:pPr>
      <w:r>
        <w:rPr>
          <w:rFonts w:ascii="Courier New" w:cs="Courier New" w:eastAsia="Courier New" w:hAnsi="Courier New"/>
          <w:sz w:val="18"/>
          <w:szCs w:val="18"/>
        </w:rPr>
        <w:t xml:space="preserve">}</w:t>
      </w:r>
    </w:p>
    <w:p>
      <w:pPr>
        <w:spacing w:after="0" w:before="180"/>
      </w:pPr>
    </w:p>
    <w:p>
      <w:pPr>
        <w:spacing w:after="120"/>
      </w:pPr>
      <w:r>
        <w:rPr>
          <w:rFonts w:ascii="Arial" w:cs="Arial" w:eastAsia="Arial" w:hAnsi="Arial"/>
          <w:b/>
          <w:bCs/>
          <w:color w:val="004E42"/>
          <w:sz w:val="22"/>
          <w:szCs w:val="22"/>
        </w:rPr>
        <w:t xml:space="preserve">What CARS sends to FRAME:</w:t>
      </w:r>
    </w:p>
    <w:p>
      <w:pPr>
        <w:spacing w:after="0" w:before="100"/>
      </w:pPr>
    </w:p>
    <w:p>
      <w:pPr>
        <w:shd w:fill="F5F5F5" w:val="clear"/>
        <w:spacing w:after="0"/>
      </w:pPr>
      <w:r>
        <w:rPr>
          <w:rFonts w:ascii="Courier New" w:cs="Courier New" w:eastAsia="Courier New" w:hAnsi="Courier New"/>
          <w:sz w:val="18"/>
          <w:szCs w:val="18"/>
        </w:rPr>
        <w:t xml:space="preserve">{</w:t>
      </w:r>
    </w:p>
    <w:p>
      <w:pPr>
        <w:shd w:fill="F5F5F5" w:val="clear"/>
        <w:spacing w:after="0"/>
      </w:pPr>
      <w:r>
        <w:rPr>
          <w:rFonts w:ascii="Courier New" w:cs="Courier New" w:eastAsia="Courier New" w:hAnsi="Courier New"/>
          <w:sz w:val="18"/>
          <w:szCs w:val="18"/>
        </w:rPr>
        <w:t xml:space="preserve">  "userId": "u_123",</w:t>
      </w:r>
    </w:p>
    <w:p>
      <w:pPr>
        <w:shd w:fill="F5F5F5" w:val="clear"/>
        <w:spacing w:after="0"/>
      </w:pPr>
      <w:r>
        <w:rPr>
          <w:rFonts w:ascii="Courier New" w:cs="Courier New" w:eastAsia="Courier New" w:hAnsi="Courier New"/>
          <w:sz w:val="18"/>
          <w:szCs w:val="18"/>
        </w:rPr>
        <w:t xml:space="preserve">  "rankedCreatives": [</w:t>
      </w:r>
    </w:p>
    <w:p>
      <w:pPr>
        <w:shd w:fill="F5F5F5" w:val="clear"/>
        <w:spacing w:after="0"/>
      </w:pPr>
      <w:r>
        <w:rPr>
          <w:rFonts w:ascii="Courier New" w:cs="Courier New" w:eastAsia="Courier New" w:hAnsi="Courier New"/>
          <w:sz w:val="18"/>
          <w:szCs w:val="18"/>
        </w:rPr>
        <w:t xml:space="preserve">    { "rank": 1, "creativeId": "cr_001", "overallScore": 0.78,</w:t>
      </w:r>
    </w:p>
    <w:p>
      <w:pPr>
        <w:shd w:fill="F5F5F5" w:val="clear"/>
        <w:spacing w:after="0"/>
      </w:pPr>
      <w:r>
        <w:rPr>
          <w:rFonts w:ascii="Courier New" w:cs="Courier New" w:eastAsia="Courier New" w:hAnsi="Courier New"/>
          <w:sz w:val="18"/>
          <w:szCs w:val="18"/>
        </w:rPr>
        <w:t xml:space="preserve">      "bestMatchIntent": { "intentRank": 1, "matchScore": 0.85 },</w:t>
      </w:r>
    </w:p>
    <w:p>
      <w:pPr>
        <w:shd w:fill="F5F5F5" w:val="clear"/>
        <w:spacing w:after="0"/>
      </w:pPr>
      <w:r>
        <w:rPr>
          <w:rFonts w:ascii="Courier New" w:cs="Courier New" w:eastAsia="Courier New" w:hAnsi="Courier New"/>
          <w:sz w:val="18"/>
          <w:szCs w:val="18"/>
        </w:rPr>
        <w:t xml:space="preserve">      "placementTypes": ["hero", "content"]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"intentCoverage": {</w:t>
      </w:r>
    </w:p>
    <w:p>
      <w:pPr>
        <w:shd w:fill="F5F5F5" w:val="clear"/>
        <w:spacing w:after="0"/>
      </w:pPr>
      <w:r>
        <w:rPr>
          <w:rFonts w:ascii="Courier New" w:cs="Courier New" w:eastAsia="Courier New" w:hAnsi="Courier New"/>
          <w:sz w:val="18"/>
          <w:szCs w:val="18"/>
        </w:rPr>
        <w:t xml:space="preserve">    "1": { "covered": true, "topScore": 0.85 },</w:t>
      </w:r>
    </w:p>
    <w:p>
      <w:pPr>
        <w:shd w:fill="F5F5F5" w:val="clear"/>
        <w:spacing w:after="0"/>
      </w:pPr>
      <w:r>
        <w:rPr>
          <w:rFonts w:ascii="Courier New" w:cs="Courier New" w:eastAsia="Courier New" w:hAnsi="Courier New"/>
          <w:sz w:val="18"/>
          <w:szCs w:val="18"/>
        </w:rPr>
        <w:t xml:space="preserve">    "2": { "covered": false, "topScore": 0.31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"requiredCreatives": [ ... ]</w:t>
      </w:r>
    </w:p>
    <w:p>
      <w:pPr>
        <w:shd w:fill="F5F5F5" w:val="clear"/>
        <w:spacing w:after="0"/>
      </w:pPr>
      <w:r>
        <w:rPr>
          <w:rFonts w:ascii="Courier New" w:cs="Courier New" w:eastAsia="Courier New" w:hAnsi="Courier New"/>
          <w:sz w:val="18"/>
          <w:szCs w:val="18"/>
        </w:rPr>
        <w:t xml:space="preserve">}</w:t>
      </w:r>
    </w:p>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6DCDB8" w:sz="1"/>
              <w:left w:val="single" w:color="6DCDB8" w:sz="1"/>
              <w:bottom w:val="single" w:color="6DCDB8" w:sz="1"/>
              <w:right w:val="single" w:color="6DCDB8" w:sz="1"/>
            </w:tcBorders>
            <w:shd w:fill="004E4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760"/>
            <w:tcBorders>
              <w:top w:val="single" w:color="6DCDB8" w:sz="1"/>
              <w:left w:val="single" w:color="6DCDB8" w:sz="1"/>
              <w:bottom w:val="single" w:color="6DCDB8" w:sz="1"/>
              <w:right w:val="single" w:color="6DCDB8" w:sz="1"/>
            </w:tcBorders>
            <w:shd w:fill="004E42" w:val="clear"/>
            <w:tcMar>
              <w:top w:type="dxa" w:w="80"/>
              <w:left w:type="dxa" w:w="120"/>
              <w:bottom w:type="dxa" w:w="80"/>
              <w:right w:type="dxa" w:w="120"/>
            </w:tcMar>
          </w:tcPr>
          <w:p>
            <w:r>
              <w:rPr>
                <w:rFonts w:ascii="Arial" w:cs="Arial" w:eastAsia="Arial" w:hAnsi="Arial"/>
                <w:b/>
                <w:bCs/>
                <w:color w:val="FFFFFF"/>
                <w:sz w:val="20"/>
                <w:szCs w:val="20"/>
              </w:rPr>
              <w:t xml:space="preserve">What it tells FRAME</w:t>
            </w:r>
          </w:p>
        </w:tc>
      </w:tr>
      <w:tr>
        <w:tc>
          <w:tcPr>
            <w:tcW w:type="dxa" w:w="26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overallScore</w:t>
            </w:r>
          </w:p>
        </w:tc>
        <w:tc>
          <w:tcPr>
            <w:tcW w:type="dxa" w:w="676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Single number to rank by (weighted avg across intents)</w:t>
            </w:r>
          </w:p>
        </w:tc>
      </w:tr>
      <w:tr>
        <w:tc>
          <w:tcPr>
            <w:tcW w:type="dxa" w:w="260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bestMatchIntent</w:t>
            </w:r>
          </w:p>
        </w:tc>
        <w:tc>
          <w:tcPr>
            <w:tcW w:type="dxa" w:w="676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Which intent this creative best serves — useful for narrative</w:t>
            </w:r>
          </w:p>
        </w:tc>
      </w:tr>
      <w:tr>
        <w:tc>
          <w:tcPr>
            <w:tcW w:type="dxa" w:w="26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intentCoverage</w:t>
            </w:r>
          </w:p>
        </w:tc>
        <w:tc>
          <w:tcPr>
            <w:tcW w:type="dxa" w:w="676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Which intents have viable matches and which don’t</w:t>
            </w:r>
          </w:p>
        </w:tc>
      </w:tr>
      <w:tr>
        <w:tc>
          <w:tcPr>
            <w:tcW w:type="dxa" w:w="260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requiredCreatives</w:t>
            </w:r>
          </w:p>
        </w:tc>
        <w:tc>
          <w:tcPr>
            <w:tcW w:type="dxa" w:w="676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Strategic creatives that must appear regardless of score</w:t>
            </w: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FE5000" w:sz="1"/>
              <w:left w:val="single" w:color="FE5000" w:sz="1"/>
              <w:bottom w:val="single" w:color="FE5000" w:sz="1"/>
              <w:right w:val="single" w:color="FE5000" w:sz="1"/>
            </w:tcBorders>
            <w:shd w:fill="FE5000" w:val="clear"/>
            <w:tcMar>
              <w:top w:type="dxa" w:w="110"/>
              <w:left w:type="dxa" w:w="160"/>
              <w:bottom w:type="dxa" w:w="110"/>
              <w:right w:type="dxa" w:w="160"/>
            </w:tcMar>
            <w:vAlign w:val="center"/>
          </w:tcPr>
          <w:p>
            <w:r>
              <w:rPr>
                <w:rFonts w:ascii="Arial" w:cs="Arial" w:eastAsia="Arial" w:hAnsi="Arial"/>
                <w:b/>
                <w:bCs/>
                <w:color w:val="FFFFFF"/>
                <w:sz w:val="28"/>
                <w:szCs w:val="28"/>
              </w:rPr>
              <w:t xml:space="preserve">06</w:t>
            </w:r>
          </w:p>
        </w:tc>
        <w:tc>
          <w:tcPr>
            <w:tcW w:type="dxa" w:w="8760"/>
            <w:tcBorders>
              <w:top w:val="single" w:color="E6EFED" w:sz="1"/>
              <w:left w:val="single" w:color="E6EFED" w:sz="1"/>
              <w:bottom w:val="single" w:color="E6EFED" w:sz="1"/>
              <w:right w:val="single" w:color="E6EFED" w:sz="1"/>
            </w:tcBorders>
            <w:shd w:fill="E6EFED" w:val="clear"/>
            <w:tcMar>
              <w:top w:type="dxa" w:w="110"/>
              <w:left w:type="dxa" w:w="160"/>
              <w:bottom w:type="dxa" w:w="110"/>
              <w:right w:type="dxa" w:w="160"/>
            </w:tcMar>
            <w:vAlign w:val="center"/>
          </w:tcPr>
          <w:p>
            <w:r>
              <w:rPr>
                <w:rFonts w:ascii="Arial" w:cs="Arial" w:eastAsia="Arial" w:hAnsi="Arial"/>
                <w:b/>
                <w:bCs/>
                <w:color w:val="004E42"/>
                <w:sz w:val="28"/>
                <w:szCs w:val="28"/>
              </w:rPr>
              <w:t xml:space="preserve">What We’re Assuming</w:t>
            </w:r>
          </w:p>
        </w:tc>
      </w:tr>
    </w:tbl>
    <w:p>
      <w:pPr>
        <w:spacing w:after="0" w:before="180"/>
      </w:pPr>
    </w:p>
    <w:p>
      <w:pPr>
        <w:spacing w:after="180"/>
      </w:pPr>
      <w:r>
        <w:rPr>
          <w:rFonts w:ascii="Arial" w:cs="Arial" w:eastAsia="Arial" w:hAnsi="Arial"/>
          <w:sz w:val="22"/>
          <w:szCs w:val="22"/>
        </w:rPr>
        <w:t xml:space="preserve">These are the assumptions baked into this design. If any turn out to be wrong, we’ll need to revisit.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800"/>
        <w:gridCol w:w="4160"/>
      </w:tblGrid>
      <w:tr>
        <w:tc>
          <w:tcPr>
            <w:tcW w:type="dxa" w:w="400"/>
            <w:tcBorders>
              <w:top w:val="single" w:color="6DCDB8" w:sz="1"/>
              <w:left w:val="single" w:color="6DCDB8" w:sz="1"/>
              <w:bottom w:val="single" w:color="6DCDB8" w:sz="1"/>
              <w:right w:val="single" w:color="6DCDB8" w:sz="1"/>
            </w:tcBorders>
            <w:shd w:fill="004E4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800"/>
            <w:tcBorders>
              <w:top w:val="single" w:color="6DCDB8" w:sz="1"/>
              <w:left w:val="single" w:color="6DCDB8" w:sz="1"/>
              <w:bottom w:val="single" w:color="6DCDB8" w:sz="1"/>
              <w:right w:val="single" w:color="6DCDB8" w:sz="1"/>
            </w:tcBorders>
            <w:shd w:fill="004E42" w:val="clear"/>
            <w:tcMar>
              <w:top w:type="dxa" w:w="80"/>
              <w:left w:type="dxa" w:w="120"/>
              <w:bottom w:type="dxa" w:w="80"/>
              <w:right w:type="dxa" w:w="120"/>
            </w:tcMar>
          </w:tcPr>
          <w:p>
            <w:r>
              <w:rPr>
                <w:rFonts w:ascii="Arial" w:cs="Arial" w:eastAsia="Arial" w:hAnsi="Arial"/>
                <w:b/>
                <w:bCs/>
                <w:color w:val="FFFFFF"/>
                <w:sz w:val="20"/>
                <w:szCs w:val="20"/>
              </w:rPr>
              <w:t xml:space="preserve">Assumption</w:t>
            </w:r>
          </w:p>
        </w:tc>
        <w:tc>
          <w:tcPr>
            <w:tcW w:type="dxa" w:w="4160"/>
            <w:tcBorders>
              <w:top w:val="single" w:color="6DCDB8" w:sz="1"/>
              <w:left w:val="single" w:color="6DCDB8" w:sz="1"/>
              <w:bottom w:val="single" w:color="6DCDB8" w:sz="1"/>
              <w:right w:val="single" w:color="6DCDB8" w:sz="1"/>
            </w:tcBorders>
            <w:shd w:fill="004E42" w:val="clear"/>
            <w:tcMar>
              <w:top w:type="dxa" w:w="80"/>
              <w:left w:type="dxa" w:w="120"/>
              <w:bottom w:type="dxa" w:w="80"/>
              <w:right w:type="dxa" w:w="120"/>
            </w:tcMar>
          </w:tcPr>
          <w:p>
            <w:r>
              <w:rPr>
                <w:rFonts w:ascii="Arial" w:cs="Arial" w:eastAsia="Arial" w:hAnsi="Arial"/>
                <w:b/>
                <w:bCs/>
                <w:color w:val="FFFFFF"/>
                <w:sz w:val="20"/>
                <w:szCs w:val="20"/>
              </w:rPr>
              <w:t xml:space="preserve">If wrong...</w:t>
            </w:r>
          </w:p>
        </w:tc>
      </w:tr>
      <w:tr>
        <w:tc>
          <w:tcPr>
            <w:tcW w:type="dxa" w:w="4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1</w:t>
            </w:r>
          </w:p>
        </w:tc>
        <w:tc>
          <w:tcPr>
            <w:tcW w:type="dxa" w:w="48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Images are available for most creatives</w:t>
            </w:r>
          </w:p>
        </w:tc>
        <w:tc>
          <w:tcPr>
            <w:tcW w:type="dxa" w:w="416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Fall back to text-only embedding (lower quality)</w:t>
            </w:r>
          </w:p>
        </w:tc>
      </w:tr>
      <w:tr>
        <w:tc>
          <w:tcPr>
            <w:tcW w:type="dxa" w:w="40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2</w:t>
            </w:r>
          </w:p>
        </w:tc>
        <w:tc>
          <w:tcPr>
            <w:tcW w:type="dxa" w:w="480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Creative metadata has title, category, tags at minimum</w:t>
            </w:r>
          </w:p>
        </w:tc>
        <w:tc>
          <w:tcPr>
            <w:tcW w:type="dxa" w:w="416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May need LLM enrichment (adds cost)</w:t>
            </w:r>
          </w:p>
        </w:tc>
      </w:tr>
      <w:tr>
        <w:tc>
          <w:tcPr>
            <w:tcW w:type="dxa" w:w="4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3</w:t>
            </w:r>
          </w:p>
        </w:tc>
        <w:tc>
          <w:tcPr>
            <w:tcW w:type="dxa" w:w="48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One email per user (blending multiple intents)</w:t>
            </w:r>
          </w:p>
        </w:tc>
        <w:tc>
          <w:tcPr>
            <w:tcW w:type="dxa" w:w="416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Output schema changes significantly</w:t>
            </w:r>
          </w:p>
        </w:tc>
      </w:tr>
      <w:tr>
        <w:tc>
          <w:tcPr>
            <w:tcW w:type="dxa" w:w="40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4</w:t>
            </w:r>
          </w:p>
        </w:tc>
        <w:tc>
          <w:tcPr>
            <w:tcW w:type="dxa" w:w="480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Creatives tagged with placement types (Hero, Content)</w:t>
            </w:r>
          </w:p>
        </w:tc>
        <w:tc>
          <w:tcPr>
            <w:tcW w:type="dxa" w:w="416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CARS returns flat list, FRAME infers placement</w:t>
            </w:r>
          </w:p>
        </w:tc>
      </w:tr>
      <w:tr>
        <w:tc>
          <w:tcPr>
            <w:tcW w:type="dxa" w:w="4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5</w:t>
            </w:r>
          </w:p>
        </w:tc>
        <w:tc>
          <w:tcPr>
            <w:tcW w:type="dxa" w:w="48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~1,000 creatives in inventory</w:t>
            </w:r>
          </w:p>
        </w:tc>
        <w:tc>
          <w:tcPr>
            <w:tcW w:type="dxa" w:w="416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If 10K+, we need approximate nearest neighbour</w:t>
            </w:r>
          </w:p>
        </w:tc>
      </w:tr>
      <w:tr>
        <w:tc>
          <w:tcPr>
            <w:tcW w:type="dxa" w:w="40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6</w:t>
            </w:r>
          </w:p>
        </w:tc>
        <w:tc>
          <w:tcPr>
            <w:tcW w:type="dxa" w:w="480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No historical CTR data for POC</w:t>
            </w:r>
          </w:p>
        </w:tc>
        <w:tc>
          <w:tcPr>
            <w:tcW w:type="dxa" w:w="416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Pure semantic ranking, no engagement signal</w:t>
            </w: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FE5000" w:sz="1"/>
              <w:left w:val="single" w:color="FE5000" w:sz="1"/>
              <w:bottom w:val="single" w:color="FE5000" w:sz="1"/>
              <w:right w:val="single" w:color="FE5000" w:sz="1"/>
            </w:tcBorders>
            <w:shd w:fill="FE5000" w:val="clear"/>
            <w:tcMar>
              <w:top w:type="dxa" w:w="110"/>
              <w:left w:type="dxa" w:w="160"/>
              <w:bottom w:type="dxa" w:w="110"/>
              <w:right w:type="dxa" w:w="160"/>
            </w:tcMar>
            <w:vAlign w:val="center"/>
          </w:tcPr>
          <w:p>
            <w:r>
              <w:rPr>
                <w:rFonts w:ascii="Arial" w:cs="Arial" w:eastAsia="Arial" w:hAnsi="Arial"/>
                <w:b/>
                <w:bCs/>
                <w:color w:val="FFFFFF"/>
                <w:sz w:val="28"/>
                <w:szCs w:val="28"/>
              </w:rPr>
              <w:t xml:space="preserve">07</w:t>
            </w:r>
          </w:p>
        </w:tc>
        <w:tc>
          <w:tcPr>
            <w:tcW w:type="dxa" w:w="8760"/>
            <w:tcBorders>
              <w:top w:val="single" w:color="E6EFED" w:sz="1"/>
              <w:left w:val="single" w:color="E6EFED" w:sz="1"/>
              <w:bottom w:val="single" w:color="E6EFED" w:sz="1"/>
              <w:right w:val="single" w:color="E6EFED" w:sz="1"/>
            </w:tcBorders>
            <w:shd w:fill="E6EFED" w:val="clear"/>
            <w:tcMar>
              <w:top w:type="dxa" w:w="110"/>
              <w:left w:type="dxa" w:w="160"/>
              <w:bottom w:type="dxa" w:w="110"/>
              <w:right w:type="dxa" w:w="160"/>
            </w:tcMar>
            <w:vAlign w:val="center"/>
          </w:tcPr>
          <w:p>
            <w:r>
              <w:rPr>
                <w:rFonts w:ascii="Arial" w:cs="Arial" w:eastAsia="Arial" w:hAnsi="Arial"/>
                <w:b/>
                <w:bCs/>
                <w:color w:val="004E42"/>
                <w:sz w:val="28"/>
                <w:szCs w:val="28"/>
              </w:rPr>
              <w:t xml:space="preserve">Boundaries</w:t>
            </w:r>
          </w:p>
        </w:tc>
      </w:tr>
    </w:tbl>
    <w:p>
      <w:pPr>
        <w:spacing w:after="0" w:before="180"/>
      </w:pPr>
    </w:p>
    <w:p>
      <w:pPr>
        <w:spacing w:after="180"/>
      </w:pPr>
      <w:r>
        <w:rPr>
          <w:rFonts w:ascii="Arial" w:cs="Arial" w:eastAsia="Arial" w:hAnsi="Arial"/>
          <w:sz w:val="22"/>
          <w:szCs w:val="22"/>
        </w:rPr>
        <w:t xml:space="preserve">To keep responsibilities clear, here’s what CARS explicitly does not do:</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6DCDB8" w:sz="1"/>
              <w:left w:val="single" w:color="6DCDB8" w:sz="1"/>
              <w:bottom w:val="single" w:color="6DCDB8" w:sz="1"/>
              <w:right w:val="single" w:color="6DCDB8" w:sz="1"/>
            </w:tcBorders>
            <w:shd w:fill="004E42" w:val="clear"/>
            <w:tcMar>
              <w:top w:type="dxa" w:w="80"/>
              <w:left w:type="dxa" w:w="120"/>
              <w:bottom w:type="dxa" w:w="80"/>
              <w:right w:type="dxa" w:w="120"/>
            </w:tcMar>
          </w:tcPr>
          <w:p>
            <w:r>
              <w:rPr>
                <w:rFonts w:ascii="Arial" w:cs="Arial" w:eastAsia="Arial" w:hAnsi="Arial"/>
                <w:b/>
                <w:bCs/>
                <w:color w:val="FFFFFF"/>
                <w:sz w:val="20"/>
                <w:szCs w:val="20"/>
              </w:rPr>
              <w:t xml:space="preserve">Not CARS’ job</w:t>
            </w:r>
          </w:p>
        </w:tc>
        <w:tc>
          <w:tcPr>
            <w:tcW w:type="dxa" w:w="3860"/>
            <w:tcBorders>
              <w:top w:val="single" w:color="6DCDB8" w:sz="1"/>
              <w:left w:val="single" w:color="6DCDB8" w:sz="1"/>
              <w:bottom w:val="single" w:color="6DCDB8" w:sz="1"/>
              <w:right w:val="single" w:color="6DCDB8" w:sz="1"/>
            </w:tcBorders>
            <w:shd w:fill="004E42" w:val="clear"/>
            <w:tcMar>
              <w:top w:type="dxa" w:w="80"/>
              <w:left w:type="dxa" w:w="120"/>
              <w:bottom w:type="dxa" w:w="80"/>
              <w:right w:type="dxa" w:w="120"/>
            </w:tcMar>
          </w:tcPr>
          <w:p>
            <w:r>
              <w:rPr>
                <w:rFonts w:ascii="Arial" w:cs="Arial" w:eastAsia="Arial" w:hAnsi="Arial"/>
                <w:b/>
                <w:bCs/>
                <w:color w:val="FFFFFF"/>
                <w:sz w:val="20"/>
                <w:szCs w:val="20"/>
              </w:rPr>
              <w:t xml:space="preserve">Who owns it</w:t>
            </w:r>
          </w:p>
        </w:tc>
      </w:tr>
      <w:tr>
        <w:tc>
          <w:tcPr>
            <w:tcW w:type="dxa" w:w="55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Assigning creatives to placements (Hero, Content)</w:t>
            </w:r>
          </w:p>
        </w:tc>
        <w:tc>
          <w:tcPr>
            <w:tcW w:type="dxa" w:w="386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FRAME</w:t>
            </w:r>
          </w:p>
        </w:tc>
      </w:tr>
      <w:tr>
        <w:tc>
          <w:tcPr>
            <w:tcW w:type="dxa" w:w="550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Making sure the email tells a coherent story</w:t>
            </w:r>
          </w:p>
        </w:tc>
        <w:tc>
          <w:tcPr>
            <w:tcW w:type="dxa" w:w="386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FRAME</w:t>
            </w:r>
          </w:p>
        </w:tc>
      </w:tr>
      <w:tr>
        <w:tc>
          <w:tcPr>
            <w:tcW w:type="dxa" w:w="55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Applying fatigue rules</w:t>
            </w:r>
          </w:p>
        </w:tc>
        <w:tc>
          <w:tcPr>
            <w:tcW w:type="dxa" w:w="386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TBD — likely upstream or FRAME</w:t>
            </w:r>
          </w:p>
        </w:tc>
      </w:tr>
      <w:tr>
        <w:tc>
          <w:tcPr>
            <w:tcW w:type="dxa" w:w="550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Final send/no-send decision</w:t>
            </w:r>
          </w:p>
        </w:tc>
        <w:tc>
          <w:tcPr>
            <w:tcW w:type="dxa" w:w="386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GOAT / Orchestrator</w:t>
            </w: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FE5000" w:sz="1"/>
              <w:left w:val="single" w:color="FE5000" w:sz="1"/>
              <w:bottom w:val="single" w:color="FE5000" w:sz="1"/>
              <w:right w:val="single" w:color="FE5000" w:sz="1"/>
            </w:tcBorders>
            <w:shd w:fill="FE5000" w:val="clear"/>
            <w:tcMar>
              <w:top w:type="dxa" w:w="110"/>
              <w:left w:type="dxa" w:w="160"/>
              <w:bottom w:type="dxa" w:w="110"/>
              <w:right w:type="dxa" w:w="160"/>
            </w:tcMar>
            <w:vAlign w:val="center"/>
          </w:tcPr>
          <w:p>
            <w:r>
              <w:rPr>
                <w:rFonts w:ascii="Arial" w:cs="Arial" w:eastAsia="Arial" w:hAnsi="Arial"/>
                <w:b/>
                <w:bCs/>
                <w:color w:val="FFFFFF"/>
                <w:sz w:val="28"/>
                <w:szCs w:val="28"/>
              </w:rPr>
              <w:t xml:space="preserve">08</w:t>
            </w:r>
          </w:p>
        </w:tc>
        <w:tc>
          <w:tcPr>
            <w:tcW w:type="dxa" w:w="8760"/>
            <w:tcBorders>
              <w:top w:val="single" w:color="E6EFED" w:sz="1"/>
              <w:left w:val="single" w:color="E6EFED" w:sz="1"/>
              <w:bottom w:val="single" w:color="E6EFED" w:sz="1"/>
              <w:right w:val="single" w:color="E6EFED" w:sz="1"/>
            </w:tcBorders>
            <w:shd w:fill="E6EFED" w:val="clear"/>
            <w:tcMar>
              <w:top w:type="dxa" w:w="110"/>
              <w:left w:type="dxa" w:w="160"/>
              <w:bottom w:type="dxa" w:w="110"/>
              <w:right w:type="dxa" w:w="160"/>
            </w:tcMar>
            <w:vAlign w:val="center"/>
          </w:tcPr>
          <w:p>
            <w:r>
              <w:rPr>
                <w:rFonts w:ascii="Arial" w:cs="Arial" w:eastAsia="Arial" w:hAnsi="Arial"/>
                <w:b/>
                <w:bCs/>
                <w:color w:val="004E42"/>
                <w:sz w:val="28"/>
                <w:szCs w:val="28"/>
              </w:rPr>
              <w:t xml:space="preserve">Open Questions</w:t>
            </w:r>
          </w:p>
        </w:tc>
      </w:tr>
    </w:tbl>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6DCDB8" w:val="clear"/>
          </w:tcPr>
          <w:p/>
        </w:tc>
        <w:tc>
          <w:tcPr>
            <w:tcW w:type="dxa" w:w="9160"/>
            <w:tcBorders>
              <w:top w:val="none" w:color="FFFFFF" w:sz="0"/>
              <w:left w:val="none" w:color="FFFFFF" w:sz="0"/>
              <w:bottom w:val="none" w:color="FFFFFF" w:sz="0"/>
              <w:right w:val="none" w:color="FFFFFF" w:sz="0"/>
            </w:tcBorders>
            <w:shd w:fill="F7FAFA" w:val="clear"/>
            <w:tcMar>
              <w:top w:type="dxa" w:w="140"/>
              <w:left w:type="dxa" w:w="200"/>
              <w:bottom w:type="dxa" w:w="140"/>
              <w:right w:type="dxa" w:w="200"/>
            </w:tcMar>
          </w:tcPr>
          <w:p>
            <w:r>
              <w:rPr>
                <w:rFonts w:ascii="Arial" w:cs="Arial" w:eastAsia="Arial" w:hAnsi="Arial"/>
                <w:color w:val="333333"/>
                <w:sz w:val="22"/>
                <w:szCs w:val="22"/>
              </w:rPr>
              <w:t xml:space="preserve">These are blocking questions. We cannot finalise the design until we get answers.</w:t>
            </w:r>
          </w:p>
        </w:tc>
      </w:tr>
    </w:tbl>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3760"/>
      </w:tblGrid>
      <w:tr>
        <w:tc>
          <w:tcPr>
            <w:tcW w:type="dxa" w:w="400"/>
            <w:tcBorders>
              <w:top w:val="single" w:color="6DCDB8" w:sz="1"/>
              <w:left w:val="single" w:color="6DCDB8" w:sz="1"/>
              <w:bottom w:val="single" w:color="6DCDB8" w:sz="1"/>
              <w:right w:val="single" w:color="6DCDB8" w:sz="1"/>
            </w:tcBorders>
            <w:shd w:fill="004E4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200"/>
            <w:tcBorders>
              <w:top w:val="single" w:color="6DCDB8" w:sz="1"/>
              <w:left w:val="single" w:color="6DCDB8" w:sz="1"/>
              <w:bottom w:val="single" w:color="6DCDB8" w:sz="1"/>
              <w:right w:val="single" w:color="6DCDB8" w:sz="1"/>
            </w:tcBorders>
            <w:shd w:fill="004E42"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760"/>
            <w:tcBorders>
              <w:top w:val="single" w:color="6DCDB8" w:sz="1"/>
              <w:left w:val="single" w:color="6DCDB8" w:sz="1"/>
              <w:bottom w:val="single" w:color="6DCDB8" w:sz="1"/>
              <w:right w:val="single" w:color="6DCDB8" w:sz="1"/>
            </w:tcBorders>
            <w:shd w:fill="004E42" w:val="clear"/>
            <w:tcMar>
              <w:top w:type="dxa" w:w="80"/>
              <w:left w:type="dxa" w:w="120"/>
              <w:bottom w:type="dxa" w:w="80"/>
              <w:right w:type="dxa" w:w="120"/>
            </w:tcMar>
          </w:tcPr>
          <w:p>
            <w:r>
              <w:rPr>
                <w:rFonts w:ascii="Arial" w:cs="Arial" w:eastAsia="Arial" w:hAnsi="Arial"/>
                <w:b/>
                <w:bCs/>
                <w:color w:val="FFFFFF"/>
                <w:sz w:val="20"/>
                <w:szCs w:val="20"/>
              </w:rPr>
              <w:t xml:space="preserve">What it unlocks</w:t>
            </w:r>
          </w:p>
        </w:tc>
      </w:tr>
      <w:tr>
        <w:tc>
          <w:tcPr>
            <w:tcW w:type="dxa" w:w="4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1</w:t>
            </w:r>
          </w:p>
        </w:tc>
        <w:tc>
          <w:tcPr>
            <w:tcW w:type="dxa" w:w="52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Is it one email per user (multi-intent) or one email per intent?</w:t>
            </w:r>
          </w:p>
        </w:tc>
        <w:tc>
          <w:tcPr>
            <w:tcW w:type="dxa" w:w="376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Output schema and scoring aggregation logic</w:t>
            </w:r>
          </w:p>
        </w:tc>
      </w:tr>
      <w:tr>
        <w:tc>
          <w:tcPr>
            <w:tcW w:type="dxa" w:w="40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2</w:t>
            </w:r>
          </w:p>
        </w:tc>
        <w:tc>
          <w:tcPr>
            <w:tcW w:type="dxa" w:w="520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Are creatives already tagged with placement types?</w:t>
            </w:r>
          </w:p>
        </w:tc>
        <w:tc>
          <w:tcPr>
            <w:tcW w:type="dxa" w:w="376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Whether CARS filters by placement or returns flat list</w:t>
            </w:r>
          </w:p>
        </w:tc>
      </w:tr>
      <w:tr>
        <w:tc>
          <w:tcPr>
            <w:tcW w:type="dxa" w:w="4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3</w:t>
            </w:r>
          </w:p>
        </w:tc>
        <w:tc>
          <w:tcPr>
            <w:tcW w:type="dxa" w:w="52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What creative metadata is actually available? Are images available?</w:t>
            </w:r>
          </w:p>
        </w:tc>
        <w:tc>
          <w:tcPr>
            <w:tcW w:type="dxa" w:w="376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Embedding approach — multi-modal vs text-only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a07f4cefe13ec51eeb380f50de7cba9f09705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2026-04-14T12:52:52.704Z</dcterms:created>
  <dcterms:modified xsi:type="dcterms:W3CDTF">2026-04-14T12:52:52.706Z</dcterms:modified>
</cp:coreProperties>
</file>

<file path=docProps/custom.xml><?xml version="1.0" encoding="utf-8"?>
<Properties xmlns="http://schemas.openxmlformats.org/officeDocument/2006/custom-properties" xmlns:vt="http://schemas.openxmlformats.org/officeDocument/2006/docPropsVTypes"/>
</file>