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FE5000"/>
          <w:sz w:val="56"/>
          <w:szCs w:val="56"/>
        </w:rPr>
        <w:t xml:space="preserve">User Intent Agent</w:t>
      </w:r>
    </w:p>
    <w:p>
      <w:pPr>
        <w:spacing w:after="40" w:before="80"/>
      </w:pPr>
      <w:r>
        <w:rPr>
          <w:rFonts w:ascii="Calibri" w:cs="Calibri" w:eastAsia="Calibri" w:hAnsi="Calibri"/>
          <w:color w:val="004E42"/>
          <w:sz w:val="32"/>
          <w:szCs w:val="32"/>
        </w:rPr>
        <w:t xml:space="preserve">Business Approach Document</w:t>
      </w:r>
    </w:p>
    <w:p>
      <w:pPr>
        <w:spacing w:after="0" w:before="60"/>
      </w:pPr>
      <w:r>
        <w:rPr>
          <w:rFonts w:ascii="Calibri" w:cs="Calibri" w:eastAsia="Calibri" w:hAnsi="Calibri"/>
          <w:color w:val="555555"/>
          <w:sz w:val="22"/>
          <w:szCs w:val="22"/>
        </w:rPr>
        <w:t xml:space="preserve">POC  |  CRM Personalisation  |  Internal Review</w:t>
      </w:r>
    </w:p>
    <w:p>
      <w:pPr>
        <w:spacing w:after="160" w:before="0"/>
      </w:pPr>
      <w:r>
        <w:t xml:space="preserve"/>
      </w:r>
    </w:p>
    <w:p>
      <w:pPr>
        <w:pBdr>
          <w:bottom w:val="single" w:color="CCCCCC" w:sz="6" w:space="1"/>
        </w:pBdr>
        <w:spacing w:after="200" w:before="200"/>
      </w:pPr>
      <w:r>
        <w:t xml:space="preserve"/>
      </w:r>
    </w:p>
    <w:p>
      <w:pPr>
        <w:spacing w:after="160" w:before="320"/>
      </w:pPr>
      <w:r>
        <w:rPr>
          <w:rFonts w:ascii="Calibri" w:cs="Calibri" w:eastAsia="Calibri" w:hAnsi="Calibri"/>
          <w:b/>
          <w:bCs/>
          <w:color w:val="FE5000"/>
          <w:sz w:val="36"/>
          <w:szCs w:val="36"/>
        </w:rPr>
        <w:t xml:space="preserve">1. Overview</w:t>
      </w:r>
    </w:p>
    <w:p>
      <w:pPr>
        <w:spacing w:after="120" w:before="0" w:line="300"/>
      </w:pPr>
      <w:r>
        <w:rPr>
          <w:rFonts w:ascii="Calibri" w:cs="Calibri" w:eastAsia="Calibri" w:hAnsi="Calibri"/>
          <w:color w:val="1A1A1A"/>
          <w:sz w:val="22"/>
          <w:szCs w:val="22"/>
        </w:rPr>
        <w:t xml:space="preserve">The User Intent Agent reads a user's recent shopping behaviour and produces a small set of ranked intent records that describe what the user is actually trying to do. Each record carries a short intent description, a journey stage, and a confidence score. These records feed downstream agents (CARS, Content Assembly, Subject Line) so that the personalisation they produce is grounded in actual user mission, not category-level guesses.</w:t>
      </w:r>
    </w:p>
    <w:p>
      <w:pPr>
        <w:spacing w:after="120" w:before="0" w:line="300"/>
      </w:pPr>
      <w:r>
        <w:rPr>
          <w:rFonts w:ascii="Calibri" w:cs="Calibri" w:eastAsia="Calibri" w:hAnsi="Calibri"/>
          <w:color w:val="1A1A1A"/>
          <w:sz w:val="22"/>
          <w:szCs w:val="22"/>
        </w:rPr>
        <w:t xml:space="preserve">Rather than reacting to individual events, the design aims to detect the underlying mission. A user who has searched 'iphone 15 case' multiple times, viewed two specific case models, and added one to cart is not just browsing accessories. They are close to a specific purchase. That distinction is what the agent captures.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DCDB8" w:val="clear"/>
            <w:tcMar>
              <w:top w:type="dxa" w:w="110"/>
              <w:left w:type="dxa" w:w="160"/>
              <w:bottom w:type="dxa" w:w="110"/>
              <w:right w:type="dxa" w:w="160"/>
            </w:tcMar>
            <w:vAlign w:val="center"/>
          </w:tcPr>
          <w:p>
            <w:pPr>
              <w:spacing w:after="0" w:before="0"/>
            </w:pPr>
            <w:r>
              <w:rPr>
                <w:rFonts w:ascii="Calibri" w:cs="Calibri" w:eastAsia="Calibri" w:hAnsi="Calibri"/>
                <w:b/>
                <w:bCs/>
                <w:color w:val="004E42"/>
                <w:sz w:val="22"/>
                <w:szCs w:val="22"/>
              </w:rPr>
              <w:t xml:space="preserve">Why this matters</w:t>
            </w:r>
          </w:p>
        </w:tc>
        <w:tc>
          <w:tcPr>
            <w:tcW w:type="dxa" w:w="7560"/>
            <w:tcBorders>
              <w:top w:val="none" w:color="FFFFFF" w:sz="0"/>
              <w:left w:val="none" w:color="FFFFFF" w:sz="0"/>
              <w:bottom w:val="none" w:color="FFFFFF" w:sz="0"/>
              <w:right w:val="none" w:color="FFFFFF" w:sz="0"/>
            </w:tcBorders>
            <w:shd w:fill="E8F8F5" w:val="clear"/>
            <w:tcMar>
              <w:top w:type="dxa" w:w="110"/>
              <w:left w:type="dxa" w:w="160"/>
              <w:bottom w:type="dxa" w:w="110"/>
              <w:right w:type="dxa" w:w="160"/>
            </w:tcMar>
            <w:vAlign w:val="top"/>
          </w:tcPr>
          <w:p>
            <w:pPr>
              <w:spacing w:after="60" w:before="0" w:line="300"/>
            </w:pPr>
            <w:r>
              <w:rPr>
                <w:rFonts w:ascii="Calibri" w:cs="Calibri" w:eastAsia="Calibri" w:hAnsi="Calibri"/>
                <w:color w:val="1A1A1A"/>
                <w:sz w:val="22"/>
                <w:szCs w:val="22"/>
              </w:rPr>
              <w:t xml:space="preserve">Personalisation today is largely category-level. Without a notion of mission, the system cannot tell the difference between a casual browser and a user about to buy.</w:t>
            </w:r>
          </w:p>
          <w:p>
            <w:pPr>
              <w:spacing w:after="60" w:before="0" w:line="300"/>
            </w:pPr>
            <w:r>
              <w:rPr>
                <w:rFonts w:ascii="Calibri" w:cs="Calibri" w:eastAsia="Calibri" w:hAnsi="Calibri"/>
                <w:color w:val="1A1A1A"/>
                <w:sz w:val="22"/>
                <w:szCs w:val="22"/>
              </w:rPr>
              <w:t xml:space="preserve">Intent records give downstream agents a shared, per-user mission view. The shift from 'here are some cell phone accessories' to 'here is the iPhone case you have been considering' is the business value.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E5000"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POC scope</w:t>
            </w:r>
          </w:p>
        </w:tc>
        <w:tc>
          <w:tcPr>
            <w:tcW w:type="dxa" w:w="7560"/>
            <w:tcBorders>
              <w:top w:val="none" w:color="FFFFFF" w:sz="0"/>
              <w:left w:val="none" w:color="FFFFFF" w:sz="0"/>
              <w:bottom w:val="none" w:color="FFFFFF" w:sz="0"/>
              <w:right w:val="none" w:color="FFFFFF" w:sz="0"/>
            </w:tcBorders>
            <w:shd w:fill="FFF0E8" w:val="clear"/>
            <w:tcMar>
              <w:top w:type="dxa" w:w="110"/>
              <w:left w:type="dxa" w:w="160"/>
              <w:bottom w:type="dxa" w:w="110"/>
              <w:right w:type="dxa" w:w="160"/>
            </w:tcMar>
            <w:vAlign w:val="top"/>
          </w:tcPr>
          <w:p>
            <w:pPr>
              <w:spacing w:after="60" w:before="0" w:line="300"/>
            </w:pPr>
            <w:r>
              <w:rPr>
                <w:rFonts w:ascii="Calibri" w:cs="Calibri" w:eastAsia="Calibri" w:hAnsi="Calibri"/>
                <w:color w:val="1A1A1A"/>
                <w:sz w:val="22"/>
                <w:szCs w:val="22"/>
              </w:rPr>
              <w:t xml:space="preserve">POC focuses on validating the architecture, the signal mix, and the scoring approach end-to-end. Constants in the design (decay rates, signal weights, thresholds) are documented as defaults and explicitly tunable on real data.</w:t>
            </w:r>
          </w:p>
        </w:tc>
      </w:tr>
    </w:tbl>
    <w:p>
      <w:pPr>
        <w:spacing w:after="160" w:before="320"/>
      </w:pPr>
      <w:r>
        <w:rPr>
          <w:rFonts w:ascii="Calibri" w:cs="Calibri" w:eastAsia="Calibri" w:hAnsi="Calibri"/>
          <w:b/>
          <w:bCs/>
          <w:color w:val="FE5000"/>
          <w:sz w:val="36"/>
          <w:szCs w:val="36"/>
        </w:rPr>
        <w:t xml:space="preserve">2. End-to-End Architecture</w:t>
      </w:r>
    </w:p>
    <w:p>
      <w:pPr>
        <w:spacing w:after="120" w:before="0" w:line="300"/>
      </w:pPr>
      <w:r>
        <w:rPr>
          <w:rFonts w:ascii="Calibri" w:cs="Calibri" w:eastAsia="Calibri" w:hAnsi="Calibri"/>
          <w:color w:val="1A1A1A"/>
          <w:sz w:val="22"/>
          <w:szCs w:val="22"/>
        </w:rPr>
        <w:t xml:space="preserve">The pipeline runs as a daily batch in six sequential stages, from raw user events through to the personalised email output. All scoring is deterministic and happens before any LLM call. The LLM receives already-scored, already-clustered signal groups and generates labels only.</w:t>
      </w:r>
    </w:p>
    <w:p>
      <w:pPr>
        <w:spacing w:after="80" w:before="0"/>
      </w:pPr>
      <w:r>
        <w:t xml:space="preserve"/>
      </w:r>
    </w:p>
    <w:p>
      <w:pPr>
        <w:spacing w:after="120" w:before="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10000"/>
                    </a:xfrm>
                    <a:prstGeom prst="rect">
                      <a:avLst/>
                    </a:prstGeom>
                  </pic:spPr>
                </pic:pic>
              </a:graphicData>
            </a:graphic>
          </wp:inline>
        </w:drawing>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Stage</w:t>
            </w:r>
          </w:p>
        </w:tc>
        <w:tc>
          <w:tcPr>
            <w:tcW w:type="dxa" w:w="69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Responsibility</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1  Raw event ingestion</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Reads user behavioural events for the past 90 days. Six signal types: search, view, cart, watchlist, purchase, browse.</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2  Row construction</w:t>
            </w:r>
          </w:p>
        </w:tc>
        <w:tc>
          <w:tcPr>
            <w:tcW w:type="dxa" w:w="6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Aggregates raw events into rows. Each row has embedding text (mission content) and metadata (signal type, count, last seen, category).</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3  Embedding and clustering</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Embeds row text, runs HDBSCAN to find mission clusters. Number of clusters emerges from the data, not preset.</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4  Scoring</w:t>
            </w:r>
          </w:p>
        </w:tc>
        <w:tc>
          <w:tcPr>
            <w:tcW w:type="dxa" w:w="6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Scores each cluster deterministically using recency and consistency. Clusters above threshold qualify as intents.</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5  LLM labelling (Gemini)</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Generates the intent description and journey stage for each qualifying cluster. One call per user.</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6  Intent record and API</w:t>
            </w:r>
          </w:p>
        </w:tc>
        <w:tc>
          <w:tcPr>
            <w:tcW w:type="dxa" w:w="6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Writes the final per-user intent record. API serves intents to CARS, Content Assembly, Subject Line agents.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DCDB8" w:val="clear"/>
            <w:tcMar>
              <w:top w:type="dxa" w:w="110"/>
              <w:left w:type="dxa" w:w="160"/>
              <w:bottom w:type="dxa" w:w="110"/>
              <w:right w:type="dxa" w:w="160"/>
            </w:tcMar>
            <w:vAlign w:val="center"/>
          </w:tcPr>
          <w:p>
            <w:pPr>
              <w:spacing w:after="0" w:before="0"/>
            </w:pPr>
            <w:r>
              <w:rPr>
                <w:rFonts w:ascii="Calibri" w:cs="Calibri" w:eastAsia="Calibri" w:hAnsi="Calibri"/>
                <w:b/>
                <w:bCs/>
                <w:color w:val="004E42"/>
                <w:sz w:val="22"/>
                <w:szCs w:val="22"/>
              </w:rPr>
              <w:t xml:space="preserve">Scope decision</w:t>
            </w:r>
          </w:p>
        </w:tc>
        <w:tc>
          <w:tcPr>
            <w:tcW w:type="dxa" w:w="7560"/>
            <w:tcBorders>
              <w:top w:val="none" w:color="FFFFFF" w:sz="0"/>
              <w:left w:val="none" w:color="FFFFFF" w:sz="0"/>
              <w:bottom w:val="none" w:color="FFFFFF" w:sz="0"/>
              <w:right w:val="none" w:color="FFFFFF" w:sz="0"/>
            </w:tcBorders>
            <w:shd w:fill="E8F8F5" w:val="clear"/>
            <w:tcMar>
              <w:top w:type="dxa" w:w="110"/>
              <w:left w:type="dxa" w:w="160"/>
              <w:bottom w:type="dxa" w:w="110"/>
              <w:right w:type="dxa" w:w="160"/>
            </w:tcMar>
            <w:vAlign w:val="top"/>
          </w:tcPr>
          <w:p>
            <w:pPr>
              <w:spacing w:after="60" w:before="0" w:line="300"/>
            </w:pPr>
            <w:r>
              <w:rPr>
                <w:rFonts w:ascii="Calibri" w:cs="Calibri" w:eastAsia="Calibri" w:hAnsi="Calibri"/>
                <w:color w:val="1A1A1A"/>
                <w:sz w:val="22"/>
                <w:szCs w:val="22"/>
              </w:rPr>
              <w:t xml:space="preserve">The pipeline is category-agnostic by design. Browse signals are captured but only enter clustering under one of the two design modes (covered in Section 4). Past-purchase handling is flagged as an open product question (Section 9).</w:t>
            </w:r>
          </w:p>
        </w:tc>
      </w:tr>
    </w:tbl>
    <w:p>
      <w:pPr>
        <w:spacing w:after="160" w:before="320"/>
      </w:pPr>
      <w:r>
        <w:rPr>
          <w:rFonts w:ascii="Calibri" w:cs="Calibri" w:eastAsia="Calibri" w:hAnsi="Calibri"/>
          <w:b/>
          <w:bCs/>
          <w:color w:val="FE5000"/>
          <w:sz w:val="36"/>
          <w:szCs w:val="36"/>
        </w:rPr>
        <w:t xml:space="preserve">3. Input Signals</w:t>
      </w:r>
    </w:p>
    <w:p>
      <w:pPr>
        <w:spacing w:after="120" w:before="0" w:line="300"/>
      </w:pPr>
      <w:r>
        <w:rPr>
          <w:rFonts w:ascii="Calibri" w:cs="Calibri" w:eastAsia="Calibri" w:hAnsi="Calibri"/>
          <w:color w:val="1A1A1A"/>
          <w:sz w:val="22"/>
          <w:szCs w:val="22"/>
        </w:rPr>
        <w:t xml:space="preserve">All signals come from user activity over a 90-day lookback window. A user must have at least one qualifying event within this window to enter the pipeline. Six signal types are captured.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Signal type</w:t>
            </w:r>
          </w:p>
        </w:tc>
        <w:tc>
          <w:tcPr>
            <w:tcW w:type="dxa" w:w="71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What it tells us</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Search</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Active mission expressed in the user's own words. Strongest text signal because the query string itself carries semantic content.</w:t>
            </w:r>
          </w:p>
        </w:tc>
      </w:tr>
      <w:tr>
        <w:trPr>
          <w:cantSplit/>
        </w:trPr>
        <w:tc>
          <w:tcPr>
            <w:tcW w:type="dxa" w:w="22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Item view</w:t>
            </w:r>
          </w:p>
        </w:tc>
        <w:tc>
          <w:tcPr>
            <w:tcW w:type="dxa" w:w="71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Specific item interest. Repeat views indicate consideration depth.</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Add to cart</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Near-purchase signal. Selection decision made, purchase not yet committed.</w:t>
            </w:r>
          </w:p>
        </w:tc>
      </w:tr>
      <w:tr>
        <w:trPr>
          <w:cantSplit/>
        </w:trPr>
        <w:tc>
          <w:tcPr>
            <w:tcW w:type="dxa" w:w="22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Watchlist</w:t>
            </w:r>
          </w:p>
        </w:tc>
        <w:tc>
          <w:tcPr>
            <w:tcW w:type="dxa" w:w="71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Considered interest. Stronger than a casual view, weaker than cart.</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Purchase</w:t>
            </w:r>
          </w:p>
        </w:tc>
        <w:tc>
          <w:tcPr>
            <w:tcW w:type="dxa" w:w="7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Confirmed interest. Treatment depends on category (replenishables vs durables) -- flagged as open question.</w:t>
            </w:r>
          </w:p>
        </w:tc>
      </w:tr>
      <w:tr>
        <w:trPr>
          <w:cantSplit/>
        </w:trPr>
        <w:tc>
          <w:tcPr>
            <w:tcW w:type="dxa" w:w="22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Browse</w:t>
            </w:r>
          </w:p>
        </w:tc>
        <w:tc>
          <w:tcPr>
            <w:tcW w:type="dxa" w:w="71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Category-level navigation. Vague compared to other signals; included in clustering only under Mode 2 (Section 5).</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E5000"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90-day window</w:t>
            </w:r>
          </w:p>
        </w:tc>
        <w:tc>
          <w:tcPr>
            <w:tcW w:type="dxa" w:w="7560"/>
            <w:tcBorders>
              <w:top w:val="none" w:color="FFFFFF" w:sz="0"/>
              <w:left w:val="none" w:color="FFFFFF" w:sz="0"/>
              <w:bottom w:val="none" w:color="FFFFFF" w:sz="0"/>
              <w:right w:val="none" w:color="FFFFFF" w:sz="0"/>
            </w:tcBorders>
            <w:shd w:fill="FFF0E8" w:val="clear"/>
            <w:tcMar>
              <w:top w:type="dxa" w:w="110"/>
              <w:left w:type="dxa" w:w="160"/>
              <w:bottom w:type="dxa" w:w="110"/>
              <w:right w:type="dxa" w:w="160"/>
            </w:tcMar>
            <w:vAlign w:val="top"/>
          </w:tcPr>
          <w:p>
            <w:pPr>
              <w:spacing w:after="60" w:before="0" w:line="300"/>
            </w:pPr>
            <w:r>
              <w:rPr>
                <w:rFonts w:ascii="Calibri" w:cs="Calibri" w:eastAsia="Calibri" w:hAnsi="Calibri"/>
                <w:color w:val="1A1A1A"/>
                <w:sz w:val="22"/>
                <w:szCs w:val="22"/>
              </w:rPr>
              <w:t xml:space="preserve">90 days is the POC default. Different categories have different repurchase cycles; the right window is category-dependent and will be calibrated on observed user activity cadence post-POC.</w:t>
            </w:r>
          </w:p>
        </w:tc>
      </w:tr>
    </w:tbl>
    <w:p>
      <w:pPr>
        <w:spacing w:after="160" w:before="320"/>
      </w:pPr>
      <w:r>
        <w:rPr>
          <w:rFonts w:ascii="Calibri" w:cs="Calibri" w:eastAsia="Calibri" w:hAnsi="Calibri"/>
          <w:b/>
          <w:bCs/>
          <w:color w:val="FE5000"/>
          <w:sz w:val="36"/>
          <w:szCs w:val="36"/>
        </w:rPr>
        <w:t xml:space="preserve">4. Pre-aggregation Layer</w:t>
      </w:r>
    </w:p>
    <w:p>
      <w:pPr>
        <w:spacing w:after="120" w:before="0" w:line="300"/>
      </w:pPr>
      <w:r>
        <w:rPr>
          <w:rFonts w:ascii="Calibri" w:cs="Calibri" w:eastAsia="Calibri" w:hAnsi="Calibri"/>
          <w:color w:val="1A1A1A"/>
          <w:sz w:val="22"/>
          <w:szCs w:val="22"/>
        </w:rPr>
        <w:t xml:space="preserve">This is the most substantive part of the pipeline and where intent quality is largely determined. It runs as a batch job before any LLM call and has four responsibilities: row construction, embedding, clustering, and scoring. All scoring is deterministic and happens here.</w:t>
      </w:r>
    </w:p>
    <w:p>
      <w:pPr>
        <w:spacing w:after="80" w:before="0"/>
      </w:pPr>
      <w:r>
        <w:t xml:space="preserve"/>
      </w:r>
    </w:p>
    <w:p>
      <w:pPr>
        <w:spacing w:after="120" w:before="240"/>
      </w:pPr>
      <w:r>
        <w:rPr>
          <w:rFonts w:ascii="Calibri" w:cs="Calibri" w:eastAsia="Calibri" w:hAnsi="Calibri"/>
          <w:b/>
          <w:bCs/>
          <w:color w:val="004E42"/>
          <w:sz w:val="26"/>
          <w:szCs w:val="26"/>
        </w:rPr>
        <w:t xml:space="preserve">4.1 Row construction</w:t>
      </w:r>
    </w:p>
    <w:p>
      <w:pPr>
        <w:spacing w:after="120" w:before="0" w:line="300"/>
      </w:pPr>
      <w:r>
        <w:rPr>
          <w:rFonts w:ascii="Calibri" w:cs="Calibri" w:eastAsia="Calibri" w:hAnsi="Calibri"/>
          <w:color w:val="1A1A1A"/>
          <w:sz w:val="22"/>
          <w:szCs w:val="22"/>
        </w:rPr>
        <w:t xml:space="preserve">Raw events are noisy and high-volume. Before clustering, they are aggregated into rows. A row is the unit that goes into clustering, and each row has two parts that travel together but are used by different stages.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80"/>
        <w:gridCol w:w="2680"/>
      </w:tblGrid>
      <w:tr>
        <w:trPr>
          <w:tblHeader/>
        </w:trPr>
        <w:tc>
          <w:tcPr>
            <w:tcW w:type="dxa" w:w="22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Part</w:t>
            </w:r>
          </w:p>
        </w:tc>
        <w:tc>
          <w:tcPr>
            <w:tcW w:type="dxa" w:w="448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Contents</w:t>
            </w:r>
          </w:p>
        </w:tc>
        <w:tc>
          <w:tcPr>
            <w:tcW w:type="dxa" w:w="268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Used by</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Embedding text</w:t>
            </w:r>
          </w:p>
        </w:tc>
        <w:tc>
          <w:tcPr>
            <w:tcW w:type="dxa" w:w="44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The mission content only -- item title or normalised search query.</w:t>
            </w:r>
          </w:p>
        </w:tc>
        <w:tc>
          <w:tcPr>
            <w:tcW w:type="dxa" w:w="26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Embedding and clustering (4.2)</w:t>
            </w:r>
          </w:p>
        </w:tc>
      </w:tr>
      <w:tr>
        <w:trPr>
          <w:cantSplit/>
        </w:trPr>
        <w:tc>
          <w:tcPr>
            <w:tcW w:type="dxa" w:w="22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Metadata</w:t>
            </w:r>
          </w:p>
        </w:tc>
        <w:tc>
          <w:tcPr>
            <w:tcW w:type="dxa" w:w="448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Signal type, event count, days since last seen, category.</w:t>
            </w:r>
          </w:p>
        </w:tc>
        <w:tc>
          <w:tcPr>
            <w:tcW w:type="dxa" w:w="268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Scoring (4.4) and LLM labelling (Section 5)</w:t>
            </w:r>
          </w:p>
        </w:tc>
      </w:tr>
    </w:tbl>
    <w:p>
      <w:pPr>
        <w:spacing w:after="120" w:before="0"/>
      </w:pPr>
      <w:r>
        <w:t xml:space="preserve"/>
      </w:r>
    </w:p>
    <w:p>
      <w:pPr>
        <w:spacing w:after="120" w:before="0" w:line="300"/>
      </w:pPr>
      <w:r>
        <w:rPr>
          <w:rFonts w:ascii="Calibri" w:cs="Calibri" w:eastAsia="Calibri" w:hAnsi="Calibri"/>
          <w:color w:val="1A1A1A"/>
          <w:sz w:val="22"/>
          <w:szCs w:val="22"/>
        </w:rPr>
        <w:t xml:space="preserve">This separation is deliberate. Behavioural information is kept out of the embedding text and lives only in the metadata. This avoids double-counting the same signal in both the cluster geometry and the score.</w:t>
      </w:r>
    </w:p>
    <w:p>
      <w:pPr>
        <w:spacing w:after="80" w:before="0"/>
      </w:pPr>
      <w:r>
        <w:t xml:space="preserve"/>
      </w:r>
    </w:p>
    <w:p>
      <w:pPr>
        <w:spacing w:after="100" w:before="180"/>
      </w:pPr>
      <w:r>
        <w:rPr>
          <w:rFonts w:ascii="Calibri" w:cs="Calibri" w:eastAsia="Calibri" w:hAnsi="Calibri"/>
          <w:b/>
          <w:bCs/>
          <w:color w:val="1A1A1A"/>
          <w:sz w:val="22"/>
          <w:szCs w:val="22"/>
        </w:rPr>
        <w:t xml:space="preserve">Aggregation rules</w:t>
      </w:r>
    </w:p>
    <w:p>
      <w:pPr>
        <w:spacing w:after="120" w:before="0" w:line="300"/>
      </w:pPr>
      <w:r>
        <w:rPr>
          <w:rFonts w:ascii="Calibri" w:cs="Calibri" w:eastAsia="Calibri" w:hAnsi="Calibri"/>
          <w:color w:val="1A1A1A"/>
          <w:sz w:val="22"/>
          <w:szCs w:val="22"/>
        </w:rPr>
        <w:t xml:space="preserve">Different signal types are aggregated differently because their natural keys differ.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Signal</w:t>
            </w:r>
          </w:p>
        </w:tc>
        <w:tc>
          <w:tcPr>
            <w:tcW w:type="dxa" w:w="24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Aggregation key</w:t>
            </w:r>
          </w:p>
        </w:tc>
        <w:tc>
          <w:tcPr>
            <w:tcW w:type="dxa" w:w="54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Notes</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Search</w:t>
            </w:r>
          </w:p>
        </w:tc>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Normalised query string</w:t>
            </w:r>
          </w:p>
        </w:tc>
        <w:tc>
          <w:tcPr>
            <w:tcW w:type="dxa" w:w="54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Lowercase + trim + collapse internal whitespace. Each unique normalised query becomes one row with a count of how many times it was searched.</w:t>
            </w:r>
          </w:p>
        </w:tc>
      </w:tr>
      <w:tr>
        <w:trPr>
          <w:cantSplit/>
        </w:trPr>
        <w:tc>
          <w:tcPr>
            <w:tcW w:type="dxa" w:w="15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View</w:t>
            </w:r>
          </w:p>
        </w:tc>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item_id</w:t>
            </w:r>
          </w:p>
        </w:tc>
        <w:tc>
          <w:tcPr>
            <w:tcW w:type="dxa" w:w="54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All views of the same item collapse to one row. count = total views, last_seen = most recent.</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Cart</w:t>
            </w:r>
          </w:p>
        </w:tc>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item_id</w:t>
            </w:r>
          </w:p>
        </w:tc>
        <w:tc>
          <w:tcPr>
            <w:tcW w:type="dxa" w:w="54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Usually one cart-add per item; count typically 1.</w:t>
            </w:r>
          </w:p>
        </w:tc>
      </w:tr>
      <w:tr>
        <w:trPr>
          <w:cantSplit/>
        </w:trPr>
        <w:tc>
          <w:tcPr>
            <w:tcW w:type="dxa" w:w="15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Watchlist</w:t>
            </w:r>
          </w:p>
        </w:tc>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item_id</w:t>
            </w:r>
          </w:p>
        </w:tc>
        <w:tc>
          <w:tcPr>
            <w:tcW w:type="dxa" w:w="54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Idempotent action; count effectively always 1.</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Purchase</w:t>
            </w:r>
          </w:p>
        </w:tc>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item_id</w:t>
            </w:r>
          </w:p>
        </w:tc>
        <w:tc>
          <w:tcPr>
            <w:tcW w:type="dxa" w:w="54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Multiple purchases of the same item is meaningful (replenishment).</w:t>
            </w:r>
          </w:p>
        </w:tc>
      </w:tr>
      <w:tr>
        <w:trPr>
          <w:cantSplit/>
        </w:trPr>
        <w:tc>
          <w:tcPr>
            <w:tcW w:type="dxa" w:w="15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Browse</w:t>
            </w:r>
          </w:p>
        </w:tc>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category-path</w:t>
            </w:r>
          </w:p>
        </w:tc>
        <w:tc>
          <w:tcPr>
            <w:tcW w:type="dxa" w:w="54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Only used in Mode 2 clustering (4.2).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DCDB8" w:val="clear"/>
            <w:tcMar>
              <w:top w:type="dxa" w:w="110"/>
              <w:left w:type="dxa" w:w="160"/>
              <w:bottom w:type="dxa" w:w="110"/>
              <w:right w:type="dxa" w:w="160"/>
            </w:tcMar>
            <w:vAlign w:val="center"/>
          </w:tcPr>
          <w:p>
            <w:pPr>
              <w:spacing w:after="0" w:before="0"/>
            </w:pPr>
            <w:r>
              <w:rPr>
                <w:rFonts w:ascii="Calibri" w:cs="Calibri" w:eastAsia="Calibri" w:hAnsi="Calibri"/>
                <w:b/>
                <w:bCs/>
                <w:color w:val="004E42"/>
                <w:sz w:val="22"/>
                <w:szCs w:val="22"/>
              </w:rPr>
              <w:t xml:space="preserve">Search normalisation -- what we don't catch</w:t>
            </w:r>
          </w:p>
        </w:tc>
        <w:tc>
          <w:tcPr>
            <w:tcW w:type="dxa" w:w="7560"/>
            <w:tcBorders>
              <w:top w:val="none" w:color="FFFFFF" w:sz="0"/>
              <w:left w:val="none" w:color="FFFFFF" w:sz="0"/>
              <w:bottom w:val="none" w:color="FFFFFF" w:sz="0"/>
              <w:right w:val="none" w:color="FFFFFF" w:sz="0"/>
            </w:tcBorders>
            <w:shd w:fill="E8F8F5" w:val="clear"/>
            <w:tcMar>
              <w:top w:type="dxa" w:w="110"/>
              <w:left w:type="dxa" w:w="160"/>
              <w:bottom w:type="dxa" w:w="110"/>
              <w:right w:type="dxa" w:w="160"/>
            </w:tcMar>
            <w:vAlign w:val="top"/>
          </w:tcPr>
          <w:p>
            <w:pPr>
              <w:spacing w:after="60" w:before="0" w:line="300"/>
            </w:pPr>
            <w:r>
              <w:rPr>
                <w:rFonts w:ascii="Calibri" w:cs="Calibri" w:eastAsia="Calibri" w:hAnsi="Calibri"/>
                <w:color w:val="1A1A1A"/>
                <w:sz w:val="22"/>
                <w:szCs w:val="22"/>
              </w:rPr>
              <w:t xml:space="preserve">Typos, word reordering, and synonyms remain separate rows. We deliberately avoid edit-distance or token-sorting normalisation -- both have failure modes (e.g., token sorting conflates 'running shoes for women' and 'women running shoes' but breaks 'case for iphone' vs 'iphone case' inconsistently).</w:t>
            </w:r>
          </w:p>
          <w:p>
            <w:pPr>
              <w:spacing w:after="60" w:before="0" w:line="300"/>
            </w:pPr>
            <w:r>
              <w:rPr>
                <w:rFonts w:ascii="Calibri" w:cs="Calibri" w:eastAsia="Calibri" w:hAnsi="Calibri"/>
                <w:color w:val="1A1A1A"/>
                <w:sz w:val="22"/>
                <w:szCs w:val="22"/>
              </w:rPr>
              <w:t xml:space="preserve">Variants that don't normalise together still cluster together at the embedding step because sentence embedders are robust to typos and phrasing differences. Cluster-level breadth partially compensates for fragmented per-row counts.</w:t>
            </w:r>
          </w:p>
        </w:tc>
      </w:tr>
    </w:tbl>
    <w:p>
      <w:pPr>
        <w:spacing w:after="120" w:before="0"/>
      </w:pPr>
      <w:r>
        <w:t xml:space="preserve"/>
      </w:r>
    </w:p>
    <w:p>
      <w:pPr>
        <w:spacing w:after="120" w:before="240"/>
      </w:pPr>
      <w:r>
        <w:rPr>
          <w:rFonts w:ascii="Calibri" w:cs="Calibri" w:eastAsia="Calibri" w:hAnsi="Calibri"/>
          <w:b/>
          <w:bCs/>
          <w:color w:val="004E42"/>
          <w:sz w:val="26"/>
          <w:szCs w:val="26"/>
        </w:rPr>
        <w:t xml:space="preserve">4.2 Embedding and clustering</w:t>
      </w:r>
    </w:p>
    <w:p>
      <w:pPr>
        <w:spacing w:after="120" w:before="0" w:line="300"/>
      </w:pPr>
      <w:r>
        <w:rPr>
          <w:rFonts w:ascii="Calibri" w:cs="Calibri" w:eastAsia="Calibri" w:hAnsi="Calibri"/>
          <w:color w:val="1A1A1A"/>
          <w:sz w:val="22"/>
          <w:szCs w:val="22"/>
        </w:rPr>
        <w:t xml:space="preserve">Each row's embedding text is converted to a vector using an off-the-shelf sentence embedding model. HDBSCAN then groups these vectors into mission clusters. The number of clusters per user emerges from the data; no K is set in advance. Rows that don't fit any cluster are labelled noise and excluded.</w:t>
      </w:r>
    </w:p>
    <w:p>
      <w:pPr>
        <w:spacing w:after="80" w:before="0"/>
      </w:pPr>
      <w:r>
        <w:t xml:space="preserve"/>
      </w:r>
    </w:p>
    <w:p>
      <w:pPr>
        <w:spacing w:after="100" w:before="180"/>
      </w:pPr>
      <w:r>
        <w:rPr>
          <w:rFonts w:ascii="Calibri" w:cs="Calibri" w:eastAsia="Calibri" w:hAnsi="Calibri"/>
          <w:b/>
          <w:bCs/>
          <w:color w:val="1A1A1A"/>
          <w:sz w:val="22"/>
          <w:szCs w:val="22"/>
        </w:rPr>
        <w:t xml:space="preserve">Design option: category augmentation</w:t>
      </w:r>
    </w:p>
    <w:p>
      <w:pPr>
        <w:spacing w:after="120" w:before="0" w:line="300"/>
      </w:pPr>
      <w:r>
        <w:rPr>
          <w:rFonts w:ascii="Calibri" w:cs="Calibri" w:eastAsia="Calibri" w:hAnsi="Calibri"/>
          <w:color w:val="1A1A1A"/>
          <w:sz w:val="22"/>
          <w:szCs w:val="22"/>
        </w:rPr>
        <w:t xml:space="preserve">There are two viable formats for the embedding text. They produce different clustering behaviour and serve different downstream needs. The doc presents both; the choice is validated empirically on POC data.</w:t>
      </w:r>
    </w:p>
    <w:p>
      <w:pPr>
        <w:spacing w:after="80" w:before="0"/>
      </w:pPr>
      <w:r>
        <w:t xml:space="preserve"/>
      </w:r>
    </w:p>
    <w:p>
      <w:pPr>
        <w:spacing w:after="80" w:before="0" w:line="300"/>
      </w:pPr>
      <w:r>
        <w:rPr>
          <w:rFonts w:ascii="Calibri" w:cs="Calibri" w:eastAsia="Calibri" w:hAnsi="Calibri"/>
          <w:b/>
          <w:bCs/>
          <w:color w:val="1A1A1A"/>
          <w:sz w:val="22"/>
          <w:szCs w:val="22"/>
        </w:rPr>
        <w:t xml:space="preserve">Mode 1 -- Title only</w:t>
      </w:r>
    </w:p>
    <w:p>
      <w:pPr>
        <w:spacing w:after="120" w:before="0" w:line="300"/>
      </w:pPr>
      <w:r>
        <w:rPr>
          <w:rFonts w:ascii="Calibri" w:cs="Calibri" w:eastAsia="Calibri" w:hAnsi="Calibri"/>
          <w:color w:val="1A1A1A"/>
          <w:sz w:val="22"/>
          <w:szCs w:val="22"/>
        </w:rPr>
        <w:t xml:space="preserve">Embedding text is the item title (or normalised search query) only. No category appended. Browse signals are excluded from clustering because they have no item title to embed.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40" w:before="0" w:line="260"/>
            </w:pPr>
            <w:r>
              <w:rPr>
                <w:rFonts w:ascii="Consolas" w:cs="Consolas" w:eastAsia="Consolas" w:hAnsi="Consolas"/>
                <w:color w:val="1A1A1A"/>
                <w:sz w:val="20"/>
                <w:szCs w:val="20"/>
              </w:rPr>
              <w:t xml:space="preserve">r1: "iphone 15 case"</w:t>
            </w:r>
          </w:p>
          <w:p>
            <w:pPr>
              <w:spacing w:after="40" w:before="0" w:line="260"/>
            </w:pPr>
            <w:r>
              <w:rPr>
                <w:rFonts w:ascii="Consolas" w:cs="Consolas" w:eastAsia="Consolas" w:hAnsi="Consolas"/>
                <w:color w:val="1A1A1A"/>
                <w:sz w:val="20"/>
                <w:szCs w:val="20"/>
              </w:rPr>
              <w:t xml:space="preserve">r2: "OtterBox Defender iPhone 15 Case Black"</w:t>
            </w:r>
          </w:p>
          <w:p>
            <w:pPr>
              <w:spacing w:after="40" w:before="0" w:line="260"/>
            </w:pPr>
            <w:r>
              <w:rPr>
                <w:rFonts w:ascii="Consolas" w:cs="Consolas" w:eastAsia="Consolas" w:hAnsi="Consolas"/>
                <w:color w:val="1A1A1A"/>
                <w:sz w:val="20"/>
                <w:szCs w:val="20"/>
              </w:rPr>
              <w:t xml:space="preserve">r3: "iPhone 15 Pro 256GB Natural Titanium"</w:t>
            </w:r>
          </w:p>
          <w:p>
            <w:pPr>
              <w:spacing w:after="40" w:before="0" w:line="260"/>
            </w:pPr>
            <w:r>
              <w:rPr>
                <w:rFonts w:ascii="Consolas" w:cs="Consolas" w:eastAsia="Consolas" w:hAnsi="Consolas"/>
                <w:color w:val="1A1A1A"/>
                <w:sz w:val="20"/>
                <w:szCs w:val="20"/>
              </w:rPr>
              <w:t xml:space="preserve">r4: "Galaxy S25 Ultra 512GB"</w:t>
            </w:r>
          </w:p>
        </w:tc>
      </w:tr>
    </w:tbl>
    <w:p>
      <w:pPr>
        <w:spacing w:after="80" w:before="0"/>
      </w:pPr>
      <w:r>
        <w:t xml:space="preserve"/>
      </w:r>
    </w:p>
    <w:p>
      <w:pPr>
        <w:spacing w:after="120" w:before="0" w:line="300"/>
      </w:pPr>
      <w:r>
        <w:rPr>
          <w:rFonts w:ascii="Calibri" w:cs="Calibri" w:eastAsia="Calibri" w:hAnsi="Calibri"/>
          <w:color w:val="1A1A1A"/>
          <w:sz w:val="22"/>
          <w:szCs w:val="22"/>
        </w:rPr>
        <w:t xml:space="preserve">Cluster behaviour: granular. Items with shared brand/model tokens cluster tightly. iPhone activity and Samsung activity become two separate clusters. Best for specific personalisation where downstream consumers want item-level missions.</w:t>
      </w:r>
    </w:p>
    <w:p>
      <w:pPr>
        <w:spacing w:after="80" w:before="0"/>
      </w:pPr>
      <w:r>
        <w:t xml:space="preserve"/>
      </w:r>
    </w:p>
    <w:p>
      <w:pPr>
        <w:spacing w:after="80" w:before="0" w:line="300"/>
      </w:pPr>
      <w:r>
        <w:rPr>
          <w:rFonts w:ascii="Calibri" w:cs="Calibri" w:eastAsia="Calibri" w:hAnsi="Calibri"/>
          <w:b/>
          <w:bCs/>
          <w:color w:val="1A1A1A"/>
          <w:sz w:val="22"/>
          <w:szCs w:val="22"/>
        </w:rPr>
        <w:t xml:space="preserve">Mode 2 -- Title plus category appended</w:t>
      </w:r>
    </w:p>
    <w:p>
      <w:pPr>
        <w:spacing w:after="120" w:before="0" w:line="300"/>
      </w:pPr>
      <w:r>
        <w:rPr>
          <w:rFonts w:ascii="Calibri" w:cs="Calibri" w:eastAsia="Calibri" w:hAnsi="Calibri"/>
          <w:color w:val="1A1A1A"/>
          <w:sz w:val="22"/>
          <w:szCs w:val="22"/>
        </w:rPr>
        <w:t xml:space="preserve">Embedding text combines item title with the category path. Browse rows enter clustering as category-only rows.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40" w:before="0" w:line="260"/>
            </w:pPr>
            <w:r>
              <w:rPr>
                <w:rFonts w:ascii="Consolas" w:cs="Consolas" w:eastAsia="Consolas" w:hAnsi="Consolas"/>
                <w:color w:val="1A1A1A"/>
                <w:sz w:val="20"/>
                <w:szCs w:val="20"/>
              </w:rPr>
              <w:t xml:space="preserve">r1: "iphone 15 case | Cell Phone Accessories &gt; Cases"</w:t>
            </w:r>
          </w:p>
          <w:p>
            <w:pPr>
              <w:spacing w:after="40" w:before="0" w:line="260"/>
            </w:pPr>
            <w:r>
              <w:rPr>
                <w:rFonts w:ascii="Consolas" w:cs="Consolas" w:eastAsia="Consolas" w:hAnsi="Consolas"/>
                <w:color w:val="1A1A1A"/>
                <w:sz w:val="20"/>
                <w:szCs w:val="20"/>
              </w:rPr>
              <w:t xml:space="preserve">r2: "OtterBox Defender iPhone 15 Case Black | Cell Phone Accessories &gt; Cases"</w:t>
            </w:r>
          </w:p>
          <w:p>
            <w:pPr>
              <w:spacing w:after="40" w:before="0" w:line="260"/>
            </w:pPr>
            <w:r>
              <w:rPr>
                <w:rFonts w:ascii="Consolas" w:cs="Consolas" w:eastAsia="Consolas" w:hAnsi="Consolas"/>
                <w:color w:val="1A1A1A"/>
                <w:sz w:val="20"/>
                <w:szCs w:val="20"/>
              </w:rPr>
              <w:t xml:space="preserve">r3: "iPhone 15 Pro 256GB Natural Titanium | Cell Phones &amp; Smartphones"</w:t>
            </w:r>
          </w:p>
          <w:p>
            <w:pPr>
              <w:spacing w:after="40" w:before="0" w:line="260"/>
            </w:pPr>
            <w:r>
              <w:rPr>
                <w:rFonts w:ascii="Consolas" w:cs="Consolas" w:eastAsia="Consolas" w:hAnsi="Consolas"/>
                <w:color w:val="1A1A1A"/>
                <w:sz w:val="20"/>
                <w:szCs w:val="20"/>
              </w:rPr>
              <w:t xml:space="preserve">r4: "Galaxy S25 Ultra 512GB | Cell Phones &amp; Smartphones"</w:t>
            </w:r>
          </w:p>
          <w:p>
            <w:pPr>
              <w:spacing w:after="40" w:before="0" w:line="260"/>
            </w:pPr>
            <w:r>
              <w:rPr>
                <w:rFonts w:ascii="Consolas" w:cs="Consolas" w:eastAsia="Consolas" w:hAnsi="Consolas"/>
                <w:color w:val="1A1A1A"/>
                <w:sz w:val="20"/>
                <w:szCs w:val="20"/>
              </w:rPr>
              <w:t xml:space="preserve">r5: "Cell Phones &amp; Smartphones"   (browse row)</w:t>
            </w:r>
          </w:p>
        </w:tc>
      </w:tr>
    </w:tbl>
    <w:p>
      <w:pPr>
        <w:spacing w:after="80" w:before="0"/>
      </w:pPr>
      <w:r>
        <w:t xml:space="preserve"/>
      </w:r>
    </w:p>
    <w:p>
      <w:pPr>
        <w:spacing w:after="120" w:before="0" w:line="300"/>
      </w:pPr>
      <w:r>
        <w:rPr>
          <w:rFonts w:ascii="Calibri" w:cs="Calibri" w:eastAsia="Calibri" w:hAnsi="Calibri"/>
          <w:color w:val="1A1A1A"/>
          <w:sz w:val="22"/>
          <w:szCs w:val="22"/>
        </w:rPr>
        <w:t xml:space="preserve">Cluster behaviour: broader. Category tokens act as a clustering scaffold. iPhone and Samsung activity may merge into one smartphone cluster. Browse rows reinforce existing clusters at low weight. Best for broader category-level targeting.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E5000"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Tradeoff in one line</w:t>
            </w:r>
          </w:p>
        </w:tc>
        <w:tc>
          <w:tcPr>
            <w:tcW w:type="dxa" w:w="7560"/>
            <w:tcBorders>
              <w:top w:val="none" w:color="FFFFFF" w:sz="0"/>
              <w:left w:val="none" w:color="FFFFFF" w:sz="0"/>
              <w:bottom w:val="none" w:color="FFFFFF" w:sz="0"/>
              <w:right w:val="none" w:color="FFFFFF" w:sz="0"/>
            </w:tcBorders>
            <w:shd w:fill="FFF0E8" w:val="clear"/>
            <w:tcMar>
              <w:top w:type="dxa" w:w="110"/>
              <w:left w:type="dxa" w:w="160"/>
              <w:bottom w:type="dxa" w:w="110"/>
              <w:right w:type="dxa" w:w="160"/>
            </w:tcMar>
            <w:vAlign w:val="top"/>
          </w:tcPr>
          <w:p>
            <w:pPr>
              <w:spacing w:after="60" w:before="0" w:line="300"/>
            </w:pPr>
            <w:r>
              <w:rPr>
                <w:rFonts w:ascii="Calibri" w:cs="Calibri" w:eastAsia="Calibri" w:hAnsi="Calibri"/>
                <w:color w:val="1A1A1A"/>
                <w:sz w:val="22"/>
                <w:szCs w:val="22"/>
              </w:rPr>
              <w:t xml:space="preserve">Title-only preserves mission distinctness at the cost of cluster tightness. Title+category produces tighter clusters at the cost of merging distinct missions within the same category.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DCDB8" w:val="clear"/>
            <w:tcMar>
              <w:top w:type="dxa" w:w="110"/>
              <w:left w:type="dxa" w:w="160"/>
              <w:bottom w:type="dxa" w:w="110"/>
              <w:right w:type="dxa" w:w="160"/>
            </w:tcMar>
            <w:vAlign w:val="center"/>
          </w:tcPr>
          <w:p>
            <w:pPr>
              <w:spacing w:after="0" w:before="0"/>
            </w:pPr>
            <w:r>
              <w:rPr>
                <w:rFonts w:ascii="Calibri" w:cs="Calibri" w:eastAsia="Calibri" w:hAnsi="Calibri"/>
                <w:b/>
                <w:bCs/>
                <w:color w:val="004E42"/>
                <w:sz w:val="22"/>
                <w:szCs w:val="22"/>
              </w:rPr>
              <w:t xml:space="preserve">POC plan</w:t>
            </w:r>
          </w:p>
        </w:tc>
        <w:tc>
          <w:tcPr>
            <w:tcW w:type="dxa" w:w="7560"/>
            <w:tcBorders>
              <w:top w:val="none" w:color="FFFFFF" w:sz="0"/>
              <w:left w:val="none" w:color="FFFFFF" w:sz="0"/>
              <w:bottom w:val="none" w:color="FFFFFF" w:sz="0"/>
              <w:right w:val="none" w:color="FFFFFF" w:sz="0"/>
            </w:tcBorders>
            <w:shd w:fill="E8F8F5" w:val="clear"/>
            <w:tcMar>
              <w:top w:type="dxa" w:w="110"/>
              <w:left w:type="dxa" w:w="160"/>
              <w:bottom w:type="dxa" w:w="110"/>
              <w:right w:type="dxa" w:w="160"/>
            </w:tcMar>
            <w:vAlign w:val="top"/>
          </w:tcPr>
          <w:p>
            <w:pPr>
              <w:spacing w:after="60" w:before="0" w:line="300"/>
            </w:pPr>
            <w:r>
              <w:rPr>
                <w:rFonts w:ascii="Calibri" w:cs="Calibri" w:eastAsia="Calibri" w:hAnsi="Calibri"/>
                <w:color w:val="1A1A1A"/>
                <w:sz w:val="22"/>
                <w:szCs w:val="22"/>
              </w:rPr>
              <w:t xml:space="preserve">Run both modes on the same sample of approximately 200 users. Compare cluster coherence, count distribution, and downstream usefulness. Default hypothesis: Mode 1, because preserving mission distinctness aligns with what CARS and the labelling agents need.</w:t>
            </w:r>
          </w:p>
        </w:tc>
      </w:tr>
    </w:tbl>
    <w:p>
      <w:pPr>
        <w:spacing w:after="120" w:before="0"/>
      </w:pPr>
      <w:r>
        <w:t xml:space="preserve"/>
      </w:r>
    </w:p>
    <w:p>
      <w:pPr>
        <w:spacing w:after="100" w:before="180"/>
      </w:pPr>
      <w:r>
        <w:rPr>
          <w:rFonts w:ascii="Calibri" w:cs="Calibri" w:eastAsia="Calibri" w:hAnsi="Calibri"/>
          <w:b/>
          <w:bCs/>
          <w:color w:val="1A1A1A"/>
          <w:sz w:val="22"/>
          <w:szCs w:val="22"/>
        </w:rPr>
        <w:t xml:space="preserve">Clustering with HDBSCAN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Property</w:t>
            </w:r>
          </w:p>
        </w:tc>
        <w:tc>
          <w:tcPr>
            <w:tcW w:type="dxa" w:w="69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Effect</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Algorithm</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HDBSCAN -- finds dense regions in vector space without requiring a preset K.</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min_cluster_size</w:t>
            </w:r>
          </w:p>
        </w:tc>
        <w:tc>
          <w:tcPr>
            <w:tcW w:type="dxa" w:w="6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Default 2 (tunable on POC data). Single-row clusters do not become intents.</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Noise handling</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Rows that don't fit any cluster are excluded. Per-user noise rate is logged as a quality metric.</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Cross-category merging</w:t>
            </w:r>
          </w:p>
        </w:tc>
        <w:tc>
          <w:tcPr>
            <w:tcW w:type="dxa" w:w="6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Possible -- semantically similar items from different categories can cluster together.</w:t>
            </w:r>
          </w:p>
        </w:tc>
      </w:tr>
    </w:tbl>
    <w:p>
      <w:pPr>
        <w:spacing w:after="120" w:before="0"/>
      </w:pPr>
      <w:r>
        <w:t xml:space="preserve"/>
      </w:r>
    </w:p>
    <w:p>
      <w:pPr>
        <w:spacing w:after="120" w:before="240"/>
      </w:pPr>
      <w:r>
        <w:rPr>
          <w:rFonts w:ascii="Calibri" w:cs="Calibri" w:eastAsia="Calibri" w:hAnsi="Calibri"/>
          <w:b/>
          <w:bCs/>
          <w:color w:val="004E42"/>
          <w:sz w:val="26"/>
          <w:szCs w:val="26"/>
        </w:rPr>
        <w:t xml:space="preserve">4.3 Scoring</w:t>
      </w:r>
    </w:p>
    <w:p>
      <w:pPr>
        <w:spacing w:after="120" w:before="0" w:line="300"/>
      </w:pPr>
      <w:r>
        <w:rPr>
          <w:rFonts w:ascii="Calibri" w:cs="Calibri" w:eastAsia="Calibri" w:hAnsi="Calibri"/>
          <w:color w:val="1A1A1A"/>
          <w:sz w:val="22"/>
          <w:szCs w:val="22"/>
        </w:rPr>
        <w:t xml:space="preserve">Once a user's clusters are formed, each cluster is scored. The score answers: how strong is the evidence that this cluster represents a real, current intent? It has two components -- recency and consistency -- and both must be present. The LLM never sees the score calculation and never modifies scores.</w:t>
      </w:r>
    </w:p>
    <w:p>
      <w:pPr>
        <w:spacing w:after="80" w:before="0"/>
      </w:pPr>
      <w:r>
        <w:t xml:space="preserve"/>
      </w:r>
    </w:p>
    <w:p>
      <w:pPr>
        <w:spacing w:after="100" w:before="180"/>
      </w:pPr>
      <w:r>
        <w:rPr>
          <w:rFonts w:ascii="Calibri" w:cs="Calibri" w:eastAsia="Calibri" w:hAnsi="Calibri"/>
          <w:b/>
          <w:bCs/>
          <w:color w:val="1A1A1A"/>
          <w:sz w:val="22"/>
          <w:szCs w:val="22"/>
        </w:rPr>
        <w:t xml:space="preserve">Per-row weight</w:t>
      </w:r>
    </w:p>
    <w:p>
      <w:pPr>
        <w:spacing w:after="120" w:before="0" w:line="300"/>
      </w:pPr>
      <w:r>
        <w:rPr>
          <w:rFonts w:ascii="Calibri" w:cs="Calibri" w:eastAsia="Calibri" w:hAnsi="Calibri"/>
          <w:color w:val="1A1A1A"/>
          <w:sz w:val="22"/>
          <w:szCs w:val="22"/>
        </w:rPr>
        <w:t xml:space="preserve">Each row contributes a weight that combines its signal type and its event count.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40" w:before="0" w:line="260"/>
            </w:pPr>
            <w:r>
              <w:rPr>
                <w:rFonts w:ascii="Consolas" w:cs="Consolas" w:eastAsia="Consolas" w:hAnsi="Consolas"/>
                <w:color w:val="1A1A1A"/>
                <w:sz w:val="20"/>
                <w:szCs w:val="20"/>
              </w:rPr>
              <w:t xml:space="preserve">row_weight = signal_weight[signal_type]  ×  log(1 + count)</w:t>
            </w:r>
          </w:p>
        </w:tc>
      </w:tr>
    </w:tbl>
    <w:p>
      <w:pPr>
        <w:spacing w:after="80" w:before="0"/>
      </w:pPr>
      <w:r>
        <w:t xml:space="preserve"/>
      </w:r>
    </w:p>
    <w:p>
      <w:pPr>
        <w:spacing w:after="120" w:before="0" w:line="300"/>
      </w:pPr>
      <w:r>
        <w:rPr>
          <w:rFonts w:ascii="Calibri" w:cs="Calibri" w:eastAsia="Calibri" w:hAnsi="Calibri"/>
          <w:color w:val="1A1A1A"/>
          <w:sz w:val="22"/>
          <w:szCs w:val="22"/>
        </w:rPr>
        <w:t xml:space="preserve">Signal weight reflects the prior on how predictive each signal type is. Count contributes via log so depth matters but with diminishing returns -- the second view of an item adds more than the tenth.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Signal type</w:t>
            </w:r>
          </w:p>
        </w:tc>
        <w:tc>
          <w:tcPr>
            <w:tcW w:type="dxa" w:w="61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Default weight</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Cart</w:t>
            </w:r>
          </w:p>
        </w:tc>
        <w:tc>
          <w:tcPr>
            <w:tcW w:type="dxa" w:w="6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0.90</w:t>
            </w:r>
          </w:p>
        </w:tc>
      </w:tr>
      <w:tr>
        <w:trPr>
          <w:cantSplit/>
        </w:trPr>
        <w:tc>
          <w:tcPr>
            <w:tcW w:type="dxa" w:w="32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Watchlist</w:t>
            </w:r>
          </w:p>
        </w:tc>
        <w:tc>
          <w:tcPr>
            <w:tcW w:type="dxa" w:w="61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0.70</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Search</w:t>
            </w:r>
          </w:p>
        </w:tc>
        <w:tc>
          <w:tcPr>
            <w:tcW w:type="dxa" w:w="6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0.55</w:t>
            </w:r>
          </w:p>
        </w:tc>
      </w:tr>
      <w:tr>
        <w:trPr>
          <w:cantSplit/>
        </w:trPr>
        <w:tc>
          <w:tcPr>
            <w:tcW w:type="dxa" w:w="32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View</w:t>
            </w:r>
          </w:p>
        </w:tc>
        <w:tc>
          <w:tcPr>
            <w:tcW w:type="dxa" w:w="61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0.40</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Browse  (Mode 2 only)</w:t>
            </w:r>
          </w:p>
        </w:tc>
        <w:tc>
          <w:tcPr>
            <w:tcW w:type="dxa" w:w="6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0.20</w:t>
            </w:r>
          </w:p>
        </w:tc>
      </w:tr>
    </w:tbl>
    <w:p>
      <w:pPr>
        <w:spacing w:after="80" w:before="0"/>
      </w:pPr>
      <w:r>
        <w:t xml:space="preserve"/>
      </w:r>
    </w:p>
    <w:p>
      <w:pPr>
        <w:spacing w:after="120" w:before="0" w:line="300"/>
      </w:pPr>
      <w:r>
        <w:rPr>
          <w:rFonts w:ascii="Calibri" w:cs="Calibri" w:eastAsia="Calibri" w:hAnsi="Calibri"/>
          <w:i/>
          <w:iCs/>
          <w:color w:val="555555"/>
          <w:sz w:val="22"/>
          <w:szCs w:val="22"/>
        </w:rPr>
        <w:t xml:space="preserve">Weights are documented as defaults and tunable on POC data once predictiveness can be measured against downstream conversion.</w:t>
      </w:r>
    </w:p>
    <w:p>
      <w:pPr>
        <w:spacing w:after="80" w:before="0"/>
      </w:pPr>
      <w:r>
        <w:t xml:space="preserve"/>
      </w:r>
    </w:p>
    <w:p>
      <w:pPr>
        <w:spacing w:after="100" w:before="180"/>
      </w:pPr>
      <w:r>
        <w:rPr>
          <w:rFonts w:ascii="Calibri" w:cs="Calibri" w:eastAsia="Calibri" w:hAnsi="Calibri"/>
          <w:b/>
          <w:bCs/>
          <w:color w:val="1A1A1A"/>
          <w:sz w:val="22"/>
          <w:szCs w:val="22"/>
        </w:rPr>
        <w:t xml:space="preserve">Cluster recency -- exponential decay</w:t>
      </w:r>
    </w:p>
    <w:p>
      <w:pPr>
        <w:spacing w:after="120" w:before="0" w:line="300"/>
      </w:pPr>
      <w:r>
        <w:rPr>
          <w:rFonts w:ascii="Calibri" w:cs="Calibri" w:eastAsia="Calibri" w:hAnsi="Calibri"/>
          <w:color w:val="1A1A1A"/>
          <w:sz w:val="22"/>
          <w:szCs w:val="22"/>
        </w:rPr>
        <w:t xml:space="preserve">Recency is computed from the freshest row in the cluster.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40" w:before="0" w:line="260"/>
            </w:pPr>
            <w:r>
              <w:rPr>
                <w:rFonts w:ascii="Consolas" w:cs="Consolas" w:eastAsia="Consolas" w:hAnsi="Consolas"/>
                <w:color w:val="1A1A1A"/>
                <w:sz w:val="20"/>
                <w:szCs w:val="20"/>
              </w:rPr>
              <w:t xml:space="preserve">cluster_recency = exp( -min(last_seen_days_in_cluster) / τ )</w:t>
            </w:r>
          </w:p>
          <w:p>
            <w:pPr>
              <w:spacing w:after="40" w:before="0" w:line="260"/>
            </w:pPr>
            <w:r>
              <w:rPr>
                <w:rFonts w:ascii="Consolas" w:cs="Consolas" w:eastAsia="Consolas" w:hAnsi="Consolas"/>
                <w:color w:val="1A1A1A"/>
                <w:sz w:val="20"/>
                <w:szCs w:val="20"/>
              </w:rPr>
              <w:t xml:space="preserve"/>
            </w:r>
          </w:p>
          <w:p>
            <w:pPr>
              <w:spacing w:after="40" w:before="0" w:line="260"/>
            </w:pPr>
            <w:r>
              <w:rPr>
                <w:rFonts w:ascii="Consolas" w:cs="Consolas" w:eastAsia="Consolas" w:hAnsi="Consolas"/>
                <w:color w:val="1A1A1A"/>
                <w:sz w:val="20"/>
                <w:szCs w:val="20"/>
              </w:rPr>
              <w:t xml:space="preserve"># τ = 14 days (default, tunable on POC data)</w:t>
            </w:r>
          </w:p>
          <w:p>
            <w:pPr>
              <w:spacing w:after="40" w:before="0" w:line="260"/>
            </w:pPr>
            <w:r>
              <w:rPr>
                <w:rFonts w:ascii="Consolas" w:cs="Consolas" w:eastAsia="Consolas" w:hAnsi="Consolas"/>
                <w:color w:val="1A1A1A"/>
                <w:sz w:val="20"/>
                <w:szCs w:val="20"/>
              </w:rPr>
              <w:t xml:space="preserve"># Examples:  1 day → 0.93   7 days → 0.61   30 days → 0.12</w:t>
            </w:r>
          </w:p>
        </w:tc>
      </w:tr>
    </w:tbl>
    <w:p>
      <w:pPr>
        <w:spacing w:after="80" w:before="0"/>
      </w:pPr>
      <w:r>
        <w:t xml:space="preserve"/>
      </w:r>
    </w:p>
    <w:p>
      <w:pPr>
        <w:spacing w:after="120" w:before="0" w:line="300"/>
      </w:pPr>
      <w:r>
        <w:rPr>
          <w:rFonts w:ascii="Calibri" w:cs="Calibri" w:eastAsia="Calibri" w:hAnsi="Calibri"/>
          <w:color w:val="1A1A1A"/>
          <w:sz w:val="22"/>
          <w:szCs w:val="22"/>
        </w:rPr>
        <w:t xml:space="preserve">The freshest activity defines the cluster's currency. A long history with one recent touch is still a current intent; the breadth of that history is captured by the consistency component.</w:t>
      </w:r>
    </w:p>
    <w:p>
      <w:pPr>
        <w:spacing w:after="80" w:before="0"/>
      </w:pPr>
      <w:r>
        <w:t xml:space="preserve"/>
      </w:r>
    </w:p>
    <w:p>
      <w:pPr>
        <w:spacing w:after="100" w:before="180"/>
      </w:pPr>
      <w:r>
        <w:rPr>
          <w:rFonts w:ascii="Calibri" w:cs="Calibri" w:eastAsia="Calibri" w:hAnsi="Calibri"/>
          <w:b/>
          <w:bCs/>
          <w:color w:val="1A1A1A"/>
          <w:sz w:val="22"/>
          <w:szCs w:val="22"/>
        </w:rPr>
        <w:t xml:space="preserve">Cluster consistency -- saturated sum</w:t>
      </w:r>
    </w:p>
    <w:p>
      <w:pPr>
        <w:spacing w:after="120" w:before="0" w:line="300"/>
      </w:pPr>
      <w:r>
        <w:rPr>
          <w:rFonts w:ascii="Calibri" w:cs="Calibri" w:eastAsia="Calibri" w:hAnsi="Calibri"/>
          <w:color w:val="1A1A1A"/>
          <w:sz w:val="22"/>
          <w:szCs w:val="22"/>
        </w:rPr>
        <w:t xml:space="preserve">Consistency is the total weighted evidence in the cluster, normalised so the output is bounded between 0 and 1.</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40" w:before="0" w:line="260"/>
            </w:pPr>
            <w:r>
              <w:rPr>
                <w:rFonts w:ascii="Consolas" w:cs="Consolas" w:eastAsia="Consolas" w:hAnsi="Consolas"/>
                <w:color w:val="1A1A1A"/>
                <w:sz w:val="20"/>
                <w:szCs w:val="20"/>
              </w:rPr>
              <w:t xml:space="preserve">cluster_consistency = min( 1.0,  sum(row_weights) / S_sat )</w:t>
            </w:r>
          </w:p>
          <w:p>
            <w:pPr>
              <w:spacing w:after="40" w:before="0" w:line="260"/>
            </w:pPr>
            <w:r>
              <w:rPr>
                <w:rFonts w:ascii="Consolas" w:cs="Consolas" w:eastAsia="Consolas" w:hAnsi="Consolas"/>
                <w:color w:val="1A1A1A"/>
                <w:sz w:val="20"/>
                <w:szCs w:val="20"/>
              </w:rPr>
              <w:t xml:space="preserve"/>
            </w:r>
          </w:p>
          <w:p>
            <w:pPr>
              <w:spacing w:after="40" w:before="0" w:line="260"/>
            </w:pPr>
            <w:r>
              <w:rPr>
                <w:rFonts w:ascii="Consolas" w:cs="Consolas" w:eastAsia="Consolas" w:hAnsi="Consolas"/>
                <w:color w:val="1A1A1A"/>
                <w:sz w:val="20"/>
                <w:szCs w:val="20"/>
              </w:rPr>
              <w:t xml:space="preserve"># S_sat (saturation point) = TBD on POC data</w:t>
            </w:r>
          </w:p>
        </w:tc>
      </w:tr>
    </w:tbl>
    <w:p>
      <w:pPr>
        <w:spacing w:after="80" w:before="0"/>
      </w:pPr>
      <w:r>
        <w:t xml:space="preserve"/>
      </w:r>
    </w:p>
    <w:p>
      <w:pPr>
        <w:spacing w:after="120" w:before="0" w:line="300"/>
      </w:pPr>
      <w:r>
        <w:rPr>
          <w:rFonts w:ascii="Calibri" w:cs="Calibri" w:eastAsia="Calibri" w:hAnsi="Calibri"/>
          <w:color w:val="1A1A1A"/>
          <w:sz w:val="22"/>
          <w:szCs w:val="22"/>
        </w:rPr>
        <w:t xml:space="preserve">S_sat is the amount of weighted evidence treated as 'fully reinforced'. Beyond this point, additional evidence does not increase confidence further -- a power user with twenty rows in one cluster is no more credible than one with strong evidence across a handful of rows. Calibrated against the cluster strength distribution observed in POC data.</w:t>
      </w:r>
    </w:p>
    <w:p>
      <w:pPr>
        <w:spacing w:after="80" w:before="0"/>
      </w:pPr>
      <w:r>
        <w:t xml:space="preserve"/>
      </w:r>
    </w:p>
    <w:p>
      <w:pPr>
        <w:spacing w:after="100" w:before="180"/>
      </w:pPr>
      <w:r>
        <w:rPr>
          <w:rFonts w:ascii="Calibri" w:cs="Calibri" w:eastAsia="Calibri" w:hAnsi="Calibri"/>
          <w:b/>
          <w:bCs/>
          <w:color w:val="1A1A1A"/>
          <w:sz w:val="22"/>
          <w:szCs w:val="22"/>
        </w:rPr>
        <w:t xml:space="preserve">Final score</w:t>
      </w:r>
    </w:p>
    <w:p>
      <w:pPr>
        <w:spacing w:after="120" w:before="0" w:line="300"/>
      </w:pPr>
      <w:r>
        <w:rPr>
          <w:rFonts w:ascii="Calibri" w:cs="Calibri" w:eastAsia="Calibri" w:hAnsi="Calibri"/>
          <w:color w:val="1A1A1A"/>
          <w:sz w:val="22"/>
          <w:szCs w:val="22"/>
        </w:rPr>
        <w:t xml:space="preserve">Recency and consistency are combined as a geometric mean.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40" w:before="0" w:line="260"/>
            </w:pPr>
            <w:r>
              <w:rPr>
                <w:rFonts w:ascii="Consolas" w:cs="Consolas" w:eastAsia="Consolas" w:hAnsi="Consolas"/>
                <w:color w:val="1A1A1A"/>
                <w:sz w:val="20"/>
                <w:szCs w:val="20"/>
              </w:rPr>
              <w:t xml:space="preserve">score = sqrt( cluster_recency  ×  cluster_consistency )</w:t>
            </w:r>
          </w:p>
          <w:p>
            <w:pPr>
              <w:spacing w:after="40" w:before="0" w:line="260"/>
            </w:pPr>
            <w:r>
              <w:rPr>
                <w:rFonts w:ascii="Consolas" w:cs="Consolas" w:eastAsia="Consolas" w:hAnsi="Consolas"/>
                <w:color w:val="1A1A1A"/>
                <w:sz w:val="20"/>
                <w:szCs w:val="20"/>
              </w:rPr>
              <w:t xml:space="preserve"/>
            </w:r>
          </w:p>
          <w:p>
            <w:pPr>
              <w:spacing w:after="40" w:before="0" w:line="260"/>
            </w:pPr>
            <w:r>
              <w:rPr>
                <w:rFonts w:ascii="Consolas" w:cs="Consolas" w:eastAsia="Consolas" w:hAnsi="Consolas"/>
                <w:color w:val="1A1A1A"/>
                <w:sz w:val="20"/>
                <w:szCs w:val="20"/>
              </w:rPr>
              <w:t xml:space="preserve"># both inputs are in [0, 1]; output is in [0, 1]</w:t>
            </w:r>
          </w:p>
        </w:tc>
      </w:tr>
    </w:tbl>
    <w:p>
      <w:pPr>
        <w:spacing w:after="80" w:before="0"/>
      </w:pPr>
      <w:r>
        <w:t xml:space="preserve"/>
      </w:r>
    </w:p>
    <w:p>
      <w:pPr>
        <w:spacing w:after="120" w:before="0" w:line="300"/>
      </w:pPr>
      <w:r>
        <w:rPr>
          <w:rFonts w:ascii="Calibri" w:cs="Calibri" w:eastAsia="Calibri" w:hAnsi="Calibri"/>
          <w:color w:val="1A1A1A"/>
          <w:sz w:val="22"/>
          <w:szCs w:val="22"/>
        </w:rPr>
        <w:t xml:space="preserve">Geometric mean enforces that both components must be present. A cluster cannot score high by being extremely fresh on minimal evidence, nor by being extensively reinforced but stale.</w:t>
      </w:r>
    </w:p>
    <w:p>
      <w:pPr>
        <w:spacing w:after="80" w:before="0"/>
      </w:pPr>
      <w:r>
        <w:t xml:space="preserve"/>
      </w:r>
    </w:p>
    <w:p>
      <w:pPr>
        <w:spacing w:after="100" w:before="180"/>
      </w:pPr>
      <w:r>
        <w:rPr>
          <w:rFonts w:ascii="Calibri" w:cs="Calibri" w:eastAsia="Calibri" w:hAnsi="Calibri"/>
          <w:b/>
          <w:bCs/>
          <w:color w:val="1A1A1A"/>
          <w:sz w:val="22"/>
          <w:szCs w:val="22"/>
        </w:rPr>
        <w:t xml:space="preserve">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Score range</w:t>
            </w:r>
          </w:p>
        </w:tc>
        <w:tc>
          <w:tcPr>
            <w:tcW w:type="dxa" w:w="69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Interpretation</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0.70 -- 1.00</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Strong intent. Fresh activity reinforced from multiple angles.</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0.40 -- 0.70</w:t>
            </w:r>
          </w:p>
        </w:tc>
        <w:tc>
          <w:tcPr>
            <w:tcW w:type="dxa" w:w="6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Moderate intent. Either fresh or well-evidenced, not strongly both.</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0.25 -- 0.40</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Weak intent. Borderline; included but flagged for downstream consumers.</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below 0.25</w:t>
            </w:r>
          </w:p>
        </w:tc>
        <w:tc>
          <w:tcPr>
            <w:tcW w:type="dxa" w:w="6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Below threshold. Not surfaced as an intent.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E5000"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Threshold and Top-K</w:t>
            </w:r>
          </w:p>
        </w:tc>
        <w:tc>
          <w:tcPr>
            <w:tcW w:type="dxa" w:w="7560"/>
            <w:tcBorders>
              <w:top w:val="none" w:color="FFFFFF" w:sz="0"/>
              <w:left w:val="none" w:color="FFFFFF" w:sz="0"/>
              <w:bottom w:val="none" w:color="FFFFFF" w:sz="0"/>
              <w:right w:val="none" w:color="FFFFFF" w:sz="0"/>
            </w:tcBorders>
            <w:shd w:fill="FFF0E8" w:val="clear"/>
            <w:tcMar>
              <w:top w:type="dxa" w:w="110"/>
              <w:left w:type="dxa" w:w="160"/>
              <w:bottom w:type="dxa" w:w="110"/>
              <w:right w:type="dxa" w:w="160"/>
            </w:tcMar>
            <w:vAlign w:val="top"/>
          </w:tcPr>
          <w:p>
            <w:pPr>
              <w:spacing w:after="60" w:before="0" w:line="300"/>
            </w:pPr>
            <w:r>
              <w:rPr>
                <w:rFonts w:ascii="Calibri" w:cs="Calibri" w:eastAsia="Calibri" w:hAnsi="Calibri"/>
                <w:color w:val="1A1A1A"/>
                <w:sz w:val="22"/>
                <w:szCs w:val="22"/>
              </w:rPr>
              <w:t xml:space="preserve">0.25 acceptance threshold and top 5 intents per user are POC defaults. Both will be calibrated on the score distribution observed on real data and on downstream consumer needs.</w:t>
            </w:r>
          </w:p>
        </w:tc>
      </w:tr>
    </w:tbl>
    <w:p>
      <w:pPr>
        <w:spacing w:after="160" w:before="320"/>
      </w:pPr>
      <w:r>
        <w:rPr>
          <w:rFonts w:ascii="Calibri" w:cs="Calibri" w:eastAsia="Calibri" w:hAnsi="Calibri"/>
          <w:b/>
          <w:bCs/>
          <w:color w:val="FE5000"/>
          <w:sz w:val="36"/>
          <w:szCs w:val="36"/>
        </w:rPr>
        <w:t xml:space="preserve">5. LLM Labelling (Gemini)</w:t>
      </w:r>
    </w:p>
    <w:p>
      <w:pPr>
        <w:spacing w:after="120" w:before="0" w:line="300"/>
      </w:pPr>
      <w:r>
        <w:rPr>
          <w:rFonts w:ascii="Calibri" w:cs="Calibri" w:eastAsia="Calibri" w:hAnsi="Calibri"/>
          <w:color w:val="1A1A1A"/>
          <w:sz w:val="22"/>
          <w:szCs w:val="22"/>
        </w:rPr>
        <w:t xml:space="preserve">Once a user's clusters are scored, those at or above threshold are labelled by Gemini. The LLM produces a short intent description and a journey stage for each cluster. Everything else -- scoring, clustering, ranking, lifecycle -- happens outside the model.</w:t>
      </w:r>
    </w:p>
    <w:p>
      <w:pPr>
        <w:spacing w:after="80" w:before="0"/>
      </w:pPr>
      <w:r>
        <w:t xml:space="preserve"/>
      </w:r>
    </w:p>
    <w:p>
      <w:pPr>
        <w:spacing w:after="120" w:before="240"/>
      </w:pPr>
      <w:r>
        <w:rPr>
          <w:rFonts w:ascii="Calibri" w:cs="Calibri" w:eastAsia="Calibri" w:hAnsi="Calibri"/>
          <w:b/>
          <w:bCs/>
          <w:color w:val="004E42"/>
          <w:sz w:val="26"/>
          <w:szCs w:val="26"/>
        </w:rPr>
        <w:t xml:space="preserve">5.1 One call per user</w:t>
      </w:r>
    </w:p>
    <w:p>
      <w:pPr>
        <w:spacing w:after="120" w:before="0" w:line="300"/>
      </w:pPr>
      <w:r>
        <w:rPr>
          <w:rFonts w:ascii="Calibri" w:cs="Calibri" w:eastAsia="Calibri" w:hAnsi="Calibri"/>
          <w:color w:val="1A1A1A"/>
          <w:sz w:val="22"/>
          <w:szCs w:val="22"/>
        </w:rPr>
        <w:t xml:space="preserve">All qualifying clusters for a user are sent in a single Gemini call. The output schema is constructed dynamically based on cluster count, so the model returns exactly the right number of intent records. This is more efficient than one call per cluster and gives the model full user context across all clusters at once, reducing the chance of near-duplicate intent descriptions.</w:t>
      </w:r>
    </w:p>
    <w:p>
      <w:pPr>
        <w:spacing w:after="80" w:before="0"/>
      </w:pPr>
      <w:r>
        <w:t xml:space="preserve"/>
      </w:r>
    </w:p>
    <w:p>
      <w:pPr>
        <w:spacing w:after="120" w:before="240"/>
      </w:pPr>
      <w:r>
        <w:rPr>
          <w:rFonts w:ascii="Calibri" w:cs="Calibri" w:eastAsia="Calibri" w:hAnsi="Calibri"/>
          <w:b/>
          <w:bCs/>
          <w:color w:val="004E42"/>
          <w:sz w:val="26"/>
          <w:szCs w:val="26"/>
        </w:rPr>
        <w:t xml:space="preserve">5.2 What Gemini receives</w:t>
      </w:r>
    </w:p>
    <w:p>
      <w:pPr>
        <w:spacing w:after="120" w:before="0" w:line="300"/>
      </w:pPr>
      <w:r>
        <w:rPr>
          <w:rFonts w:ascii="Calibri" w:cs="Calibri" w:eastAsia="Calibri" w:hAnsi="Calibri"/>
          <w:color w:val="1A1A1A"/>
          <w:sz w:val="22"/>
          <w:szCs w:val="22"/>
        </w:rPr>
        <w:t xml:space="preserve">Each cluster is passed with its member rows. For each row, both the embedding text and the metadata (signal type, count, last seen, category) are included. The score is included as context. Gemini uses the metadata to choose appropriate phrasing -- 'researching' versus 'close to buying' -- but does not compute or modify the score.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40" w:before="0" w:line="260"/>
            </w:pPr>
            <w:r>
              <w:rPr>
                <w:rFonts w:ascii="Consolas" w:cs="Consolas" w:eastAsia="Consolas" w:hAnsi="Consolas"/>
                <w:color w:val="1A1A1A"/>
                <w:sz w:val="20"/>
                <w:szCs w:val="20"/>
              </w:rPr>
              <w:t xml:space="preserve">{</w:t>
            </w:r>
          </w:p>
          <w:p>
            <w:pPr>
              <w:spacing w:after="40" w:before="0" w:line="260"/>
            </w:pPr>
            <w:r>
              <w:rPr>
                <w:rFonts w:ascii="Consolas" w:cs="Consolas" w:eastAsia="Consolas" w:hAnsi="Consolas"/>
                <w:color w:val="1A1A1A"/>
                <w:sz w:val="20"/>
                <w:szCs w:val="20"/>
              </w:rPr>
              <w:t xml:space="preserve">  "clusters":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"cluster_id": "c_001",</w:t>
            </w:r>
          </w:p>
          <w:p>
            <w:pPr>
              <w:spacing w:after="40" w:before="0" w:line="260"/>
            </w:pPr>
            <w:r>
              <w:rPr>
                <w:rFonts w:ascii="Consolas" w:cs="Consolas" w:eastAsia="Consolas" w:hAnsi="Consolas"/>
                <w:color w:val="1A1A1A"/>
                <w:sz w:val="20"/>
                <w:szCs w:val="20"/>
              </w:rPr>
              <w:t xml:space="preserve">      "score": 0.91,</w:t>
            </w:r>
          </w:p>
          <w:p>
            <w:pPr>
              <w:spacing w:after="40" w:before="0" w:line="260"/>
            </w:pPr>
            <w:r>
              <w:rPr>
                <w:rFonts w:ascii="Consolas" w:cs="Consolas" w:eastAsia="Consolas" w:hAnsi="Consolas"/>
                <w:color w:val="1A1A1A"/>
                <w:sz w:val="20"/>
                <w:szCs w:val="20"/>
              </w:rPr>
              <w:t xml:space="preserve">      "rows": [</w:t>
            </w:r>
          </w:p>
          <w:p>
            <w:pPr>
              <w:spacing w:after="40" w:before="0" w:line="260"/>
            </w:pPr>
            <w:r>
              <w:rPr>
                <w:rFonts w:ascii="Consolas" w:cs="Consolas" w:eastAsia="Consolas" w:hAnsi="Consolas"/>
                <w:color w:val="1A1A1A"/>
                <w:sz w:val="20"/>
                <w:szCs w:val="20"/>
              </w:rPr>
              <w:t xml:space="preserve">        { "text": "iphone 15 case",            "signal": "search", "count": 3, "last_seen_days": 1, "category": null },</w:t>
            </w:r>
          </w:p>
          <w:p>
            <w:pPr>
              <w:spacing w:after="40" w:before="0" w:line="260"/>
            </w:pPr>
            <w:r>
              <w:rPr>
                <w:rFonts w:ascii="Consolas" w:cs="Consolas" w:eastAsia="Consolas" w:hAnsi="Consolas"/>
                <w:color w:val="1A1A1A"/>
                <w:sz w:val="20"/>
                <w:szCs w:val="20"/>
              </w:rPr>
              <w:t xml:space="preserve">        { "text": "OtterBox Defender iPhone 15 Case", "signal": "view",   "count": 4, "last_seen_days": 4, "category": "..." },</w:t>
            </w:r>
          </w:p>
          <w:p>
            <w:pPr>
              <w:spacing w:after="40" w:before="0" w:line="260"/>
            </w:pPr>
            <w:r>
              <w:rPr>
                <w:rFonts w:ascii="Consolas" w:cs="Consolas" w:eastAsia="Consolas" w:hAnsi="Consolas"/>
                <w:color w:val="1A1A1A"/>
                <w:sz w:val="20"/>
                <w:szCs w:val="20"/>
              </w:rPr>
              <w:t xml:space="preserve">        { "text": "Spigen Tough Armor iPhone 15 Case", "signal": "cart",  "count": 1, "last_seen_days": 2, "category": "..."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 "cluster_id": "c_002",  "score": 0.44,  "rows": [ ... ]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w:t>
            </w:r>
          </w:p>
        </w:tc>
      </w:tr>
    </w:tbl>
    <w:p>
      <w:pPr>
        <w:spacing w:after="80" w:before="0"/>
      </w:pPr>
      <w:r>
        <w:t xml:space="preserve"/>
      </w:r>
    </w:p>
    <w:p>
      <w:pPr>
        <w:spacing w:after="120" w:before="240"/>
      </w:pPr>
      <w:r>
        <w:rPr>
          <w:rFonts w:ascii="Calibri" w:cs="Calibri" w:eastAsia="Calibri" w:hAnsi="Calibri"/>
          <w:b/>
          <w:bCs/>
          <w:color w:val="004E42"/>
          <w:sz w:val="26"/>
          <w:szCs w:val="26"/>
        </w:rPr>
        <w:t xml:space="preserve">5.3 What Gemini returns</w:t>
      </w:r>
    </w:p>
    <w:p>
      <w:pPr>
        <w:spacing w:after="120" w:before="0" w:line="300"/>
      </w:pPr>
      <w:r>
        <w:rPr>
          <w:rFonts w:ascii="Calibri" w:cs="Calibri" w:eastAsia="Calibri" w:hAnsi="Calibri"/>
          <w:color w:val="1A1A1A"/>
          <w:sz w:val="22"/>
          <w:szCs w:val="22"/>
        </w:rPr>
        <w:t xml:space="preserve">A constrained JSON output, one record per cluster. The schema is enforced at the API level using Pydantic-style schemas with enums for journey_stage.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40" w:before="0" w:line="260"/>
            </w:pPr>
            <w:r>
              <w:rPr>
                <w:rFonts w:ascii="Consolas" w:cs="Consolas" w:eastAsia="Consolas" w:hAnsi="Consolas"/>
                <w:color w:val="1A1A1A"/>
                <w:sz w:val="20"/>
                <w:szCs w:val="20"/>
              </w:rPr>
              <w:t xml:space="preserve">{</w:t>
            </w:r>
          </w:p>
          <w:p>
            <w:pPr>
              <w:spacing w:after="40" w:before="0" w:line="260"/>
            </w:pPr>
            <w:r>
              <w:rPr>
                <w:rFonts w:ascii="Consolas" w:cs="Consolas" w:eastAsia="Consolas" w:hAnsi="Consolas"/>
                <w:color w:val="1A1A1A"/>
                <w:sz w:val="20"/>
                <w:szCs w:val="20"/>
              </w:rPr>
              <w:t xml:space="preserve">  "intents":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"cluster_id": "c_001",</w:t>
            </w:r>
          </w:p>
          <w:p>
            <w:pPr>
              <w:spacing w:after="40" w:before="0" w:line="260"/>
            </w:pPr>
            <w:r>
              <w:rPr>
                <w:rFonts w:ascii="Consolas" w:cs="Consolas" w:eastAsia="Consolas" w:hAnsi="Consolas"/>
                <w:color w:val="1A1A1A"/>
                <w:sz w:val="20"/>
                <w:szCs w:val="20"/>
              </w:rPr>
              <w:t xml:space="preserve">      "specific_intent": "User is close to purchasing an iPhone 15 case",</w:t>
            </w:r>
          </w:p>
          <w:p>
            <w:pPr>
              <w:spacing w:after="40" w:before="0" w:line="260"/>
            </w:pPr>
            <w:r>
              <w:rPr>
                <w:rFonts w:ascii="Consolas" w:cs="Consolas" w:eastAsia="Consolas" w:hAnsi="Consolas"/>
                <w:color w:val="1A1A1A"/>
                <w:sz w:val="20"/>
                <w:szCs w:val="20"/>
              </w:rPr>
              <w:t xml:space="preserve">      "journey_stage":   "purchase"</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"cluster_id": "c_002",</w:t>
            </w:r>
          </w:p>
          <w:p>
            <w:pPr>
              <w:spacing w:after="40" w:before="0" w:line="260"/>
            </w:pPr>
            <w:r>
              <w:rPr>
                <w:rFonts w:ascii="Consolas" w:cs="Consolas" w:eastAsia="Consolas" w:hAnsi="Consolas"/>
                <w:color w:val="1A1A1A"/>
                <w:sz w:val="20"/>
                <w:szCs w:val="20"/>
              </w:rPr>
              <w:t xml:space="preserve">      "specific_intent": "User is exploring vintage denim brands",</w:t>
            </w:r>
          </w:p>
          <w:p>
            <w:pPr>
              <w:spacing w:after="40" w:before="0" w:line="260"/>
            </w:pPr>
            <w:r>
              <w:rPr>
                <w:rFonts w:ascii="Consolas" w:cs="Consolas" w:eastAsia="Consolas" w:hAnsi="Consolas"/>
                <w:color w:val="1A1A1A"/>
                <w:sz w:val="20"/>
                <w:szCs w:val="20"/>
              </w:rPr>
              <w:t xml:space="preserve">      "journey_stage":   "research"</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w:t>
            </w:r>
          </w:p>
        </w:tc>
      </w:tr>
    </w:tbl>
    <w:p>
      <w:pPr>
        <w:spacing w:after="80" w:before="0"/>
      </w:pPr>
      <w:r>
        <w:t xml:space="preserve"/>
      </w:r>
    </w:p>
    <w:p>
      <w:pPr>
        <w:spacing w:after="120" w:before="240"/>
      </w:pPr>
      <w:r>
        <w:rPr>
          <w:rFonts w:ascii="Calibri" w:cs="Calibri" w:eastAsia="Calibri" w:hAnsi="Calibri"/>
          <w:b/>
          <w:bCs/>
          <w:color w:val="004E42"/>
          <w:sz w:val="26"/>
          <w:szCs w:val="26"/>
        </w:rPr>
        <w:t xml:space="preserve">5.4 Controlling intent text quality</w:t>
      </w:r>
    </w:p>
    <w:p>
      <w:pPr>
        <w:spacing w:after="120" w:before="0" w:line="300"/>
      </w:pPr>
      <w:r>
        <w:rPr>
          <w:rFonts w:ascii="Calibri" w:cs="Calibri" w:eastAsia="Calibri" w:hAnsi="Calibri"/>
          <w:color w:val="1A1A1A"/>
          <w:sz w:val="22"/>
          <w:szCs w:val="22"/>
        </w:rPr>
        <w:t xml:space="preserve">Three mechanisms together ensure the intent description is specific and useful, not generic filler.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Mechanism</w:t>
            </w:r>
          </w:p>
        </w:tc>
        <w:tc>
          <w:tcPr>
            <w:tcW w:type="dxa" w:w="69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What it does</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Schema constraints</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journey_stage is a fixed enum (awareness, research, consideration, purchase). specific_intent has a maximum length cap so Gemini cannot return long essays.</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Prompt-level examples</w:t>
            </w:r>
          </w:p>
        </w:tc>
        <w:tc>
          <w:tcPr>
            <w:tcW w:type="dxa" w:w="6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The prompt explicitly shows good and bad examples. 'User is close to purchasing an iPhone 15 case' is good. 'User is interested in shopping' is rejected.</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Post-call validator</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Word count, prefix check, and a generic-prefix blocklist run after each Gemini response. Failed validations trigger one retry with a stricter prompt; persistent failures drop the cluster.</w:t>
            </w:r>
          </w:p>
        </w:tc>
      </w:tr>
    </w:tbl>
    <w:p>
      <w:pPr>
        <w:spacing w:after="120" w:before="0"/>
      </w:pPr>
      <w:r>
        <w:t xml:space="preserve"/>
      </w:r>
    </w:p>
    <w:p>
      <w:pPr>
        <w:spacing w:after="120" w:before="240"/>
      </w:pPr>
      <w:r>
        <w:rPr>
          <w:rFonts w:ascii="Calibri" w:cs="Calibri" w:eastAsia="Calibri" w:hAnsi="Calibri"/>
          <w:b/>
          <w:bCs/>
          <w:color w:val="004E42"/>
          <w:sz w:val="26"/>
          <w:szCs w:val="26"/>
        </w:rPr>
        <w:t xml:space="preserve">5.5 What Gemini does NOT do</w:t>
      </w:r>
    </w:p>
    <w:p>
      <w:pPr>
        <w:spacing w:after="120" w:before="0" w:line="300"/>
      </w:pPr>
      <w:r>
        <w:rPr>
          <w:rFonts w:ascii="Calibri" w:cs="Calibri" w:eastAsia="Calibri" w:hAnsi="Calibri"/>
          <w:color w:val="1A1A1A"/>
          <w:sz w:val="22"/>
          <w:szCs w:val="22"/>
        </w:rPr>
        <w:t xml:space="preserve">This is worth being explicit about because it shapes how the pipeline is debugged and audited.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E5000"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Gemini boundaries</w:t>
            </w:r>
          </w:p>
        </w:tc>
        <w:tc>
          <w:tcPr>
            <w:tcW w:type="dxa" w:w="7560"/>
            <w:tcBorders>
              <w:top w:val="none" w:color="FFFFFF" w:sz="0"/>
              <w:left w:val="none" w:color="FFFFFF" w:sz="0"/>
              <w:bottom w:val="none" w:color="FFFFFF" w:sz="0"/>
              <w:right w:val="none" w:color="FFFFFF" w:sz="0"/>
            </w:tcBorders>
            <w:shd w:fill="FFF0E8" w:val="clear"/>
            <w:tcMar>
              <w:top w:type="dxa" w:w="110"/>
              <w:left w:type="dxa" w:w="160"/>
              <w:bottom w:type="dxa" w:w="110"/>
              <w:right w:type="dxa" w:w="160"/>
            </w:tcMar>
            <w:vAlign w:val="top"/>
          </w:tcPr>
          <w:p>
            <w:pPr>
              <w:spacing w:after="60" w:before="0" w:line="300"/>
            </w:pPr>
            <w:r>
              <w:rPr>
                <w:rFonts w:ascii="Calibri" w:cs="Calibri" w:eastAsia="Calibri" w:hAnsi="Calibri"/>
                <w:color w:val="1A1A1A"/>
                <w:sz w:val="22"/>
                <w:szCs w:val="22"/>
              </w:rPr>
              <w:t xml:space="preserve">Does not compute or modify scores -- scores are computed deterministically in the scoring stage and passed in as read-only context.</w:t>
            </w:r>
          </w:p>
          <w:p>
            <w:pPr>
              <w:spacing w:after="60" w:before="0" w:line="300"/>
            </w:pPr>
            <w:r>
              <w:rPr>
                <w:rFonts w:ascii="Calibri" w:cs="Calibri" w:eastAsia="Calibri" w:hAnsi="Calibri"/>
                <w:color w:val="1A1A1A"/>
                <w:sz w:val="22"/>
                <w:szCs w:val="22"/>
              </w:rPr>
              <w:t xml:space="preserve">Does not decide how many intents to generate -- the count is fixed by how many clusters cleared the threshold, enforced by the dynamic response schema.</w:t>
            </w:r>
          </w:p>
          <w:p>
            <w:pPr>
              <w:spacing w:after="60" w:before="0" w:line="300"/>
            </w:pPr>
            <w:r>
              <w:rPr>
                <w:rFonts w:ascii="Calibri" w:cs="Calibri" w:eastAsia="Calibri" w:hAnsi="Calibri"/>
                <w:color w:val="1A1A1A"/>
                <w:sz w:val="22"/>
                <w:szCs w:val="22"/>
              </w:rPr>
              <w:t xml:space="preserve">Does not cluster signals -- clustering happens in HDBSCAN before the LLM is called.</w:t>
            </w:r>
          </w:p>
          <w:p>
            <w:pPr>
              <w:spacing w:after="60" w:before="0" w:line="300"/>
            </w:pPr>
            <w:r>
              <w:rPr>
                <w:rFonts w:ascii="Calibri" w:cs="Calibri" w:eastAsia="Calibri" w:hAnsi="Calibri"/>
                <w:color w:val="1A1A1A"/>
                <w:sz w:val="22"/>
                <w:szCs w:val="22"/>
              </w:rPr>
              <w:t xml:space="preserve">Does not rank -- ranking comes from the score, computed before the LLM call.</w:t>
            </w:r>
          </w:p>
          <w:p>
            <w:pPr>
              <w:spacing w:after="60" w:before="0" w:line="300"/>
            </w:pPr>
            <w:r>
              <w:rPr>
                <w:rFonts w:ascii="Calibri" w:cs="Calibri" w:eastAsia="Calibri" w:hAnsi="Calibri"/>
                <w:color w:val="1A1A1A"/>
                <w:sz w:val="22"/>
                <w:szCs w:val="22"/>
              </w:rPr>
              <w:t xml:space="preserve">Does not handle lifecycle, decay, or expiry -- lifecycle logic runs after the LLM call.</w:t>
            </w:r>
          </w:p>
        </w:tc>
      </w:tr>
    </w:tbl>
    <w:p>
      <w:pPr>
        <w:spacing w:after="160" w:before="320"/>
      </w:pPr>
      <w:r>
        <w:rPr>
          <w:rFonts w:ascii="Calibri" w:cs="Calibri" w:eastAsia="Calibri" w:hAnsi="Calibri"/>
          <w:b/>
          <w:bCs/>
          <w:color w:val="FE5000"/>
          <w:sz w:val="36"/>
          <w:szCs w:val="36"/>
        </w:rPr>
        <w:t xml:space="preserve">6. Intent Record and API</w:t>
      </w:r>
    </w:p>
    <w:p>
      <w:pPr>
        <w:spacing w:after="120" w:before="0" w:line="300"/>
      </w:pPr>
      <w:r>
        <w:rPr>
          <w:rFonts w:ascii="Calibri" w:cs="Calibri" w:eastAsia="Calibri" w:hAnsi="Calibri"/>
          <w:color w:val="1A1A1A"/>
          <w:sz w:val="22"/>
          <w:szCs w:val="22"/>
        </w:rPr>
        <w:t xml:space="preserve">The final per-user intent record is the contract between the intent agent and downstream consumers. It contains the ranked set of intents for a user, capped at the top 5.</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40" w:before="0" w:line="260"/>
            </w:pPr>
            <w:r>
              <w:rPr>
                <w:rFonts w:ascii="Consolas" w:cs="Consolas" w:eastAsia="Consolas" w:hAnsi="Consolas"/>
                <w:color w:val="1A1A1A"/>
                <w:sz w:val="20"/>
                <w:szCs w:val="20"/>
              </w:rPr>
              <w:t xml:space="preserve">{</w:t>
            </w:r>
          </w:p>
          <w:p>
            <w:pPr>
              <w:spacing w:after="40" w:before="0" w:line="260"/>
            </w:pPr>
            <w:r>
              <w:rPr>
                <w:rFonts w:ascii="Consolas" w:cs="Consolas" w:eastAsia="Consolas" w:hAnsi="Consolas"/>
                <w:color w:val="1A1A1A"/>
                <w:sz w:val="20"/>
                <w:szCs w:val="20"/>
              </w:rPr>
              <w:t xml:space="preserve">  "user_id":     "u_123456",</w:t>
            </w:r>
          </w:p>
          <w:p>
            <w:pPr>
              <w:spacing w:after="40" w:before="0" w:line="260"/>
            </w:pPr>
            <w:r>
              <w:rPr>
                <w:rFonts w:ascii="Consolas" w:cs="Consolas" w:eastAsia="Consolas" w:hAnsi="Consolas"/>
                <w:color w:val="1A1A1A"/>
                <w:sz w:val="20"/>
                <w:szCs w:val="20"/>
              </w:rPr>
              <w:t xml:space="preserve">  "generated_at": 1770212965,</w:t>
            </w:r>
          </w:p>
          <w:p>
            <w:pPr>
              <w:spacing w:after="40" w:before="0" w:line="260"/>
            </w:pPr>
            <w:r>
              <w:rPr>
                <w:rFonts w:ascii="Consolas" w:cs="Consolas" w:eastAsia="Consolas" w:hAnsi="Consolas"/>
                <w:color w:val="1A1A1A"/>
                <w:sz w:val="20"/>
                <w:szCs w:val="20"/>
              </w:rPr>
              <w:t xml:space="preserve">  "intents":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"rank":            1,</w:t>
            </w:r>
          </w:p>
          <w:p>
            <w:pPr>
              <w:spacing w:after="40" w:before="0" w:line="260"/>
            </w:pPr>
            <w:r>
              <w:rPr>
                <w:rFonts w:ascii="Consolas" w:cs="Consolas" w:eastAsia="Consolas" w:hAnsi="Consolas"/>
                <w:color w:val="1A1A1A"/>
                <w:sz w:val="20"/>
                <w:szCs w:val="20"/>
              </w:rPr>
              <w:t xml:space="preserve">      "cluster_id":      "c_001",</w:t>
            </w:r>
          </w:p>
          <w:p>
            <w:pPr>
              <w:spacing w:after="40" w:before="0" w:line="260"/>
            </w:pPr>
            <w:r>
              <w:rPr>
                <w:rFonts w:ascii="Consolas" w:cs="Consolas" w:eastAsia="Consolas" w:hAnsi="Consolas"/>
                <w:color w:val="1A1A1A"/>
                <w:sz w:val="20"/>
                <w:szCs w:val="20"/>
              </w:rPr>
              <w:t xml:space="preserve">      "specific_intent": "User is close to purchasing an iPhone 15 case",</w:t>
            </w:r>
          </w:p>
          <w:p>
            <w:pPr>
              <w:spacing w:after="40" w:before="0" w:line="260"/>
            </w:pPr>
            <w:r>
              <w:rPr>
                <w:rFonts w:ascii="Consolas" w:cs="Consolas" w:eastAsia="Consolas" w:hAnsi="Consolas"/>
                <w:color w:val="1A1A1A"/>
                <w:sz w:val="20"/>
                <w:szCs w:val="20"/>
              </w:rPr>
              <w:t xml:space="preserve">      "journey_stage":   "purchase",</w:t>
            </w:r>
          </w:p>
          <w:p>
            <w:pPr>
              <w:spacing w:after="40" w:before="0" w:line="260"/>
            </w:pPr>
            <w:r>
              <w:rPr>
                <w:rFonts w:ascii="Consolas" w:cs="Consolas" w:eastAsia="Consolas" w:hAnsi="Consolas"/>
                <w:color w:val="1A1A1A"/>
                <w:sz w:val="20"/>
                <w:szCs w:val="20"/>
              </w:rPr>
              <w:t xml:space="preserve">      "score":           0.91,</w:t>
            </w:r>
          </w:p>
          <w:p>
            <w:pPr>
              <w:spacing w:after="40" w:before="0" w:line="260"/>
            </w:pPr>
            <w:r>
              <w:rPr>
                <w:rFonts w:ascii="Consolas" w:cs="Consolas" w:eastAsia="Consolas" w:hAnsi="Consolas"/>
                <w:color w:val="1A1A1A"/>
                <w:sz w:val="20"/>
                <w:szCs w:val="20"/>
              </w:rPr>
              <w:t xml:space="preserve">      "is_fallback":     false</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"rank":            2,</w:t>
            </w:r>
          </w:p>
          <w:p>
            <w:pPr>
              <w:spacing w:after="40" w:before="0" w:line="260"/>
            </w:pPr>
            <w:r>
              <w:rPr>
                <w:rFonts w:ascii="Consolas" w:cs="Consolas" w:eastAsia="Consolas" w:hAnsi="Consolas"/>
                <w:color w:val="1A1A1A"/>
                <w:sz w:val="20"/>
                <w:szCs w:val="20"/>
              </w:rPr>
              <w:t xml:space="preserve">      "cluster_id":      "c_002",</w:t>
            </w:r>
          </w:p>
          <w:p>
            <w:pPr>
              <w:spacing w:after="40" w:before="0" w:line="260"/>
            </w:pPr>
            <w:r>
              <w:rPr>
                <w:rFonts w:ascii="Consolas" w:cs="Consolas" w:eastAsia="Consolas" w:hAnsi="Consolas"/>
                <w:color w:val="1A1A1A"/>
                <w:sz w:val="20"/>
                <w:szCs w:val="20"/>
              </w:rPr>
              <w:t xml:space="preserve">      "specific_intent": "User is exploring vintage denim brands",</w:t>
            </w:r>
          </w:p>
          <w:p>
            <w:pPr>
              <w:spacing w:after="40" w:before="0" w:line="260"/>
            </w:pPr>
            <w:r>
              <w:rPr>
                <w:rFonts w:ascii="Consolas" w:cs="Consolas" w:eastAsia="Consolas" w:hAnsi="Consolas"/>
                <w:color w:val="1A1A1A"/>
                <w:sz w:val="20"/>
                <w:szCs w:val="20"/>
              </w:rPr>
              <w:t xml:space="preserve">      "journey_stage":   "research",</w:t>
            </w:r>
          </w:p>
          <w:p>
            <w:pPr>
              <w:spacing w:after="40" w:before="0" w:line="260"/>
            </w:pPr>
            <w:r>
              <w:rPr>
                <w:rFonts w:ascii="Consolas" w:cs="Consolas" w:eastAsia="Consolas" w:hAnsi="Consolas"/>
                <w:color w:val="1A1A1A"/>
                <w:sz w:val="20"/>
                <w:szCs w:val="20"/>
              </w:rPr>
              <w:t xml:space="preserve">      "score":           0.44,</w:t>
            </w:r>
          </w:p>
          <w:p>
            <w:pPr>
              <w:spacing w:after="40" w:before="0" w:line="260"/>
            </w:pPr>
            <w:r>
              <w:rPr>
                <w:rFonts w:ascii="Consolas" w:cs="Consolas" w:eastAsia="Consolas" w:hAnsi="Consolas"/>
                <w:color w:val="1A1A1A"/>
                <w:sz w:val="20"/>
                <w:szCs w:val="20"/>
              </w:rPr>
              <w:t xml:space="preserve">      "is_fallback":     false</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w:t>
            </w:r>
          </w:p>
        </w:tc>
      </w:tr>
    </w:tbl>
    <w:p>
      <w:pPr>
        <w:spacing w:after="120" w:before="0"/>
      </w:pPr>
      <w:r>
        <w:t xml:space="preserve"/>
      </w:r>
    </w:p>
    <w:p>
      <w:pPr>
        <w:spacing w:after="120" w:before="240"/>
      </w:pPr>
      <w:r>
        <w:rPr>
          <w:rFonts w:ascii="Calibri" w:cs="Calibri" w:eastAsia="Calibri" w:hAnsi="Calibri"/>
          <w:b/>
          <w:bCs/>
          <w:color w:val="004E42"/>
          <w:sz w:val="26"/>
          <w:szCs w:val="26"/>
        </w:rPr>
        <w:t xml:space="preserve">6.1 Top-K cap</w:t>
      </w:r>
    </w:p>
    <w:p>
      <w:pPr>
        <w:spacing w:after="120" w:before="0" w:line="300"/>
      </w:pPr>
      <w:r>
        <w:rPr>
          <w:rFonts w:ascii="Calibri" w:cs="Calibri" w:eastAsia="Calibri" w:hAnsi="Calibri"/>
          <w:color w:val="1A1A1A"/>
          <w:sz w:val="22"/>
          <w:szCs w:val="22"/>
        </w:rPr>
        <w:t xml:space="preserve">A maximum of 5 intents per user is surfaced. If a user has more than 5 qualifying clusters, the top 5 by score are kept. Default of 5 is tunable on POC data based on the observed distribution of cluster counts per user and downstream consumer needs.</w:t>
      </w:r>
    </w:p>
    <w:p>
      <w:pPr>
        <w:spacing w:after="80" w:before="0"/>
      </w:pPr>
      <w:r>
        <w:t xml:space="preserve"/>
      </w:r>
    </w:p>
    <w:p>
      <w:pPr>
        <w:spacing w:after="120" w:before="240"/>
      </w:pPr>
      <w:r>
        <w:rPr>
          <w:rFonts w:ascii="Calibri" w:cs="Calibri" w:eastAsia="Calibri" w:hAnsi="Calibri"/>
          <w:b/>
          <w:bCs/>
          <w:color w:val="004E42"/>
          <w:sz w:val="26"/>
          <w:szCs w:val="26"/>
        </w:rPr>
        <w:t xml:space="preserve">6.2 Fallback for users with no qualifying intents</w:t>
      </w:r>
    </w:p>
    <w:p>
      <w:pPr>
        <w:spacing w:after="120" w:before="0" w:line="300"/>
      </w:pPr>
      <w:r>
        <w:rPr>
          <w:rFonts w:ascii="Calibri" w:cs="Calibri" w:eastAsia="Calibri" w:hAnsi="Calibri"/>
          <w:color w:val="1A1A1A"/>
          <w:sz w:val="22"/>
          <w:szCs w:val="22"/>
        </w:rPr>
        <w:t xml:space="preserve">Some users will have no clusters above threshold -- either because they have very little activity, all their rows are noise, or all their cluster scores are below threshold. The API never returns null. A single fallback record is served instead, clearly marked so downstream consumers can choose how to handle 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40" w:before="0" w:line="260"/>
            </w:pPr>
            <w:r>
              <w:rPr>
                <w:rFonts w:ascii="Consolas" w:cs="Consolas" w:eastAsia="Consolas" w:hAnsi="Consolas"/>
                <w:color w:val="1A1A1A"/>
                <w:sz w:val="20"/>
                <w:szCs w:val="20"/>
              </w:rPr>
              <w:t xml:space="preserve">{</w:t>
            </w:r>
          </w:p>
          <w:p>
            <w:pPr>
              <w:spacing w:after="40" w:before="0" w:line="260"/>
            </w:pPr>
            <w:r>
              <w:rPr>
                <w:rFonts w:ascii="Consolas" w:cs="Consolas" w:eastAsia="Consolas" w:hAnsi="Consolas"/>
                <w:color w:val="1A1A1A"/>
                <w:sz w:val="20"/>
                <w:szCs w:val="20"/>
              </w:rPr>
              <w:t xml:space="preserve">  "user_id":     "u_999",</w:t>
            </w:r>
          </w:p>
          <w:p>
            <w:pPr>
              <w:spacing w:after="40" w:before="0" w:line="260"/>
            </w:pPr>
            <w:r>
              <w:rPr>
                <w:rFonts w:ascii="Consolas" w:cs="Consolas" w:eastAsia="Consolas" w:hAnsi="Consolas"/>
                <w:color w:val="1A1A1A"/>
                <w:sz w:val="20"/>
                <w:szCs w:val="20"/>
              </w:rPr>
              <w:t xml:space="preserve">  "generated_at": 1770212965,</w:t>
            </w:r>
          </w:p>
          <w:p>
            <w:pPr>
              <w:spacing w:after="40" w:before="0" w:line="260"/>
            </w:pPr>
            <w:r>
              <w:rPr>
                <w:rFonts w:ascii="Consolas" w:cs="Consolas" w:eastAsia="Consolas" w:hAnsi="Consolas"/>
                <w:color w:val="1A1A1A"/>
                <w:sz w:val="20"/>
                <w:szCs w:val="20"/>
              </w:rPr>
              <w:t xml:space="preserve">  "intents":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"rank":            1,</w:t>
            </w:r>
          </w:p>
          <w:p>
            <w:pPr>
              <w:spacing w:after="40" w:before="0" w:line="260"/>
            </w:pPr>
            <w:r>
              <w:rPr>
                <w:rFonts w:ascii="Consolas" w:cs="Consolas" w:eastAsia="Consolas" w:hAnsi="Consolas"/>
                <w:color w:val="1A1A1A"/>
                <w:sz w:val="20"/>
                <w:szCs w:val="20"/>
              </w:rPr>
              <w:t xml:space="preserve">      "cluster_id":      "fallback",</w:t>
            </w:r>
          </w:p>
          <w:p>
            <w:pPr>
              <w:spacing w:after="40" w:before="0" w:line="260"/>
            </w:pPr>
            <w:r>
              <w:rPr>
                <w:rFonts w:ascii="Consolas" w:cs="Consolas" w:eastAsia="Consolas" w:hAnsi="Consolas"/>
                <w:color w:val="1A1A1A"/>
                <w:sz w:val="20"/>
                <w:szCs w:val="20"/>
              </w:rPr>
              <w:t xml:space="preserve">      "specific_intent": "User has no specific active intent",</w:t>
            </w:r>
          </w:p>
          <w:p>
            <w:pPr>
              <w:spacing w:after="40" w:before="0" w:line="260"/>
            </w:pPr>
            <w:r>
              <w:rPr>
                <w:rFonts w:ascii="Consolas" w:cs="Consolas" w:eastAsia="Consolas" w:hAnsi="Consolas"/>
                <w:color w:val="1A1A1A"/>
                <w:sz w:val="20"/>
                <w:szCs w:val="20"/>
              </w:rPr>
              <w:t xml:space="preserve">      "journey_stage":   "awareness",</w:t>
            </w:r>
          </w:p>
          <w:p>
            <w:pPr>
              <w:spacing w:after="40" w:before="0" w:line="260"/>
            </w:pPr>
            <w:r>
              <w:rPr>
                <w:rFonts w:ascii="Consolas" w:cs="Consolas" w:eastAsia="Consolas" w:hAnsi="Consolas"/>
                <w:color w:val="1A1A1A"/>
                <w:sz w:val="20"/>
                <w:szCs w:val="20"/>
              </w:rPr>
              <w:t xml:space="preserve">      "score":           0.0,</w:t>
            </w:r>
          </w:p>
          <w:p>
            <w:pPr>
              <w:spacing w:after="40" w:before="0" w:line="260"/>
            </w:pPr>
            <w:r>
              <w:rPr>
                <w:rFonts w:ascii="Consolas" w:cs="Consolas" w:eastAsia="Consolas" w:hAnsi="Consolas"/>
                <w:color w:val="1A1A1A"/>
                <w:sz w:val="20"/>
                <w:szCs w:val="20"/>
              </w:rPr>
              <w:t xml:space="preserve">      "is_fallback":     true</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  ]</w:t>
            </w:r>
          </w:p>
          <w:p>
            <w:pPr>
              <w:spacing w:after="40" w:before="0" w:line="260"/>
            </w:pPr>
            <w:r>
              <w:rPr>
                <w:rFonts w:ascii="Consolas" w:cs="Consolas" w:eastAsia="Consolas" w:hAnsi="Consolas"/>
                <w:color w:val="1A1A1A"/>
                <w:sz w:val="20"/>
                <w:szCs w:val="20"/>
              </w:rPr>
              <w:t xml:space="preserve">}</w:t>
            </w:r>
          </w:p>
        </w:tc>
      </w:tr>
    </w:tbl>
    <w:p>
      <w:pPr>
        <w:spacing w:after="80" w:before="0"/>
      </w:pPr>
      <w:r>
        <w:t xml:space="preserve"/>
      </w:r>
    </w:p>
    <w:p>
      <w:pPr>
        <w:spacing w:after="120" w:before="240"/>
      </w:pPr>
      <w:r>
        <w:rPr>
          <w:rFonts w:ascii="Calibri" w:cs="Calibri" w:eastAsia="Calibri" w:hAnsi="Calibri"/>
          <w:b/>
          <w:bCs/>
          <w:color w:val="004E42"/>
          <w:sz w:val="26"/>
          <w:szCs w:val="26"/>
        </w:rPr>
        <w:t xml:space="preserve">6.3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Consumer</w:t>
            </w:r>
          </w:p>
        </w:tc>
        <w:tc>
          <w:tcPr>
            <w:tcW w:type="dxa" w:w="61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How it uses the intent</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CARS (Creative Ranking)</w:t>
            </w:r>
          </w:p>
        </w:tc>
        <w:tc>
          <w:tcPr>
            <w:tcW w:type="dxa" w:w="6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Uses specific_intent and journey_stage to rank creatives matched to the user's mission and stage.</w:t>
            </w:r>
          </w:p>
        </w:tc>
      </w:tr>
      <w:tr>
        <w:trPr>
          <w:cantSplit/>
        </w:trPr>
        <w:tc>
          <w:tcPr>
            <w:tcW w:type="dxa" w:w="32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Content Assembly Agent</w:t>
            </w:r>
          </w:p>
        </w:tc>
        <w:tc>
          <w:tcPr>
            <w:tcW w:type="dxa" w:w="61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Uses the intent to build a coherent email narrative tied to the user's mission.</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Subject Line Agent</w:t>
            </w:r>
          </w:p>
        </w:tc>
        <w:tc>
          <w:tcPr>
            <w:tcW w:type="dxa" w:w="61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Uses the intent to generate a personalised subject line and preheader.</w:t>
            </w:r>
          </w:p>
        </w:tc>
      </w:tr>
    </w:tbl>
    <w:p>
      <w:pPr>
        <w:spacing w:after="160" w:before="320"/>
      </w:pPr>
      <w:r>
        <w:rPr>
          <w:rFonts w:ascii="Calibri" w:cs="Calibri" w:eastAsia="Calibri" w:hAnsi="Calibri"/>
          <w:b/>
          <w:bCs/>
          <w:color w:val="FE5000"/>
          <w:sz w:val="36"/>
          <w:szCs w:val="36"/>
        </w:rPr>
        <w:t xml:space="preserve">7. Intent Lifecycle</w:t>
      </w:r>
    </w:p>
    <w:p>
      <w:pPr>
        <w:spacing w:after="120" w:before="0" w:line="300"/>
      </w:pPr>
      <w:r>
        <w:rPr>
          <w:rFonts w:ascii="Calibri" w:cs="Calibri" w:eastAsia="Calibri" w:hAnsi="Calibri"/>
          <w:color w:val="1A1A1A"/>
          <w:sz w:val="22"/>
          <w:szCs w:val="22"/>
        </w:rPr>
        <w:t xml:space="preserve">Intents are recomputed in a daily batch run. Each run regenerates the user's intents from scratch based on the past 90 days of activity. Consumers should treat each day's intent record as a fresh snapshot rather than a long-lived object that persists across runs.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Property</w:t>
            </w:r>
          </w:p>
        </w:tc>
        <w:tc>
          <w:tcPr>
            <w:tcW w:type="dxa" w:w="69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Detail</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Run cadence</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Daily batch (POC default; production may need higher cadence or streaming).</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Recomputation</w:t>
            </w:r>
          </w:p>
        </w:tc>
        <w:tc>
          <w:tcPr>
            <w:tcW w:type="dxa" w:w="6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Each run regenerates intents from scratch. No incremental update.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Cluster ID stability</w:t>
            </w:r>
          </w:p>
        </w:tc>
        <w:tc>
          <w:tcPr>
            <w:tcW w:type="dxa" w:w="6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Cluster IDs are not stable across runs. Consumers identify intents by content, not ID.</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Storage</w:t>
            </w:r>
          </w:p>
        </w:tc>
        <w:tc>
          <w:tcPr>
            <w:tcW w:type="dxa" w:w="6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Latest valid intent record per user. Previous runs replaced on the next refresh.</w:t>
            </w:r>
          </w:p>
        </w:tc>
      </w:tr>
    </w:tbl>
    <w:p>
      <w:pPr>
        <w:spacing w:after="160" w:before="320"/>
      </w:pPr>
      <w:r>
        <w:rPr>
          <w:rFonts w:ascii="Calibri" w:cs="Calibri" w:eastAsia="Calibri" w:hAnsi="Calibri"/>
          <w:b/>
          <w:bCs/>
          <w:color w:val="FE5000"/>
          <w:sz w:val="36"/>
          <w:szCs w:val="36"/>
        </w:rPr>
        <w:t xml:space="preserve">8. Parameters and Calibration</w:t>
      </w:r>
    </w:p>
    <w:p>
      <w:pPr>
        <w:spacing w:after="120" w:before="0" w:line="300"/>
      </w:pPr>
      <w:r>
        <w:rPr>
          <w:rFonts w:ascii="Calibri" w:cs="Calibri" w:eastAsia="Calibri" w:hAnsi="Calibri"/>
          <w:color w:val="1A1A1A"/>
          <w:sz w:val="22"/>
          <w:szCs w:val="22"/>
        </w:rPr>
        <w:t xml:space="preserve">Every constant in the design is documented as a default value to be calibrated on POC data. None of these values are claimed to be optimal -- they are starting points chosen to be defensible and tunable.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Parameter</w:t>
            </w:r>
          </w:p>
        </w:tc>
        <w:tc>
          <w:tcPr>
            <w:tcW w:type="dxa" w:w="29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Default for POC</w:t>
            </w:r>
          </w:p>
        </w:tc>
        <w:tc>
          <w:tcPr>
            <w:tcW w:type="dxa" w:w="40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Calibrated against</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Eligibility window</w:t>
            </w:r>
          </w:p>
        </w:tc>
        <w:tc>
          <w:tcPr>
            <w:tcW w:type="dxa" w:w="2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90 days</w:t>
            </w:r>
          </w:p>
        </w:tc>
        <w:tc>
          <w:tcPr>
            <w:tcW w:type="dxa" w:w="4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Repurchase cycle distribution by category.</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τ  (recency half-life)</w:t>
            </w:r>
          </w:p>
        </w:tc>
        <w:tc>
          <w:tcPr>
            <w:tcW w:type="dxa" w:w="2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14 days</w:t>
            </w:r>
          </w:p>
        </w:tc>
        <w:tc>
          <w:tcPr>
            <w:tcW w:type="dxa" w:w="40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Score distribution and cluster quality on real activity data.</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S_sat  (consistency saturation)</w:t>
            </w:r>
          </w:p>
        </w:tc>
        <w:tc>
          <w:tcPr>
            <w:tcW w:type="dxa" w:w="2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TBD on POC data</w:t>
            </w:r>
          </w:p>
        </w:tc>
        <w:tc>
          <w:tcPr>
            <w:tcW w:type="dxa" w:w="4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Cluster strength distribution; chosen so 'fully reinforced' anchor patterns saturate.</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Signal weights</w:t>
            </w:r>
          </w:p>
        </w:tc>
        <w:tc>
          <w:tcPr>
            <w:tcW w:type="dxa" w:w="2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cart 0.90, watchlist 0.70, search 0.55, view 0.40, browse 0.20</w:t>
            </w:r>
          </w:p>
        </w:tc>
        <w:tc>
          <w:tcPr>
            <w:tcW w:type="dxa" w:w="40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Predictive power of each signal type for downstream conversion.</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Acceptance threshold</w:t>
            </w:r>
          </w:p>
        </w:tc>
        <w:tc>
          <w:tcPr>
            <w:tcW w:type="dxa" w:w="2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0.25</w:t>
            </w:r>
          </w:p>
        </w:tc>
        <w:tc>
          <w:tcPr>
            <w:tcW w:type="dxa" w:w="4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Coverage versus precision tradeoff; depends on how many users we want to surface real intents for.</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Top-K per user</w:t>
            </w:r>
          </w:p>
        </w:tc>
        <w:tc>
          <w:tcPr>
            <w:tcW w:type="dxa" w:w="2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5</w:t>
            </w:r>
          </w:p>
        </w:tc>
        <w:tc>
          <w:tcPr>
            <w:tcW w:type="dxa" w:w="40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Cluster count distribution per user and downstream consumer needs.</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HDBSCAN min_cluster_size</w:t>
            </w:r>
          </w:p>
        </w:tc>
        <w:tc>
          <w:tcPr>
            <w:tcW w:type="dxa" w:w="2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Cluster count distribution and noise rate.</w:t>
            </w:r>
          </w:p>
        </w:tc>
      </w:tr>
      <w:tr>
        <w:trPr>
          <w:cantSplit/>
        </w:trPr>
        <w:tc>
          <w:tcPr>
            <w:tcW w:type="dxa" w:w="24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Embedding model</w:t>
            </w:r>
          </w:p>
        </w:tc>
        <w:tc>
          <w:tcPr>
            <w:tcW w:type="dxa" w:w="29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Off-the-shelf sentence embedder; final choice TBD</w:t>
            </w:r>
          </w:p>
        </w:tc>
        <w:tc>
          <w:tcPr>
            <w:tcW w:type="dxa" w:w="40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Cluster coherence on a 200-user POC sample (candidates: MiniLM, BGE, e5).</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Clustering mode</w:t>
            </w:r>
          </w:p>
        </w:tc>
        <w:tc>
          <w:tcPr>
            <w:tcW w:type="dxa" w:w="29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Mode 1 (title only) as default hypothesis</w:t>
            </w:r>
          </w:p>
        </w:tc>
        <w:tc>
          <w:tcPr>
            <w:tcW w:type="dxa" w:w="4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Cluster coherence and downstream usefulness; Mode 1 vs Mode 2 compared empirically.</w:t>
            </w:r>
          </w:p>
        </w:tc>
      </w:tr>
    </w:tbl>
    <w:p>
      <w:pPr>
        <w:spacing w:after="160" w:before="320"/>
      </w:pPr>
      <w:r>
        <w:rPr>
          <w:rFonts w:ascii="Calibri" w:cs="Calibri" w:eastAsia="Calibri" w:hAnsi="Calibri"/>
          <w:b/>
          <w:bCs/>
          <w:color w:val="FE5000"/>
          <w:sz w:val="36"/>
          <w:szCs w:val="36"/>
        </w:rPr>
        <w:t xml:space="preserve">9. Open Questions for the Review</w:t>
      </w:r>
    </w:p>
    <w:p>
      <w:pPr>
        <w:spacing w:after="120" w:before="0" w:line="300"/>
      </w:pPr>
      <w:r>
        <w:rPr>
          <w:rFonts w:ascii="Calibri" w:cs="Calibri" w:eastAsia="Calibri" w:hAnsi="Calibri"/>
          <w:color w:val="1A1A1A"/>
          <w:sz w:val="22"/>
          <w:szCs w:val="22"/>
        </w:rPr>
        <w:t xml:space="preserve">These are decisions that need product-level input rather than data-level calibration. Carrying them as open questions to the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rPr>
          <w:tblHeader/>
        </w:trPr>
        <w:tc>
          <w:tcPr>
            <w:tcW w:type="dxa" w:w="6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w:t>
            </w:r>
          </w:p>
        </w:tc>
        <w:tc>
          <w:tcPr>
            <w:tcW w:type="dxa" w:w="376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Question</w:t>
            </w:r>
          </w:p>
        </w:tc>
        <w:tc>
          <w:tcPr>
            <w:tcW w:type="dxa" w:w="50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Why this needs review-level input</w:t>
            </w:r>
          </w:p>
        </w:tc>
      </w:tr>
      <w:tr>
        <w:trPr>
          <w:cantSplit/>
        </w:trPr>
        <w:tc>
          <w:tcPr>
            <w:tcW w:type="dxa" w:w="6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How should past-purchase signals be treated? Replenishables imply continued interest; durables imply completed missions.</w:t>
            </w:r>
          </w:p>
        </w:tc>
        <w:tc>
          <w:tcPr>
            <w:tcW w:type="dxa" w:w="5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Right answer is category-dependent and depends on what downstream consumers want -- 'you may want this again' versus 'do not show what they just bought'. Three framings on the table from exclude-purchases-entirely to category-aware suppression.</w:t>
            </w:r>
          </w:p>
        </w:tc>
      </w:tr>
      <w:tr>
        <w:trPr>
          <w:cantSplit/>
        </w:trPr>
        <w:tc>
          <w:tcPr>
            <w:tcW w:type="dxa" w:w="6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2</w:t>
            </w:r>
          </w:p>
        </w:tc>
        <w:tc>
          <w:tcPr>
            <w:tcW w:type="dxa" w:w="376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Mode 1 versus Mode 2 -- granular item/model intents, or broader category-level intents?</w:t>
            </w:r>
          </w:p>
        </w:tc>
        <w:tc>
          <w:tcPr>
            <w:tcW w:type="dxa" w:w="50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Both are technically valid; the choice depends on what abstraction level CARS, Content Assembly, and Subject Line need. Will be empirically validated but the desired direction needs alignment.</w:t>
            </w:r>
          </w:p>
        </w:tc>
      </w:tr>
      <w:tr>
        <w:trPr>
          <w:cantSplit/>
        </w:trPr>
        <w:tc>
          <w:tcPr>
            <w:tcW w:type="dxa" w:w="6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Top-K cap of 5 -- right number for downstream consumers?</w:t>
            </w:r>
          </w:p>
        </w:tc>
        <w:tc>
          <w:tcPr>
            <w:tcW w:type="dxa" w:w="5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Downstream agents may want fewer high-confidence intents or more wide-coverage intents depending on email design.</w:t>
            </w:r>
          </w:p>
        </w:tc>
      </w:tr>
    </w:tbl>
    <w:p>
      <w:pPr>
        <w:spacing w:after="160" w:before="320"/>
      </w:pPr>
      <w:r>
        <w:rPr>
          <w:rFonts w:ascii="Calibri" w:cs="Calibri" w:eastAsia="Calibri" w:hAnsi="Calibri"/>
          <w:b/>
          <w:bCs/>
          <w:color w:val="FE5000"/>
          <w:sz w:val="36"/>
          <w:szCs w:val="36"/>
        </w:rPr>
        <w:t xml:space="preserve">10. Real-World Risks</w:t>
      </w:r>
    </w:p>
    <w:p>
      <w:pPr>
        <w:spacing w:after="120" w:before="0" w:line="300"/>
      </w:pPr>
      <w:r>
        <w:rPr>
          <w:rFonts w:ascii="Calibri" w:cs="Calibri" w:eastAsia="Calibri" w:hAnsi="Calibri"/>
          <w:color w:val="1A1A1A"/>
          <w:sz w:val="22"/>
          <w:szCs w:val="22"/>
        </w:rPr>
        <w:t xml:space="preserve">Failure modes the design might encounter in production. Most can be quantified once POC data is available; listed here so the review surface is complete.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Area</w:t>
            </w:r>
          </w:p>
        </w:tc>
        <w:tc>
          <w:tcPr>
            <w:tcW w:type="dxa" w:w="368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Risk</w:t>
            </w:r>
          </w:p>
        </w:tc>
        <w:tc>
          <w:tcPr>
            <w:tcW w:type="dxa" w:w="3680"/>
            <w:tcBorders>
              <w:top w:val="single" w:color="CCCCCC" w:sz="1"/>
              <w:left w:val="single" w:color="CCCCCC" w:sz="1"/>
              <w:bottom w:val="single" w:color="CCCCCC" w:sz="1"/>
              <w:right w:val="single" w:color="CCCCCC" w:sz="1"/>
            </w:tcBorders>
            <w:shd w:fill="004E42" w:val="clear"/>
            <w:tcMar>
              <w:top w:type="dxa" w:w="110"/>
              <w:left w:type="dxa" w:w="160"/>
              <w:bottom w:type="dxa" w:w="110"/>
              <w:right w:type="dxa" w:w="160"/>
            </w:tcMar>
            <w:vAlign w:val="center"/>
          </w:tcPr>
          <w:p>
            <w:pPr>
              <w:spacing w:after="0" w:before="0"/>
            </w:pPr>
            <w:r>
              <w:rPr>
                <w:rFonts w:ascii="Calibri" w:cs="Calibri" w:eastAsia="Calibri" w:hAnsi="Calibri"/>
                <w:b/>
                <w:bCs/>
                <w:color w:val="FFFFFF"/>
                <w:sz w:val="22"/>
                <w:szCs w:val="22"/>
              </w:rPr>
              <w:t xml:space="preserve">How POC data will inform</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Pipeline coverage</w:t>
            </w:r>
          </w:p>
        </w:tc>
        <w:tc>
          <w:tcPr>
            <w:tcW w:type="dxa" w:w="36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Some users will have too few signals to form clusters above threshold and will fall back to the generic intent.</w:t>
            </w:r>
          </w:p>
        </w:tc>
        <w:tc>
          <w:tcPr>
            <w:tcW w:type="dxa" w:w="36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Measure fallback rate by user cohort; informs whether thresholds, min_cluster_size, or signal coverage need adjustment.</w:t>
            </w:r>
          </w:p>
        </w:tc>
      </w:tr>
      <w:tr>
        <w:trPr>
          <w:cantSplit/>
        </w:trPr>
        <w:tc>
          <w:tcPr>
            <w:tcW w:type="dxa" w:w="20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Signal quality</w:t>
            </w:r>
          </w:p>
        </w:tc>
        <w:tc>
          <w:tcPr>
            <w:tcW w:type="dxa" w:w="368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Search queries may be dominated by typos and templates; titles may be inconsistent.</w:t>
            </w:r>
          </w:p>
        </w:tc>
        <w:tc>
          <w:tcPr>
            <w:tcW w:type="dxa" w:w="368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Measure cluster coherence and noise rate; informs normalisation and embedding model choice.</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Browse signals</w:t>
            </w:r>
          </w:p>
        </w:tc>
        <w:tc>
          <w:tcPr>
            <w:tcW w:type="dxa" w:w="36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Browse text is semantically thin and may form generic clusters in Mode 2.</w:t>
            </w:r>
          </w:p>
        </w:tc>
        <w:tc>
          <w:tcPr>
            <w:tcW w:type="dxa" w:w="36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Compare cluster usefulness in Mode 1 vs Mode 2 on the same user sample.</w:t>
            </w:r>
          </w:p>
        </w:tc>
      </w:tr>
      <w:tr>
        <w:trPr>
          <w:cantSplit/>
        </w:trPr>
        <w:tc>
          <w:tcPr>
            <w:tcW w:type="dxa" w:w="20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Heavy-search users</w:t>
            </w:r>
          </w:p>
        </w:tc>
        <w:tc>
          <w:tcPr>
            <w:tcW w:type="dxa" w:w="368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Repeated phrasing of the same query can artificially inflate cluster density. Intents may also flip between daily runs even when underlying behaviour is stable.</w:t>
            </w:r>
          </w:p>
        </w:tc>
        <w:tc>
          <w:tcPr>
            <w:tcW w:type="dxa" w:w="368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Measure search repetition patterns and per-row count distribution; measure intent stability across consecutive runs.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Score formula</w:t>
            </w:r>
          </w:p>
        </w:tc>
        <w:tc>
          <w:tcPr>
            <w:tcW w:type="dxa" w:w="36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Equal weighting of recency and consistency may not be optimal across categories.</w:t>
            </w:r>
          </w:p>
        </w:tc>
        <w:tc>
          <w:tcPr>
            <w:tcW w:type="dxa" w:w="36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Compare score distribution against downstream conversion proxies.</w:t>
            </w:r>
          </w:p>
        </w:tc>
      </w:tr>
      <w:tr>
        <w:trPr>
          <w:cantSplit/>
        </w:trPr>
        <w:tc>
          <w:tcPr>
            <w:tcW w:type="dxa" w:w="200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LLM output quality</w:t>
            </w:r>
          </w:p>
        </w:tc>
        <w:tc>
          <w:tcPr>
            <w:tcW w:type="dxa" w:w="368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Gemini may produce labels that are polished but generic.</w:t>
            </w:r>
          </w:p>
        </w:tc>
        <w:tc>
          <w:tcPr>
            <w:tcW w:type="dxa" w:w="3680"/>
            <w:tcBorders>
              <w:top w:val="single" w:color="CCCCCC" w:sz="1"/>
              <w:left w:val="single" w:color="CCCCCC" w:sz="1"/>
              <w:bottom w:val="single" w:color="CCCCCC" w:sz="1"/>
              <w:right w:val="single" w:color="CCCCCC" w:sz="1"/>
            </w:tcBorders>
            <w:shd w:fill="F7F7F5"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Measure validator failure rate; informs prompt and validation tuning.</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Past-purchase handling</w:t>
            </w:r>
          </w:p>
        </w:tc>
        <w:tc>
          <w:tcPr>
            <w:tcW w:type="dxa" w:w="36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Purchase signals may incorrectly generate intents for already-completed missions.</w:t>
            </w:r>
          </w:p>
        </w:tc>
        <w:tc>
          <w:tcPr>
            <w:tcW w:type="dxa" w:w="3680"/>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60"/>
            </w:tcMar>
            <w:vAlign w:val="top"/>
          </w:tcPr>
          <w:p>
            <w:pPr>
              <w:spacing w:after="0" w:before="0" w:line="300"/>
            </w:pPr>
            <w:r>
              <w:rPr>
                <w:rFonts w:ascii="Calibri" w:cs="Calibri" w:eastAsia="Calibri" w:hAnsi="Calibri"/>
                <w:color w:val="1A1A1A"/>
                <w:sz w:val="22"/>
                <w:szCs w:val="22"/>
              </w:rPr>
              <w:t xml:space="preserve">Open product question; quantify rate of repeat-after-purchase versus stale-purchase patterns.</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80"/>
    </w:pPr>
    <w:r>
      <w:rPr>
        <w:rFonts w:ascii="Calibri" w:cs="Calibri" w:eastAsia="Calibri" w:hAnsi="Calibri"/>
        <w:color w:val="888888"/>
        <w:sz w:val="18"/>
        <w:szCs w:val="18"/>
      </w:rPr>
      <w:t xml:space="preserve">CRM Personalisation  |  Core AI</w:t>
    </w:r>
    <w:r>
      <w:rPr>
        <w:rFonts w:ascii="Calibri" w:cs="Calibri" w:eastAsia="Calibri" w:hAnsi="Calibri"/>
        <w:color w:val="888888"/>
        <w:sz w:val="18"/>
        <w:szCs w:val="18"/>
      </w:rPr>
      <w:t xml:space="preserve">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E5000" w:sz="8" w:space="4"/>
      </w:pBdr>
      <w:tabs>
        <w:tab w:val="right" w:pos="9360"/>
      </w:tabs>
      <w:spacing w:after="80" w:before="0"/>
    </w:pPr>
    <w:r>
      <w:rPr>
        <w:rFonts w:ascii="Calibri" w:cs="Calibri" w:eastAsia="Calibri" w:hAnsi="Calibri"/>
        <w:b/>
        <w:bCs/>
        <w:color w:val="FE5000"/>
        <w:sz w:val="20"/>
        <w:szCs w:val="20"/>
      </w:rPr>
      <w:t xml:space="preserve">User Intent Agent</w:t>
    </w:r>
    <w:r>
      <w:rPr>
        <w:rFonts w:ascii="Calibri" w:cs="Calibri" w:eastAsia="Calibri" w:hAnsi="Calibri"/>
        <w:color w:val="555555"/>
        <w:sz w:val="20"/>
        <w:szCs w:val="20"/>
      </w:rPr>
      <w:t xml:space="preserve">	Business Approach  |  Internal  |  POC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1913688c4e1f7539d6822592fcb16ebfe95f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Intent Agent - Business Approach</dc:title>
  <dc:creator>Intent Agent Team</dc:creator>
  <cp:lastModifiedBy>Un-named</cp:lastModifiedBy>
  <cp:revision>1</cp:revision>
  <dcterms:created xsi:type="dcterms:W3CDTF">2026-04-15T11:44:15.902Z</dcterms:created>
  <dcterms:modified xsi:type="dcterms:W3CDTF">2026-04-15T11:44:15.904Z</dcterms:modified>
</cp:coreProperties>
</file>

<file path=docProps/custom.xml><?xml version="1.0" encoding="utf-8"?>
<Properties xmlns="http://schemas.openxmlformats.org/officeDocument/2006/custom-properties" xmlns:vt="http://schemas.openxmlformats.org/officeDocument/2006/docPropsVTypes"/>
</file>