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FE2F3">
      <w:pPr>
        <w:spacing w:before="0" w:after="80"/>
        <w:jc w:val="center"/>
      </w:pPr>
      <w:bookmarkStart w:id="0" w:name="_GoBack"/>
      <w:bookmarkEnd w:id="0"/>
      <w:r>
        <w:rPr>
          <w:rFonts w:ascii="Calibri" w:hAnsi="Calibri"/>
          <w:b/>
          <w:color w:val="1A365D"/>
          <w:sz w:val="40"/>
        </w:rPr>
        <w:t>EDUGENIE: GOOGLE GEMINI POWERED LEARNING ASSISTANT</w:t>
      </w:r>
    </w:p>
    <w:p w14:paraId="1B5A861D">
      <w:pPr>
        <w:spacing w:after="480"/>
        <w:jc w:val="center"/>
      </w:pPr>
      <w:r>
        <w:rPr>
          <w:rFonts w:ascii="Calibri" w:hAnsi="Calibri"/>
          <w:i/>
          <w:color w:val="4A5568"/>
          <w:sz w:val="24"/>
        </w:rPr>
        <w:t>Phase 1: Brainstorming and Ideation Prioritization — Detailed Problem Statement</w:t>
      </w:r>
    </w:p>
    <w:p w14:paraId="50A63EF8">
      <w:pPr>
        <w:keepNext/>
        <w:spacing w:before="240" w:after="240"/>
      </w:pPr>
      <w:r>
        <w:rPr>
          <w:rFonts w:ascii="Calibri" w:hAnsi="Calibri"/>
          <w:b/>
          <w:color w:val="1A365D"/>
          <w:sz w:val="32"/>
        </w:rPr>
        <w:t>2. Problem Statement</w:t>
      </w:r>
    </w:p>
    <w:p w14:paraId="073C6041">
      <w:pPr>
        <w:keepNext/>
        <w:spacing w:before="240" w:after="120"/>
      </w:pPr>
      <w:r>
        <w:rPr>
          <w:rFonts w:ascii="Calibri" w:hAnsi="Calibri"/>
          <w:b/>
          <w:color w:val="2C5282"/>
          <w:sz w:val="26"/>
        </w:rPr>
        <w:t>2.1 The Educational Context</w:t>
      </w:r>
    </w:p>
    <w:p w14:paraId="682D9C5A">
      <w:r>
        <w:t>Modern educational ecosystems are more populated and digitally native than ever before, yet academic outcomes remain severely bottlenecked by legacy infrastructure design. Existing Learning Management Systems (LMS) and broad online content repositories operate as passive text and video warehouses. They require the individual student to do all the structural heavy lifting of parsing, filtering, and synthesizing vast, disconnected oceans of unorganized information.</w:t>
      </w:r>
    </w:p>
    <w:p w14:paraId="0F277DAF">
      <w:r>
        <w:t>Because learning content remains fundamentally non-interactive, students are forced into passive information consumption patterns. When complex hurdles arise during asynchronous independent study, there is no structural framework available to adapt to an individual student's baseline capacity, forcing them to spend valuable study time navigating fragmented toolsets rather than acquiring actual knowledge metrics.</w:t>
      </w:r>
    </w:p>
    <w:p w14:paraId="572506A6">
      <w:pPr>
        <w:keepNext/>
        <w:spacing w:before="240" w:after="120"/>
      </w:pPr>
      <w:r>
        <w:rPr>
          <w:rFonts w:ascii="Calibri" w:hAnsi="Calibri"/>
          <w:b/>
          <w:color w:val="2C5282"/>
          <w:sz w:val="26"/>
        </w:rPr>
        <w:t>2.2 The Core Problem Statement</w:t>
      </w:r>
    </w:p>
    <w:tbl>
      <w:tblPr>
        <w:tblStyle w:val="12"/>
        <w:tblW w:w="0" w:type="auto"/>
        <w:tblInd w:w="0" w:type="dxa"/>
        <w:tblLayout w:type="fixed"/>
        <w:tblCellMar>
          <w:top w:w="0" w:type="dxa"/>
          <w:left w:w="108" w:type="dxa"/>
          <w:bottom w:w="0" w:type="dxa"/>
          <w:right w:w="108" w:type="dxa"/>
        </w:tblCellMar>
      </w:tblPr>
      <w:tblGrid>
        <w:gridCol w:w="9360"/>
      </w:tblGrid>
      <w:tr w14:paraId="0B135DF4">
        <w:tblPrEx>
          <w:tblCellMar>
            <w:top w:w="0" w:type="dxa"/>
            <w:left w:w="108" w:type="dxa"/>
            <w:bottom w:w="0" w:type="dxa"/>
            <w:right w:w="108" w:type="dxa"/>
          </w:tblCellMar>
        </w:tblPrEx>
        <w:tc>
          <w:tcPr>
            <w:tcW w:w="9360" w:type="dxa"/>
            <w:tcBorders>
              <w:top w:val="nil"/>
              <w:left w:val="single" w:color="D69E2E" w:sz="24" w:space="0"/>
              <w:bottom w:val="nil"/>
              <w:right w:val="nil"/>
            </w:tcBorders>
            <w:shd w:val="clear" w:color="auto" w:fill="FEF3C7"/>
            <w:tcMar>
              <w:top w:w="180" w:type="dxa"/>
              <w:left w:w="240" w:type="dxa"/>
              <w:bottom w:w="180" w:type="dxa"/>
              <w:right w:w="240" w:type="dxa"/>
            </w:tcMar>
          </w:tcPr>
          <w:p w14:paraId="32E5AA16">
            <w:pPr>
              <w:spacing w:before="80" w:after="80" w:line="288" w:lineRule="auto"/>
            </w:pPr>
            <w:r>
              <w:rPr>
                <w:rFonts w:ascii="Calibri" w:hAnsi="Calibri"/>
                <w:b/>
                <w:color w:val="744210"/>
                <w:sz w:val="22"/>
              </w:rPr>
              <w:t>Students face acute academic friction, mental anxiety, and systemic learning disengagement because existing digital learning tools lack real-time context, adaptivity, and interactive guidance.</w:t>
            </w:r>
            <w:r>
              <w:rPr>
                <w:rFonts w:ascii="Calibri" w:hAnsi="Calibri"/>
                <w:b/>
                <w:color w:val="744210"/>
                <w:sz w:val="22"/>
              </w:rPr>
              <w:br w:type="textWrapping"/>
            </w:r>
            <w:r>
              <w:rPr>
                <w:rFonts w:ascii="Calibri" w:hAnsi="Calibri"/>
                <w:b/>
                <w:color w:val="744210"/>
                <w:sz w:val="22"/>
              </w:rPr>
              <w:br w:type="textWrapping"/>
            </w:r>
            <w:r>
              <w:rPr>
                <w:rFonts w:ascii="Calibri" w:hAnsi="Calibri"/>
                <w:b/>
                <w:color w:val="744210"/>
                <w:sz w:val="22"/>
              </w:rPr>
              <w:t>When an independent learner struggles with a specific conceptual block, code exception runtime error, or dense textbook assignment outside of standard classroom hours, they hit an operational 'assistance vacuum.' Legacy lookup behaviors—such as broad search queries or non-targeted video streaming—fail to diagnose the exact pedagogical gap, trapping the student in cognitive fatigue and academic frustration.</w:t>
            </w:r>
          </w:p>
        </w:tc>
      </w:tr>
    </w:tbl>
    <w:p w14:paraId="3E603794">
      <w:pPr>
        <w:spacing w:before="160" w:after="80"/>
      </w:pPr>
    </w:p>
    <w:p w14:paraId="068E170B">
      <w:pPr>
        <w:keepNext/>
        <w:spacing w:before="240" w:after="120"/>
      </w:pPr>
      <w:r>
        <w:rPr>
          <w:rFonts w:ascii="Calibri" w:hAnsi="Calibri"/>
          <w:b/>
          <w:color w:val="2C5282"/>
          <w:sz w:val="26"/>
        </w:rPr>
        <w:t>2.3 The Solution Metric (EduGenie Application Framework)</w:t>
      </w:r>
    </w:p>
    <w:p w14:paraId="6F954040">
      <w:r>
        <w:t>EduGenie bridges this assistance vacuum by acting as an active, context-aware AI learning companion powered by the Google Gemini API. Instead of forcing students to manually index scattered forums, the platform delivers structural optimization through:</w:t>
      </w:r>
    </w:p>
    <w:p w14:paraId="7C078966">
      <w:pPr>
        <w:pStyle w:val="23"/>
        <w:spacing w:before="40" w:after="80"/>
      </w:pPr>
      <w:r>
        <w:rPr>
          <w:b/>
          <w:color w:val="1A365D"/>
        </w:rPr>
        <w:t xml:space="preserve">Multimodal Concept Breakdown: </w:t>
      </w:r>
      <w:r>
        <w:rPr>
          <w:b w:val="0"/>
        </w:rPr>
        <w:t>Translates complex theoretical inputs and uploaded structural figures into step-by-step analogies matching user cognitive limits.</w:t>
      </w:r>
    </w:p>
    <w:p w14:paraId="145C7E35">
      <w:pPr>
        <w:pStyle w:val="23"/>
        <w:spacing w:before="40" w:after="80"/>
      </w:pPr>
      <w:r>
        <w:rPr>
          <w:b/>
          <w:color w:val="1A365D"/>
        </w:rPr>
        <w:t xml:space="preserve">Real-time Debugging &amp; Code Explanations: </w:t>
      </w:r>
      <w:r>
        <w:rPr>
          <w:b w:val="0"/>
        </w:rPr>
        <w:t>Ingests technical stack errors and returns code structural diagnostics, explaining the core 'why' behind software syntax compilation errors natively.</w:t>
      </w:r>
    </w:p>
    <w:p w14:paraId="3EFA0544">
      <w:pPr>
        <w:pStyle w:val="23"/>
        <w:spacing w:before="40" w:after="80"/>
      </w:pPr>
      <w:r>
        <w:rPr>
          <w:b/>
          <w:color w:val="1A365D"/>
        </w:rPr>
        <w:t xml:space="preserve">Dynamic Formative Assessments: </w:t>
      </w:r>
      <w:r>
        <w:rPr>
          <w:b w:val="0"/>
        </w:rPr>
        <w:t>Synthesizes custom markdown quizzes with interactive contextual tracking to automatically challenge students based on previous response vulnerabilities.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1375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Calibri" w:hAnsi="Calibri" w:eastAsiaTheme="minorEastAsia" w:cstheme="minorBidi"/>
      <w:color w:val="2B2B2B"/>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324</Words>
  <Characters>2219</Characters>
  <Lines>0</Lines>
  <Paragraphs>0</Paragraphs>
  <TotalTime>0</TotalTime>
  <ScaleCrop>false</ScaleCrop>
  <LinksUpToDate>false</LinksUpToDate>
  <CharactersWithSpaces>2529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2026-09-29T15:15:54Z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B9C3029AB8C24A42A8DD1CC520CF86F6_13</vt:lpwstr>
  </property>
</Properties>
</file>