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89622">
      <w:pPr>
        <w:spacing w:before="0" w:after="80"/>
        <w:jc w:val="center"/>
      </w:pPr>
      <w:bookmarkStart w:id="0" w:name="_GoBack"/>
      <w:bookmarkEnd w:id="0"/>
      <w:r>
        <w:rPr>
          <w:b/>
          <w:color w:val="1F4E79"/>
          <w:sz w:val="44"/>
        </w:rPr>
        <w:t>PHASE 1: BRAINSTORMING &amp; IDEATION PRIORITIZATION</w:t>
      </w:r>
    </w:p>
    <w:p w14:paraId="305A1DCF">
      <w:pPr>
        <w:spacing w:after="480"/>
        <w:jc w:val="center"/>
      </w:pPr>
      <w:r>
        <w:rPr>
          <w:i/>
          <w:color w:val="7F7F7F"/>
          <w:sz w:val="22"/>
        </w:rPr>
        <w:t>Project: EduGenie (Google Gemini-Powered Learning Assistant)</w:t>
      </w:r>
      <w:r>
        <w:rPr>
          <w:i/>
          <w:color w:val="7F7F7F"/>
          <w:sz w:val="22"/>
        </w:rPr>
        <w:br w:type="textWrapping"/>
      </w:r>
      <w:r>
        <w:rPr>
          <w:i/>
          <w:color w:val="7F7F7F"/>
          <w:sz w:val="22"/>
        </w:rPr>
        <w:t>Document Code: EDG-P1-DOC</w:t>
      </w:r>
    </w:p>
    <w:p w14:paraId="2A1861B2">
      <w:pPr>
        <w:keepNext/>
        <w:pBdr>
          <w:bottom w:val="single" w:color="1F4E79" w:sz="6" w:space="4"/>
        </w:pBdr>
        <w:spacing w:before="360" w:after="120"/>
      </w:pPr>
      <w:r>
        <w:rPr>
          <w:b/>
          <w:color w:val="1F4E79"/>
          <w:sz w:val="32"/>
        </w:rPr>
        <w:t>1. PHASE DETAILED DOCUMENT</w:t>
      </w:r>
    </w:p>
    <w:p w14:paraId="0D109BF8">
      <w:pPr>
        <w:keepNext/>
        <w:spacing w:before="240" w:after="80"/>
      </w:pPr>
      <w:r>
        <w:rPr>
          <w:b/>
          <w:color w:val="1F4E79"/>
          <w:sz w:val="26"/>
        </w:rPr>
        <w:t>1.1 Executive Summary</w:t>
      </w:r>
    </w:p>
    <w:p w14:paraId="21528A87">
      <w:pPr>
        <w:spacing w:after="120"/>
      </w:pPr>
      <w:r>
        <w:t xml:space="preserve">Phase 1 marks the foundational discovery, alignment, and scoping period for </w:t>
      </w:r>
      <w:r>
        <w:rPr>
          <w:b/>
        </w:rPr>
        <w:t>EduGenie</w:t>
      </w:r>
      <w:r>
        <w:t xml:space="preserve">. The core objective is to transition from a conceptual product vision into a validated, high-value product backlog. By mapping the generative and multimodal capabilities of the </w:t>
      </w:r>
      <w:r>
        <w:rPr>
          <w:b/>
        </w:rPr>
        <w:t>Google Gemini API</w:t>
      </w:r>
      <w:r>
        <w:t xml:space="preserve"> against verified student friction points, this phase establishes a strategic roadmap focused on maximum user impact and minimal technical bloat.</w:t>
      </w:r>
    </w:p>
    <w:p w14:paraId="39683624">
      <w:pPr>
        <w:keepNext/>
        <w:spacing w:before="240" w:after="80"/>
      </w:pPr>
      <w:r>
        <w:rPr>
          <w:b/>
          <w:color w:val="1F4E79"/>
          <w:sz w:val="26"/>
        </w:rPr>
        <w:t>1.2 Core Objectives</w:t>
      </w:r>
    </w:p>
    <w:p w14:paraId="3EB9C9AB">
      <w:pPr>
        <w:pStyle w:val="23"/>
        <w:spacing w:after="60"/>
      </w:pPr>
      <w:r>
        <w:rPr>
          <w:b/>
        </w:rPr>
        <w:t xml:space="preserve">Establish Strategic Alignment: </w:t>
      </w:r>
      <w:r>
        <w:t>Define the minimum viable product (MVP) scope across product, engineering, and design teams.</w:t>
      </w:r>
    </w:p>
    <w:p w14:paraId="76EA6C77">
      <w:pPr>
        <w:pStyle w:val="23"/>
        <w:spacing w:after="60"/>
      </w:pPr>
      <w:r>
        <w:rPr>
          <w:b/>
        </w:rPr>
        <w:t xml:space="preserve">Technological Feasibility Mapping: </w:t>
      </w:r>
      <w:r>
        <w:t>Anchor ideation around Gemini's unique capabilities, including its ultra-long context window, native multimodality (text, vision, audio, code), and high-speed reasoning.</w:t>
      </w:r>
    </w:p>
    <w:p w14:paraId="1A1FB3E3">
      <w:pPr>
        <w:pStyle w:val="23"/>
        <w:spacing w:after="120"/>
      </w:pPr>
      <w:r>
        <w:rPr>
          <w:b/>
        </w:rPr>
        <w:t xml:space="preserve">De-risk Development: </w:t>
      </w:r>
      <w:r>
        <w:t>Identify technical, pedagogical, and ethical constraints (e.g., AI hallucinations, data privacy) before writing code.</w:t>
      </w:r>
    </w:p>
    <w:p w14:paraId="28C21FD6">
      <w:pPr>
        <w:keepNext/>
        <w:spacing w:before="240" w:after="80"/>
      </w:pPr>
      <w:r>
        <w:rPr>
          <w:b/>
          <w:color w:val="1F4E79"/>
          <w:sz w:val="26"/>
        </w:rPr>
        <w:t>1.3 Methodology &amp; Frameworks</w:t>
      </w:r>
    </w:p>
    <w:p w14:paraId="4DDF7FC1">
      <w:pPr>
        <w:spacing w:after="80"/>
      </w:pPr>
      <w:r>
        <w:t>To guarantee a structured approach, Phase 1 utilizes three primary operational frameworks:</w:t>
      </w:r>
    </w:p>
    <w:p w14:paraId="4B81E031">
      <w:pPr>
        <w:pStyle w:val="29"/>
        <w:spacing w:after="60"/>
      </w:pPr>
      <w:r>
        <w:rPr>
          <w:b/>
        </w:rPr>
        <w:t xml:space="preserve">Design Thinking (Empathize &amp; Define): </w:t>
      </w:r>
      <w:r>
        <w:t>Gathering qualitative inputs to understand the student journey, culminating in the Empathy Map.</w:t>
      </w:r>
    </w:p>
    <w:p w14:paraId="6C44A400">
      <w:pPr>
        <w:pStyle w:val="29"/>
        <w:spacing w:after="60"/>
      </w:pPr>
      <w:r>
        <w:rPr>
          <w:b/>
        </w:rPr>
        <w:t xml:space="preserve">Impact vs. Effort Matrix: </w:t>
      </w:r>
      <w:r>
        <w:t>A 2x2 prioritization grid used to categorize brainstormed features into Quick Wins, Major Projects, Fill-ins, and Thankless Tasks.</w:t>
      </w:r>
    </w:p>
    <w:p w14:paraId="4A57E27F">
      <w:pPr>
        <w:pStyle w:val="29"/>
        <w:spacing w:after="120"/>
      </w:pPr>
      <w:r>
        <w:rPr>
          <w:b/>
        </w:rPr>
        <w:t xml:space="preserve">MoSCoW Method: </w:t>
      </w:r>
      <w:r>
        <w:t>Finalizing the functional requirements into Must-have, Should-have, Could-have, and Won't-have categories for the Phase 1 release.</w:t>
      </w:r>
    </w:p>
    <w:p w14:paraId="649FDB27">
      <w:pPr>
        <w:keepNext/>
        <w:spacing w:before="240" w:after="80"/>
      </w:pPr>
      <w:r>
        <w:rPr>
          <w:b/>
          <w:color w:val="1F4E79"/>
          <w:sz w:val="26"/>
        </w:rPr>
        <w:t>1.4 Phase Deliverables &amp; Success Sign-offs</w:t>
      </w:r>
    </w:p>
    <w:p w14:paraId="15526BEA">
      <w:pPr>
        <w:spacing w:after="80"/>
      </w:pPr>
      <w:r>
        <w:t>The completion of Phase 1 requires formal sign-off on the following artifacts:</w:t>
      </w:r>
    </w:p>
    <w:p w14:paraId="58EB50BA">
      <w:pPr>
        <w:pStyle w:val="23"/>
        <w:spacing w:after="60"/>
      </w:pPr>
      <w:r>
        <w:rPr>
          <w:b/>
        </w:rPr>
        <w:t xml:space="preserve">[  ] The Scoping Document: </w:t>
      </w:r>
      <w:r>
        <w:t>(This document) outlining boundaries, problems, and explicit user personas.</w:t>
      </w:r>
    </w:p>
    <w:p w14:paraId="60E9236A">
      <w:pPr>
        <w:pStyle w:val="23"/>
        <w:spacing w:after="60"/>
      </w:pPr>
      <w:r>
        <w:rPr>
          <w:b/>
        </w:rPr>
        <w:t xml:space="preserve">[  ] The Prioritized Product Backlog: </w:t>
      </w:r>
      <w:r>
        <w:t>A detailed list of Gemini-powered features categorized by launch priority.</w:t>
      </w:r>
    </w:p>
    <w:p w14:paraId="159036FC">
      <w:pPr>
        <w:pStyle w:val="23"/>
        <w:spacing w:after="240"/>
      </w:pPr>
      <w:r>
        <w:rPr>
          <w:b/>
        </w:rPr>
        <w:t xml:space="preserve">[  ] Architecture High-Level Design (HLD): </w:t>
      </w:r>
      <w:r>
        <w:t>Initial structural diagram detailing how the user interface interacts with the Gemini API proxy.</w:t>
      </w:r>
    </w:p>
    <w:p w14:paraId="390E6C52">
      <w:pPr>
        <w:keepNext/>
        <w:pBdr>
          <w:bottom w:val="single" w:color="1F4E79" w:sz="6" w:space="4"/>
        </w:pBdr>
        <w:spacing w:before="360" w:after="120"/>
      </w:pPr>
      <w:r>
        <w:rPr>
          <w:b/>
          <w:color w:val="1F4E79"/>
          <w:sz w:val="32"/>
        </w:rPr>
        <w:t>2. PROBLEM STATEMENT</w:t>
      </w:r>
    </w:p>
    <w:p w14:paraId="78AF140E">
      <w:pPr>
        <w:keepNext/>
        <w:spacing w:before="240" w:after="80"/>
      </w:pPr>
      <w:r>
        <w:rPr>
          <w:b/>
          <w:color w:val="1F4E79"/>
          <w:sz w:val="26"/>
        </w:rPr>
        <w:t>2.1 The Context</w:t>
      </w:r>
    </w:p>
    <w:p w14:paraId="5069252F">
      <w:pPr>
        <w:spacing w:after="120"/>
      </w:pPr>
      <w:r>
        <w:t>Digital learning ecosystems are more populated than ever, yet educational outcomes remain bottlenecked by structural design. Modern Learning Management Systems (LMS) and online content repositories operate as passive warehouses. They demand that the student do the heavy lifting of parsing, filtering, and synthesizing vast oceans of unorganized information.</w:t>
      </w:r>
    </w:p>
    <w:p w14:paraId="4A7C1865">
      <w:pPr>
        <w:keepNext/>
        <w:spacing w:before="240" w:after="80"/>
      </w:pPr>
      <w:r>
        <w:rPr>
          <w:b/>
          <w:color w:val="1F4E79"/>
          <w:sz w:val="26"/>
        </w:rPr>
        <w:t>2.2 The Core Problem</w:t>
      </w:r>
    </w:p>
    <w:tbl>
      <w:tblPr>
        <w:tblStyle w:val="12"/>
        <w:tblW w:w="0" w:type="auto"/>
        <w:jc w:val="center"/>
        <w:tblLayout w:type="fixed"/>
        <w:tblCellMar>
          <w:top w:w="0" w:type="dxa"/>
          <w:left w:w="108" w:type="dxa"/>
          <w:bottom w:w="0" w:type="dxa"/>
          <w:right w:w="108" w:type="dxa"/>
        </w:tblCellMar>
      </w:tblPr>
      <w:tblGrid>
        <w:gridCol w:w="9360"/>
      </w:tblGrid>
      <w:tr w14:paraId="05DD7566">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FF2CC"/>
          </w:tcPr>
          <w:p w14:paraId="6A3ADE76">
            <w:pPr>
              <w:spacing w:before="80" w:after="80"/>
            </w:pPr>
            <w:r>
              <w:rPr>
                <w:i/>
                <w:sz w:val="21"/>
              </w:rPr>
              <w:t>Students face acute academic friction, anxiety, and disengagement because existing digital learning tools lack real-time context, adaptability, and interactive guidance.</w:t>
            </w:r>
          </w:p>
        </w:tc>
      </w:tr>
    </w:tbl>
    <w:p w14:paraId="5F3BB481">
      <w:pPr>
        <w:spacing w:after="120"/>
      </w:pPr>
    </w:p>
    <w:p w14:paraId="0D049E2F">
      <w:pPr>
        <w:spacing w:after="120"/>
      </w:pPr>
      <w:r>
        <w:t>When a student struggles with a specific concept, coding error, or dense text outside of classroom hours, they experience an "assistance vacuum." Traditional solutions—like generic search engine queries or static video tutorials—fail to diagnose the student's specific misunderstanding. This forces the learner into a loop of fragmented searching, leading to cognitive overload, lost study time, and learned helplessness.</w:t>
      </w:r>
    </w:p>
    <w:p w14:paraId="1EA930C8">
      <w:pPr>
        <w:keepNext/>
        <w:spacing w:before="240" w:after="80"/>
      </w:pPr>
      <w:r>
        <w:rPr>
          <w:b/>
          <w:color w:val="1F4E79"/>
          <w:sz w:val="26"/>
        </w:rPr>
        <w:t>2.3 The Solution Metric</w:t>
      </w:r>
    </w:p>
    <w:p w14:paraId="60D50219">
      <w:pPr>
        <w:spacing w:after="240"/>
      </w:pPr>
      <w:r>
        <w:t>EduGenie directly addresses this problem by serving as an active, context-aware AI learning companion. By utilizing Google Gemini, EduGenie transforms static educational materials into dynamic, bidirectional conversations. It provides instant, hyper-personalized explanations, automated visual breakdowns, code execution debugging, and custom-generated formative assessments tailored to the exact pace and comprehension level of the individual student.</w:t>
      </w:r>
    </w:p>
    <w:p w14:paraId="485812C5">
      <w:pPr>
        <w:keepNext/>
        <w:pBdr>
          <w:bottom w:val="single" w:color="1F4E79" w:sz="6" w:space="4"/>
        </w:pBdr>
        <w:spacing w:before="360" w:after="120"/>
      </w:pPr>
      <w:r>
        <w:rPr>
          <w:b/>
          <w:color w:val="1F4E79"/>
          <w:sz w:val="32"/>
        </w:rPr>
        <w:t>3. EMPATHY MAP</w:t>
      </w:r>
    </w:p>
    <w:p w14:paraId="2665234A">
      <w:pPr>
        <w:spacing w:after="240"/>
      </w:pPr>
      <w:r>
        <w:t>Target Persona Profile: "The Overwhelmed Achiever" (Secondary &amp; Higher Education students navigating complex, multi-disciplinary workloads).</w:t>
      </w:r>
    </w:p>
    <w:tbl>
      <w:tblPr>
        <w:tblStyle w:val="12"/>
        <w:tblW w:w="0" w:type="auto"/>
        <w:jc w:val="center"/>
        <w:tblLayout w:type="fixed"/>
        <w:tblCellMar>
          <w:top w:w="0" w:type="dxa"/>
          <w:left w:w="108" w:type="dxa"/>
          <w:bottom w:w="0" w:type="dxa"/>
          <w:right w:w="108" w:type="dxa"/>
        </w:tblCellMar>
      </w:tblPr>
      <w:tblGrid>
        <w:gridCol w:w="4680"/>
        <w:gridCol w:w="4680"/>
      </w:tblGrid>
      <w:tr w14:paraId="712892E7">
        <w:tblPrEx>
          <w:tblCellMar>
            <w:top w:w="0" w:type="dxa"/>
            <w:left w:w="108" w:type="dxa"/>
            <w:bottom w:w="0" w:type="dxa"/>
            <w:right w:w="108" w:type="dxa"/>
          </w:tblCellMar>
        </w:tblPrEx>
        <w:trPr>
          <w:jc w:val="center"/>
        </w:trPr>
        <w:tc>
          <w:tcPr>
            <w:tcW w:w="4680" w:type="dxa"/>
            <w:shd w:val="clear" w:color="auto" w:fill="F2F4F7"/>
          </w:tcPr>
          <w:p w14:paraId="60FD4286">
            <w:pPr>
              <w:spacing w:before="80" w:after="80"/>
            </w:pPr>
            <w:r>
              <w:rPr>
                <w:b/>
                <w:color w:val="1F4E79"/>
                <w:sz w:val="22"/>
              </w:rPr>
              <w:t>THINKS</w:t>
            </w:r>
          </w:p>
          <w:p w14:paraId="7A38A461">
            <w:pPr>
              <w:spacing w:before="20" w:after="40"/>
            </w:pPr>
            <w:r>
              <w:rPr>
                <w:sz w:val="19"/>
              </w:rPr>
              <w:t>- "Am I the only one struggling with this logic?"</w:t>
            </w:r>
          </w:p>
          <w:p w14:paraId="73AABAD5">
            <w:pPr>
              <w:spacing w:before="20" w:after="40"/>
            </w:pPr>
            <w:r>
              <w:rPr>
                <w:sz w:val="19"/>
              </w:rPr>
              <w:t>- "I am wasting hours trying to find a good summary."</w:t>
            </w:r>
          </w:p>
          <w:p w14:paraId="5A1219D1">
            <w:pPr>
              <w:spacing w:before="20" w:after="40"/>
            </w:pPr>
            <w:r>
              <w:rPr>
                <w:sz w:val="19"/>
              </w:rPr>
              <w:t>- "I want to learn, but this text is impenetrable."</w:t>
            </w:r>
          </w:p>
        </w:tc>
        <w:tc>
          <w:tcPr>
            <w:tcW w:w="4680" w:type="dxa"/>
            <w:shd w:val="clear" w:color="auto" w:fill="F2F4F7"/>
          </w:tcPr>
          <w:p w14:paraId="46FD351F">
            <w:pPr>
              <w:spacing w:before="80" w:after="80"/>
            </w:pPr>
            <w:r>
              <w:rPr>
                <w:b/>
                <w:color w:val="1F4E79"/>
                <w:sz w:val="22"/>
              </w:rPr>
              <w:t>FEELS</w:t>
            </w:r>
          </w:p>
          <w:p w14:paraId="1C4D0AA3">
            <w:pPr>
              <w:spacing w:before="20" w:after="40"/>
            </w:pPr>
            <w:r>
              <w:rPr>
                <w:sz w:val="19"/>
              </w:rPr>
              <w:t>- Anxious about maintaining competitive grade scales.</w:t>
            </w:r>
          </w:p>
          <w:p w14:paraId="6ECEAD85">
            <w:pPr>
              <w:spacing w:before="20" w:after="40"/>
            </w:pPr>
            <w:r>
              <w:rPr>
                <w:sz w:val="19"/>
              </w:rPr>
              <w:t>- Paralyzed by formatting, syntax, or conceptual bugs.</w:t>
            </w:r>
          </w:p>
          <w:p w14:paraId="7C6B47B3">
            <w:pPr>
              <w:spacing w:before="20" w:after="40"/>
            </w:pPr>
            <w:r>
              <w:rPr>
                <w:sz w:val="19"/>
              </w:rPr>
              <w:t>- Defeated by non-interactive, rigid learning paths.</w:t>
            </w:r>
          </w:p>
        </w:tc>
      </w:tr>
      <w:tr w14:paraId="42327230">
        <w:tblPrEx>
          <w:tblCellMar>
            <w:top w:w="0" w:type="dxa"/>
            <w:left w:w="108" w:type="dxa"/>
            <w:bottom w:w="0" w:type="dxa"/>
            <w:right w:w="108" w:type="dxa"/>
          </w:tblCellMar>
        </w:tblPrEx>
        <w:trPr>
          <w:jc w:val="center"/>
        </w:trPr>
        <w:tc>
          <w:tcPr>
            <w:tcW w:w="4680" w:type="dxa"/>
            <w:shd w:val="clear" w:color="auto" w:fill="F2F4F7"/>
          </w:tcPr>
          <w:p w14:paraId="5009116B">
            <w:pPr>
              <w:spacing w:before="80" w:after="80"/>
            </w:pPr>
            <w:r>
              <w:rPr>
                <w:b/>
                <w:color w:val="1F4E79"/>
                <w:sz w:val="22"/>
              </w:rPr>
              <w:t>SAYS</w:t>
            </w:r>
          </w:p>
          <w:p w14:paraId="494A7BEB">
            <w:pPr>
              <w:spacing w:before="20" w:after="40"/>
            </w:pPr>
            <w:r>
              <w:rPr>
                <w:sz w:val="19"/>
              </w:rPr>
              <w:t>- "I understand the video, but I can't solve the actual homework problems."</w:t>
            </w:r>
          </w:p>
          <w:p w14:paraId="7C438790">
            <w:pPr>
              <w:spacing w:before="20" w:after="40"/>
            </w:pPr>
            <w:r>
              <w:rPr>
                <w:sz w:val="19"/>
              </w:rPr>
              <w:t>- "I just need someone to explain this bug simply, without the jargon."</w:t>
            </w:r>
          </w:p>
          <w:p w14:paraId="33510BC6">
            <w:pPr>
              <w:spacing w:before="20" w:after="40"/>
            </w:pPr>
            <w:r>
              <w:rPr>
                <w:sz w:val="19"/>
              </w:rPr>
              <w:t>- "There aren't enough practice tests available for this niche topic."</w:t>
            </w:r>
          </w:p>
        </w:tc>
        <w:tc>
          <w:tcPr>
            <w:tcW w:w="4680" w:type="dxa"/>
            <w:shd w:val="clear" w:color="auto" w:fill="F2F4F7"/>
          </w:tcPr>
          <w:p w14:paraId="00B11E2B">
            <w:pPr>
              <w:spacing w:before="80" w:after="80"/>
            </w:pPr>
            <w:r>
              <w:rPr>
                <w:b/>
                <w:color w:val="1F4E79"/>
                <w:sz w:val="22"/>
              </w:rPr>
              <w:t>DOES</w:t>
            </w:r>
          </w:p>
          <w:p w14:paraId="169D4B84">
            <w:pPr>
              <w:spacing w:before="20" w:after="40"/>
            </w:pPr>
            <w:r>
              <w:rPr>
                <w:sz w:val="19"/>
              </w:rPr>
              <w:t>- Keeps 25+ browser tabs open across YouTube, StackOverflow, and Reddit.</w:t>
            </w:r>
          </w:p>
          <w:p w14:paraId="2A3C1EF1">
            <w:pPr>
              <w:spacing w:before="20" w:after="40"/>
            </w:pPr>
            <w:r>
              <w:rPr>
                <w:sz w:val="19"/>
              </w:rPr>
              <w:t>- Highlights entire chapters of text indiscriminately while reading.</w:t>
            </w:r>
          </w:p>
          <w:p w14:paraId="761E1DB0">
            <w:pPr>
              <w:spacing w:before="20" w:after="40"/>
            </w:pPr>
            <w:r>
              <w:rPr>
                <w:sz w:val="19"/>
              </w:rPr>
              <w:t>- Resorts to rote memorization and cramming right before deadlines.</w:t>
            </w:r>
          </w:p>
        </w:tc>
      </w:tr>
    </w:tbl>
    <w:p w14:paraId="2B46727F">
      <w:pPr>
        <w:spacing w:after="240"/>
      </w:pPr>
    </w:p>
    <w:p w14:paraId="601A1D11">
      <w:pPr>
        <w:keepNext/>
        <w:spacing w:before="240" w:after="80"/>
      </w:pPr>
      <w:r>
        <w:rPr>
          <w:b/>
          <w:color w:val="1F4E79"/>
          <w:sz w:val="26"/>
        </w:rPr>
        <w:t>3.1 Pain Points</w:t>
      </w:r>
    </w:p>
    <w:p w14:paraId="30B223B0">
      <w:pPr>
        <w:pStyle w:val="23"/>
        <w:spacing w:after="60"/>
      </w:pPr>
      <w:r>
        <w:rPr>
          <w:b/>
        </w:rPr>
        <w:t xml:space="preserve">Friction of Context Switching: </w:t>
      </w:r>
      <w:r>
        <w:t>Time and focus lost when constantly migrating between textbook PDFs, video lectures, and code editors.</w:t>
      </w:r>
    </w:p>
    <w:p w14:paraId="59F2CB73">
      <w:pPr>
        <w:pStyle w:val="23"/>
        <w:spacing w:after="60"/>
      </w:pPr>
      <w:r>
        <w:rPr>
          <w:b/>
        </w:rPr>
        <w:t xml:space="preserve">The Hall of Mirrors Effect: </w:t>
      </w:r>
      <w:r>
        <w:t>Getting conflicting or overly complex explanations from unverified online sources when trying to debug or clarify a point.</w:t>
      </w:r>
    </w:p>
    <w:p w14:paraId="41A62C45">
      <w:pPr>
        <w:pStyle w:val="23"/>
        <w:spacing w:after="120"/>
      </w:pPr>
      <w:r>
        <w:rPr>
          <w:b/>
        </w:rPr>
        <w:t xml:space="preserve">Assessment Scarcity: </w:t>
      </w:r>
      <w:r>
        <w:t>A lack of targeted, high-quality practice questions that accurately mirror the specific curriculum a student is being tested on.</w:t>
      </w:r>
    </w:p>
    <w:p w14:paraId="7EA98C7F">
      <w:pPr>
        <w:keepNext/>
        <w:spacing w:before="240" w:after="80"/>
      </w:pPr>
      <w:r>
        <w:rPr>
          <w:b/>
          <w:color w:val="1F4E79"/>
          <w:sz w:val="26"/>
        </w:rPr>
        <w:t>3.2 Expected Gains</w:t>
      </w:r>
    </w:p>
    <w:p w14:paraId="6CFACDC6">
      <w:pPr>
        <w:pStyle w:val="23"/>
        <w:spacing w:after="60"/>
      </w:pPr>
      <w:r>
        <w:rPr>
          <w:b/>
        </w:rPr>
        <w:t xml:space="preserve">Velocity of Comprehension: </w:t>
      </w:r>
      <w:r>
        <w:t>Drastically reducing the time it takes to move from a state of confusion to operational mastery of a concept.</w:t>
      </w:r>
    </w:p>
    <w:p w14:paraId="33B83554">
      <w:pPr>
        <w:pStyle w:val="23"/>
        <w:spacing w:after="60"/>
      </w:pPr>
      <w:r>
        <w:rPr>
          <w:b/>
        </w:rPr>
        <w:t xml:space="preserve">Asynchronous Confidence: </w:t>
      </w:r>
      <w:r>
        <w:t>The security of knowing a high-tier, patient academic mentor is available 24/7 to answer custom questions safely.</w:t>
      </w:r>
    </w:p>
    <w:p w14:paraId="4E376590">
      <w:pPr>
        <w:pStyle w:val="23"/>
      </w:pPr>
      <w:r>
        <w:rPr>
          <w:b/>
        </w:rPr>
        <w:t xml:space="preserve">Metacognitive Growth: </w:t>
      </w:r>
      <w:r>
        <w:t>Helping students learn how to study more effectively by exposing structural gaps in their knowledge via dynamic, adaptive quizzing.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5340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750</Words>
  <Characters>4692</Characters>
  <Lines>0</Lines>
  <Paragraphs>0</Paragraphs>
  <TotalTime>0</TotalTime>
  <ScaleCrop>false</ScaleCrop>
  <LinksUpToDate>false</LinksUpToDate>
  <CharactersWithSpaces>5391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ELCOT</cp:lastModifiedBy>
  <dcterms:modified xsi:type="dcterms:W3CDTF">2026-09-29T15:15:38Z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F8F1456844D54B6283A78E497B6A7400_13</vt:lpwstr>
  </property>
</Properties>
</file>