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7925A">
      <w:pPr>
        <w:spacing w:before="480" w:after="120"/>
      </w:pPr>
      <w:bookmarkStart w:id="0" w:name="_GoBack"/>
      <w:bookmarkEnd w:id="0"/>
      <w:r>
        <w:rPr>
          <w:b/>
          <w:color w:val="1A73E2"/>
          <w:sz w:val="56"/>
        </w:rPr>
        <w:t>EduGenie AI Learning Assistant</w:t>
      </w:r>
    </w:p>
    <w:p w14:paraId="22273B8A">
      <w:pPr>
        <w:spacing w:after="480"/>
      </w:pPr>
      <w:r>
        <w:rPr>
          <w:color w:val="5F6368"/>
          <w:sz w:val="28"/>
        </w:rPr>
        <w:t>Comprehensive Requirement Analysis &amp; Data Flow Architecture (DFD)</w:t>
      </w:r>
    </w:p>
    <w:p w14:paraId="35F6F43C">
      <w:pPr>
        <w:spacing w:after="240"/>
      </w:pPr>
    </w:p>
    <w:p w14:paraId="171E216C">
      <w:pPr>
        <w:spacing w:before="360" w:after="120"/>
      </w:pPr>
      <w:r>
        <w:rPr>
          <w:b/>
          <w:color w:val="1A73E2"/>
          <w:sz w:val="36"/>
        </w:rPr>
        <w:t>1. Executive Summary &amp; Product Vision</w:t>
      </w:r>
    </w:p>
    <w:p w14:paraId="7970BCE1">
      <w:pPr>
        <w:spacing w:after="160" w:line="276" w:lineRule="auto"/>
      </w:pPr>
      <w:r>
        <w:t>EduGenie is an advanced intelligent orchestration layer built on top of the Google Gemini Large Language Model API ecosystem. The platform serves as an enterprise and academic cognitive learning accelerator, seamlessly turning chaotic, unstructured, multimodal knowledge pools into structured, contextualized, and grounded interactive study journeys.</w:t>
      </w:r>
    </w:p>
    <w:tbl>
      <w:tblPr>
        <w:tblStyle w:val="12"/>
        <w:tblW w:w="0" w:type="auto"/>
        <w:jc w:val="center"/>
        <w:tblLayout w:type="fixed"/>
        <w:tblCellMar>
          <w:top w:w="0" w:type="dxa"/>
          <w:left w:w="108" w:type="dxa"/>
          <w:bottom w:w="0" w:type="dxa"/>
          <w:right w:w="108" w:type="dxa"/>
        </w:tblCellMar>
      </w:tblPr>
      <w:tblGrid>
        <w:gridCol w:w="9360"/>
      </w:tblGrid>
      <w:tr w14:paraId="145D21ED">
        <w:tblPrEx>
          <w:tblCellMar>
            <w:top w:w="0" w:type="dxa"/>
            <w:left w:w="108" w:type="dxa"/>
            <w:bottom w:w="0" w:type="dxa"/>
            <w:right w:w="108" w:type="dxa"/>
          </w:tblCellMar>
        </w:tblPrEx>
        <w:trPr>
          <w:jc w:val="center"/>
        </w:trPr>
        <w:tc>
          <w:tcPr>
            <w:tcW w:w="9360" w:type="dxa"/>
            <w:tcBorders>
              <w:top w:val="nil"/>
              <w:left w:val="single" w:color="1A73E2" w:sz="24" w:space="0"/>
              <w:bottom w:val="nil"/>
              <w:right w:val="nil"/>
            </w:tcBorders>
            <w:shd w:val="clear" w:color="auto" w:fill="F4F7FC"/>
            <w:tcMar>
              <w:top w:w="140" w:type="dxa"/>
              <w:left w:w="200" w:type="dxa"/>
              <w:bottom w:w="140" w:type="dxa"/>
              <w:right w:w="200" w:type="dxa"/>
            </w:tcMar>
          </w:tcPr>
          <w:p w14:paraId="783B1880">
            <w:pPr>
              <w:spacing w:before="80" w:after="80" w:line="276" w:lineRule="auto"/>
            </w:pPr>
            <w:r>
              <w:rPr>
                <w:rFonts w:ascii="Arial" w:hAnsi="Arial"/>
                <w:i/>
                <w:color w:val="202124"/>
                <w:sz w:val="21"/>
              </w:rPr>
              <w:t>Product Directive: Ensure absolute reduction of Large Language Model hallucinations. Every single piece of advice, flashcard generation, or dialogue turn generated by the AI model must be robustly anchored (grounded) in the corporate or academic media items provided by the end-users.</w:t>
            </w:r>
          </w:p>
        </w:tc>
      </w:tr>
    </w:tbl>
    <w:p w14:paraId="6000BF73">
      <w:pPr>
        <w:spacing w:before="360" w:after="120"/>
      </w:pPr>
      <w:r>
        <w:rPr>
          <w:b/>
          <w:color w:val="1A73E2"/>
          <w:sz w:val="32"/>
        </w:rPr>
        <w:t>2. Functional Requirements Specification (FR)</w:t>
      </w:r>
    </w:p>
    <w:tbl>
      <w:tblPr>
        <w:tblStyle w:val="12"/>
        <w:tblW w:w="0" w:type="auto"/>
        <w:jc w:val="center"/>
        <w:tblLayout w:type="fixed"/>
        <w:tblCellMar>
          <w:top w:w="0" w:type="dxa"/>
          <w:left w:w="108" w:type="dxa"/>
          <w:bottom w:w="0" w:type="dxa"/>
          <w:right w:w="108" w:type="dxa"/>
        </w:tblCellMar>
      </w:tblPr>
      <w:tblGrid>
        <w:gridCol w:w="3120"/>
        <w:gridCol w:w="3120"/>
        <w:gridCol w:w="3120"/>
      </w:tblGrid>
      <w:tr w14:paraId="2550E9BB">
        <w:tblPrEx>
          <w:tblCellMar>
            <w:top w:w="0" w:type="dxa"/>
            <w:left w:w="108" w:type="dxa"/>
            <w:bottom w:w="0" w:type="dxa"/>
            <w:right w:w="108" w:type="dxa"/>
          </w:tblCellMar>
        </w:tblPrEx>
        <w:trPr>
          <w:jc w:val="center"/>
        </w:trPr>
        <w:tc>
          <w:tcPr>
            <w:tcW w:w="1440" w:type="dxa"/>
            <w:shd w:val="clear" w:color="auto" w:fill="1A73E2"/>
            <w:tcMar>
              <w:top w:w="120" w:type="dxa"/>
              <w:left w:w="120" w:type="dxa"/>
              <w:bottom w:w="120" w:type="dxa"/>
              <w:right w:w="120" w:type="dxa"/>
            </w:tcMar>
          </w:tcPr>
          <w:p w14:paraId="2C04783E">
            <w:pPr>
              <w:jc w:val="left"/>
            </w:pPr>
            <w:r>
              <w:rPr>
                <w:b/>
                <w:color w:val="FFFFFF"/>
              </w:rPr>
              <w:t>Req ID</w:t>
            </w:r>
          </w:p>
        </w:tc>
        <w:tc>
          <w:tcPr>
            <w:tcW w:w="2880" w:type="dxa"/>
            <w:shd w:val="clear" w:color="auto" w:fill="1A73E2"/>
            <w:tcMar>
              <w:top w:w="120" w:type="dxa"/>
              <w:left w:w="120" w:type="dxa"/>
              <w:bottom w:w="120" w:type="dxa"/>
              <w:right w:w="120" w:type="dxa"/>
            </w:tcMar>
          </w:tcPr>
          <w:p w14:paraId="65FA27A0">
            <w:pPr>
              <w:jc w:val="left"/>
            </w:pPr>
            <w:r>
              <w:rPr>
                <w:b/>
                <w:color w:val="FFFFFF"/>
              </w:rPr>
              <w:t>Functional Feature Name</w:t>
            </w:r>
          </w:p>
        </w:tc>
        <w:tc>
          <w:tcPr>
            <w:tcW w:w="5040" w:type="dxa"/>
            <w:shd w:val="clear" w:color="auto" w:fill="1A73E2"/>
            <w:tcMar>
              <w:top w:w="120" w:type="dxa"/>
              <w:left w:w="120" w:type="dxa"/>
              <w:bottom w:w="120" w:type="dxa"/>
              <w:right w:w="120" w:type="dxa"/>
            </w:tcMar>
          </w:tcPr>
          <w:p w14:paraId="0F9E736C">
            <w:pPr>
              <w:jc w:val="left"/>
            </w:pPr>
            <w:r>
              <w:rPr>
                <w:b/>
                <w:color w:val="FFFFFF"/>
              </w:rPr>
              <w:t>Operational &amp; Capability Specifications</w:t>
            </w:r>
          </w:p>
        </w:tc>
      </w:tr>
      <w:tr w14:paraId="41B7B24F">
        <w:tblPrEx>
          <w:tblCellMar>
            <w:top w:w="0" w:type="dxa"/>
            <w:left w:w="108" w:type="dxa"/>
            <w:bottom w:w="0" w:type="dxa"/>
            <w:right w:w="108" w:type="dxa"/>
          </w:tblCellMar>
        </w:tblPrEx>
        <w:trPr>
          <w:jc w:val="center"/>
        </w:trPr>
        <w:tc>
          <w:tcPr>
            <w:tcW w:w="1440" w:type="dxa"/>
            <w:shd w:val="clear" w:color="auto" w:fill="FFFFFF"/>
            <w:tcMar>
              <w:top w:w="100" w:type="dxa"/>
              <w:left w:w="120" w:type="dxa"/>
              <w:bottom w:w="100" w:type="dxa"/>
              <w:right w:w="120" w:type="dxa"/>
            </w:tcMar>
          </w:tcPr>
          <w:p w14:paraId="49A69CC8">
            <w:pPr>
              <w:spacing w:line="276" w:lineRule="auto"/>
            </w:pPr>
            <w:r>
              <w:rPr>
                <w:b/>
              </w:rPr>
              <w:t>FR-ING-01</w:t>
            </w:r>
          </w:p>
        </w:tc>
        <w:tc>
          <w:tcPr>
            <w:tcW w:w="2880" w:type="dxa"/>
            <w:shd w:val="clear" w:color="auto" w:fill="FFFFFF"/>
            <w:tcMar>
              <w:top w:w="100" w:type="dxa"/>
              <w:left w:w="120" w:type="dxa"/>
              <w:bottom w:w="100" w:type="dxa"/>
              <w:right w:w="120" w:type="dxa"/>
            </w:tcMar>
          </w:tcPr>
          <w:p w14:paraId="0715643F">
            <w:pPr>
              <w:spacing w:line="276" w:lineRule="auto"/>
            </w:pPr>
            <w:r>
              <w:t>Multimodal RAG Ingestion</w:t>
            </w:r>
          </w:p>
        </w:tc>
        <w:tc>
          <w:tcPr>
            <w:tcW w:w="5040" w:type="dxa"/>
            <w:shd w:val="clear" w:color="auto" w:fill="FFFFFF"/>
            <w:tcMar>
              <w:top w:w="100" w:type="dxa"/>
              <w:left w:w="120" w:type="dxa"/>
              <w:bottom w:w="100" w:type="dxa"/>
              <w:right w:w="120" w:type="dxa"/>
            </w:tcMar>
          </w:tcPr>
          <w:p w14:paraId="71C69127">
            <w:pPr>
              <w:spacing w:line="276" w:lineRule="auto"/>
            </w:pPr>
            <w:r>
              <w:t>System must ingest text, PDFs, presentations, audio recordings, and video streams. Media assets are passed via vector extraction algorithms and indexed inside a cloud vector database.</w:t>
            </w:r>
          </w:p>
        </w:tc>
      </w:tr>
      <w:tr w14:paraId="3F04BEC5">
        <w:tblPrEx>
          <w:tblCellMar>
            <w:top w:w="0" w:type="dxa"/>
            <w:left w:w="108" w:type="dxa"/>
            <w:bottom w:w="0" w:type="dxa"/>
            <w:right w:w="108" w:type="dxa"/>
          </w:tblCellMar>
        </w:tblPrEx>
        <w:trPr>
          <w:jc w:val="center"/>
        </w:trPr>
        <w:tc>
          <w:tcPr>
            <w:tcW w:w="1440" w:type="dxa"/>
            <w:shd w:val="clear" w:color="auto" w:fill="F8F9FA"/>
            <w:tcMar>
              <w:top w:w="100" w:type="dxa"/>
              <w:left w:w="120" w:type="dxa"/>
              <w:bottom w:w="100" w:type="dxa"/>
              <w:right w:w="120" w:type="dxa"/>
            </w:tcMar>
          </w:tcPr>
          <w:p w14:paraId="4EC53FDE">
            <w:pPr>
              <w:spacing w:line="276" w:lineRule="auto"/>
            </w:pPr>
            <w:r>
              <w:rPr>
                <w:b/>
              </w:rPr>
              <w:t>FR-TUT-02</w:t>
            </w:r>
          </w:p>
        </w:tc>
        <w:tc>
          <w:tcPr>
            <w:tcW w:w="2880" w:type="dxa"/>
            <w:shd w:val="clear" w:color="auto" w:fill="F8F9FA"/>
            <w:tcMar>
              <w:top w:w="100" w:type="dxa"/>
              <w:left w:w="120" w:type="dxa"/>
              <w:bottom w:w="100" w:type="dxa"/>
              <w:right w:w="120" w:type="dxa"/>
            </w:tcMar>
          </w:tcPr>
          <w:p w14:paraId="12508382">
            <w:pPr>
              <w:spacing w:line="276" w:lineRule="auto"/>
            </w:pPr>
            <w:r>
              <w:t>Grounded AI Chat &amp; Citation</w:t>
            </w:r>
          </w:p>
        </w:tc>
        <w:tc>
          <w:tcPr>
            <w:tcW w:w="5040" w:type="dxa"/>
            <w:shd w:val="clear" w:color="auto" w:fill="F8F9FA"/>
            <w:tcMar>
              <w:top w:w="100" w:type="dxa"/>
              <w:left w:w="120" w:type="dxa"/>
              <w:bottom w:w="100" w:type="dxa"/>
              <w:right w:w="120" w:type="dxa"/>
            </w:tcMar>
          </w:tcPr>
          <w:p w14:paraId="27B821E4">
            <w:pPr>
              <w:spacing w:line="276" w:lineRule="auto"/>
            </w:pPr>
            <w:r>
              <w:t>Generates real-time Socratic feedback powered by Google Gemini. Out-of-bounds queries must trigger an immediate fail-safe fallback statement. Mandatory citations linking to source text chunks are required.</w:t>
            </w:r>
          </w:p>
        </w:tc>
      </w:tr>
      <w:tr w14:paraId="1E7EBAD7">
        <w:tblPrEx>
          <w:tblCellMar>
            <w:top w:w="0" w:type="dxa"/>
            <w:left w:w="108" w:type="dxa"/>
            <w:bottom w:w="0" w:type="dxa"/>
            <w:right w:w="108" w:type="dxa"/>
          </w:tblCellMar>
        </w:tblPrEx>
        <w:trPr>
          <w:jc w:val="center"/>
        </w:trPr>
        <w:tc>
          <w:tcPr>
            <w:tcW w:w="1440" w:type="dxa"/>
            <w:shd w:val="clear" w:color="auto" w:fill="FFFFFF"/>
            <w:tcMar>
              <w:top w:w="100" w:type="dxa"/>
              <w:left w:w="120" w:type="dxa"/>
              <w:bottom w:w="100" w:type="dxa"/>
              <w:right w:w="120" w:type="dxa"/>
            </w:tcMar>
          </w:tcPr>
          <w:p w14:paraId="05C81049">
            <w:pPr>
              <w:spacing w:line="276" w:lineRule="auto"/>
            </w:pPr>
            <w:r>
              <w:rPr>
                <w:b/>
              </w:rPr>
              <w:t>FR-ASS-03</w:t>
            </w:r>
          </w:p>
        </w:tc>
        <w:tc>
          <w:tcPr>
            <w:tcW w:w="2880" w:type="dxa"/>
            <w:shd w:val="clear" w:color="auto" w:fill="FFFFFF"/>
            <w:tcMar>
              <w:top w:w="100" w:type="dxa"/>
              <w:left w:w="120" w:type="dxa"/>
              <w:bottom w:w="100" w:type="dxa"/>
              <w:right w:w="120" w:type="dxa"/>
            </w:tcMar>
          </w:tcPr>
          <w:p w14:paraId="6AD82D47">
            <w:pPr>
              <w:spacing w:line="276" w:lineRule="auto"/>
            </w:pPr>
            <w:r>
              <w:t>Adaptive Assessment Generator</w:t>
            </w:r>
          </w:p>
        </w:tc>
        <w:tc>
          <w:tcPr>
            <w:tcW w:w="5040" w:type="dxa"/>
            <w:shd w:val="clear" w:color="auto" w:fill="FFFFFF"/>
            <w:tcMar>
              <w:top w:w="100" w:type="dxa"/>
              <w:left w:w="120" w:type="dxa"/>
              <w:bottom w:w="100" w:type="dxa"/>
              <w:right w:w="120" w:type="dxa"/>
            </w:tcMar>
          </w:tcPr>
          <w:p w14:paraId="7EF4EC51">
            <w:pPr>
              <w:spacing w:line="276" w:lineRule="auto"/>
            </w:pPr>
            <w:r>
              <w:t>Dynamically generates contextual multi-format practice tests. The query prompts evaluate performance dynamically and re-adjust question difficulties based on historic mock scoring vectors.</w:t>
            </w:r>
          </w:p>
        </w:tc>
      </w:tr>
    </w:tbl>
    <w:p w14:paraId="35997DBD">
      <w:pPr>
        <w:spacing w:after="240"/>
      </w:pPr>
    </w:p>
    <w:p w14:paraId="338E3B1E">
      <w:pPr>
        <w:spacing w:before="360" w:after="120"/>
      </w:pPr>
      <w:r>
        <w:rPr>
          <w:b/>
          <w:color w:val="1A73E2"/>
          <w:sz w:val="32"/>
        </w:rPr>
        <w:t>3. Non-Functional Requirements Specification (NFR)</w:t>
      </w:r>
    </w:p>
    <w:tbl>
      <w:tblPr>
        <w:tblStyle w:val="12"/>
        <w:tblW w:w="0" w:type="auto"/>
        <w:jc w:val="center"/>
        <w:tblLayout w:type="fixed"/>
        <w:tblCellMar>
          <w:top w:w="0" w:type="dxa"/>
          <w:left w:w="108" w:type="dxa"/>
          <w:bottom w:w="0" w:type="dxa"/>
          <w:right w:w="108" w:type="dxa"/>
        </w:tblCellMar>
      </w:tblPr>
      <w:tblGrid>
        <w:gridCol w:w="3120"/>
        <w:gridCol w:w="3120"/>
        <w:gridCol w:w="3120"/>
      </w:tblGrid>
      <w:tr w14:paraId="03A51554">
        <w:tblPrEx>
          <w:tblCellMar>
            <w:top w:w="0" w:type="dxa"/>
            <w:left w:w="108" w:type="dxa"/>
            <w:bottom w:w="0" w:type="dxa"/>
            <w:right w:w="108" w:type="dxa"/>
          </w:tblCellMar>
        </w:tblPrEx>
        <w:trPr>
          <w:jc w:val="center"/>
        </w:trPr>
        <w:tc>
          <w:tcPr>
            <w:tcW w:w="1440" w:type="dxa"/>
            <w:shd w:val="clear" w:color="auto" w:fill="5F6368"/>
            <w:tcMar>
              <w:top w:w="120" w:type="dxa"/>
              <w:left w:w="120" w:type="dxa"/>
              <w:bottom w:w="120" w:type="dxa"/>
              <w:right w:w="120" w:type="dxa"/>
            </w:tcMar>
          </w:tcPr>
          <w:p w14:paraId="28BEBB31">
            <w:r>
              <w:rPr>
                <w:b/>
                <w:color w:val="FFFFFF"/>
              </w:rPr>
              <w:t>Category</w:t>
            </w:r>
          </w:p>
        </w:tc>
        <w:tc>
          <w:tcPr>
            <w:tcW w:w="2880" w:type="dxa"/>
            <w:shd w:val="clear" w:color="auto" w:fill="5F6368"/>
            <w:tcMar>
              <w:top w:w="120" w:type="dxa"/>
              <w:left w:w="120" w:type="dxa"/>
              <w:bottom w:w="120" w:type="dxa"/>
              <w:right w:w="120" w:type="dxa"/>
            </w:tcMar>
          </w:tcPr>
          <w:p w14:paraId="0F7C1DB7">
            <w:r>
              <w:rPr>
                <w:b/>
                <w:color w:val="FFFFFF"/>
              </w:rPr>
              <w:t>Target Metric</w:t>
            </w:r>
          </w:p>
        </w:tc>
        <w:tc>
          <w:tcPr>
            <w:tcW w:w="5040" w:type="dxa"/>
            <w:shd w:val="clear" w:color="auto" w:fill="5F6368"/>
            <w:tcMar>
              <w:top w:w="120" w:type="dxa"/>
              <w:left w:w="120" w:type="dxa"/>
              <w:bottom w:w="120" w:type="dxa"/>
              <w:right w:w="120" w:type="dxa"/>
            </w:tcMar>
          </w:tcPr>
          <w:p w14:paraId="190FFACD">
            <w:r>
              <w:rPr>
                <w:b/>
                <w:color w:val="FFFFFF"/>
              </w:rPr>
              <w:t>Compliance &amp; Implementation Details</w:t>
            </w:r>
          </w:p>
        </w:tc>
      </w:tr>
      <w:tr w14:paraId="2B32F683">
        <w:tblPrEx>
          <w:tblCellMar>
            <w:top w:w="0" w:type="dxa"/>
            <w:left w:w="108" w:type="dxa"/>
            <w:bottom w:w="0" w:type="dxa"/>
            <w:right w:w="108" w:type="dxa"/>
          </w:tblCellMar>
        </w:tblPrEx>
        <w:trPr>
          <w:jc w:val="center"/>
        </w:trPr>
        <w:tc>
          <w:tcPr>
            <w:tcW w:w="1440" w:type="dxa"/>
            <w:shd w:val="clear" w:color="auto" w:fill="FFFFFF"/>
            <w:tcMar>
              <w:top w:w="100" w:type="dxa"/>
              <w:left w:w="120" w:type="dxa"/>
              <w:bottom w:w="100" w:type="dxa"/>
              <w:right w:w="120" w:type="dxa"/>
            </w:tcMar>
          </w:tcPr>
          <w:p w14:paraId="4E60B47F">
            <w:pPr>
              <w:spacing w:line="276" w:lineRule="auto"/>
            </w:pPr>
            <w:r>
              <w:rPr>
                <w:b/>
              </w:rPr>
              <w:t>Performance</w:t>
            </w:r>
          </w:p>
        </w:tc>
        <w:tc>
          <w:tcPr>
            <w:tcW w:w="2880" w:type="dxa"/>
            <w:shd w:val="clear" w:color="auto" w:fill="FFFFFF"/>
            <w:tcMar>
              <w:top w:w="100" w:type="dxa"/>
              <w:left w:w="120" w:type="dxa"/>
              <w:bottom w:w="100" w:type="dxa"/>
              <w:right w:w="120" w:type="dxa"/>
            </w:tcMar>
          </w:tcPr>
          <w:p w14:paraId="6AE02C8D">
            <w:pPr>
              <w:spacing w:line="276" w:lineRule="auto"/>
            </w:pPr>
            <w:r>
              <w:t>Sub-1.8s LLM Latency</w:t>
            </w:r>
          </w:p>
        </w:tc>
        <w:tc>
          <w:tcPr>
            <w:tcW w:w="5040" w:type="dxa"/>
            <w:shd w:val="clear" w:color="auto" w:fill="FFFFFF"/>
            <w:tcMar>
              <w:top w:w="100" w:type="dxa"/>
              <w:left w:w="120" w:type="dxa"/>
              <w:bottom w:w="100" w:type="dxa"/>
              <w:right w:w="120" w:type="dxa"/>
            </w:tcMar>
          </w:tcPr>
          <w:p w14:paraId="1D814903">
            <w:pPr>
              <w:spacing w:line="276" w:lineRule="auto"/>
            </w:pPr>
            <w:r>
              <w:t>95% of grounding generation cycles must return stream packets under 1.8 seconds. Vector embedding search sweeps are limited to a max timeout of 400ms.</w:t>
            </w:r>
          </w:p>
        </w:tc>
      </w:tr>
      <w:tr w14:paraId="199A40E6">
        <w:tblPrEx>
          <w:tblCellMar>
            <w:top w:w="0" w:type="dxa"/>
            <w:left w:w="108" w:type="dxa"/>
            <w:bottom w:w="0" w:type="dxa"/>
            <w:right w:w="108" w:type="dxa"/>
          </w:tblCellMar>
        </w:tblPrEx>
        <w:trPr>
          <w:jc w:val="center"/>
        </w:trPr>
        <w:tc>
          <w:tcPr>
            <w:tcW w:w="1440" w:type="dxa"/>
            <w:shd w:val="clear" w:color="auto" w:fill="F8F9FA"/>
            <w:tcMar>
              <w:top w:w="100" w:type="dxa"/>
              <w:left w:w="120" w:type="dxa"/>
              <w:bottom w:w="100" w:type="dxa"/>
              <w:right w:w="120" w:type="dxa"/>
            </w:tcMar>
          </w:tcPr>
          <w:p w14:paraId="04C61CC2">
            <w:pPr>
              <w:spacing w:line="276" w:lineRule="auto"/>
            </w:pPr>
            <w:r>
              <w:rPr>
                <w:b/>
              </w:rPr>
              <w:t>Security &amp; Privacy</w:t>
            </w:r>
          </w:p>
        </w:tc>
        <w:tc>
          <w:tcPr>
            <w:tcW w:w="2880" w:type="dxa"/>
            <w:shd w:val="clear" w:color="auto" w:fill="F8F9FA"/>
            <w:tcMar>
              <w:top w:w="100" w:type="dxa"/>
              <w:left w:w="120" w:type="dxa"/>
              <w:bottom w:w="100" w:type="dxa"/>
              <w:right w:w="120" w:type="dxa"/>
            </w:tcMar>
          </w:tcPr>
          <w:p w14:paraId="6D7A0303">
            <w:pPr>
              <w:spacing w:line="276" w:lineRule="auto"/>
            </w:pPr>
            <w:r>
              <w:t>SOC2 Type II &amp; Zero-Retention</w:t>
            </w:r>
          </w:p>
        </w:tc>
        <w:tc>
          <w:tcPr>
            <w:tcW w:w="5040" w:type="dxa"/>
            <w:shd w:val="clear" w:color="auto" w:fill="F8F9FA"/>
            <w:tcMar>
              <w:top w:w="100" w:type="dxa"/>
              <w:left w:w="120" w:type="dxa"/>
              <w:bottom w:w="100" w:type="dxa"/>
              <w:right w:w="120" w:type="dxa"/>
            </w:tcMar>
          </w:tcPr>
          <w:p w14:paraId="3B66A5A1">
            <w:pPr>
              <w:spacing w:line="276" w:lineRule="auto"/>
            </w:pPr>
            <w:r>
              <w:t>All uploaded user asset text vectors must reside in user-isolated database tenants. System prompts explicitly block training data persistence to external LLM servers.</w:t>
            </w:r>
          </w:p>
        </w:tc>
      </w:tr>
      <w:tr w14:paraId="7AB287D2">
        <w:tblPrEx>
          <w:tblCellMar>
            <w:top w:w="0" w:type="dxa"/>
            <w:left w:w="108" w:type="dxa"/>
            <w:bottom w:w="0" w:type="dxa"/>
            <w:right w:w="108" w:type="dxa"/>
          </w:tblCellMar>
        </w:tblPrEx>
        <w:trPr>
          <w:jc w:val="center"/>
        </w:trPr>
        <w:tc>
          <w:tcPr>
            <w:tcW w:w="1440" w:type="dxa"/>
            <w:shd w:val="clear" w:color="auto" w:fill="FFFFFF"/>
            <w:tcMar>
              <w:top w:w="100" w:type="dxa"/>
              <w:left w:w="120" w:type="dxa"/>
              <w:bottom w:w="100" w:type="dxa"/>
              <w:right w:w="120" w:type="dxa"/>
            </w:tcMar>
          </w:tcPr>
          <w:p w14:paraId="46E52EE5">
            <w:pPr>
              <w:spacing w:line="276" w:lineRule="auto"/>
            </w:pPr>
            <w:r>
              <w:rPr>
                <w:b/>
              </w:rPr>
              <w:t>Accessibility</w:t>
            </w:r>
          </w:p>
        </w:tc>
        <w:tc>
          <w:tcPr>
            <w:tcW w:w="2880" w:type="dxa"/>
            <w:shd w:val="clear" w:color="auto" w:fill="FFFFFF"/>
            <w:tcMar>
              <w:top w:w="100" w:type="dxa"/>
              <w:left w:w="120" w:type="dxa"/>
              <w:bottom w:w="100" w:type="dxa"/>
              <w:right w:w="120" w:type="dxa"/>
            </w:tcMar>
          </w:tcPr>
          <w:p w14:paraId="69E41043">
            <w:pPr>
              <w:spacing w:line="276" w:lineRule="auto"/>
            </w:pPr>
            <w:r>
              <w:t>WCAG 2.1 Level AA</w:t>
            </w:r>
          </w:p>
        </w:tc>
        <w:tc>
          <w:tcPr>
            <w:tcW w:w="5040" w:type="dxa"/>
            <w:shd w:val="clear" w:color="auto" w:fill="FFFFFF"/>
            <w:tcMar>
              <w:top w:w="100" w:type="dxa"/>
              <w:left w:w="120" w:type="dxa"/>
              <w:bottom w:w="100" w:type="dxa"/>
              <w:right w:w="120" w:type="dxa"/>
            </w:tcMar>
          </w:tcPr>
          <w:p w14:paraId="0C85FC8B">
            <w:pPr>
              <w:spacing w:line="276" w:lineRule="auto"/>
            </w:pPr>
            <w:r>
              <w:t>User interfaces must achieve total compliance with accessibility guidelines. Text contrast ratios must hold a minimum value of 4.5:1.</w:t>
            </w:r>
          </w:p>
        </w:tc>
      </w:tr>
    </w:tbl>
    <w:p w14:paraId="34AE5640">
      <w:pPr>
        <w:spacing w:after="240"/>
      </w:pPr>
    </w:p>
    <w:p w14:paraId="78A86E1D">
      <w:pPr>
        <w:spacing w:before="360" w:after="120"/>
      </w:pPr>
      <w:r>
        <w:rPr>
          <w:b/>
          <w:color w:val="1A73E2"/>
          <w:sz w:val="32"/>
        </w:rPr>
        <w:t>4. Comprehensive Data Flow Diagram (DFD Level 1)</w:t>
      </w:r>
    </w:p>
    <w:p w14:paraId="06D54288">
      <w:pPr>
        <w:spacing w:after="240"/>
      </w:pPr>
      <w:r>
        <w:t>The architectural data pipeline below tracks data progression across physical interfaces, functional parsing engines, secure local clusters, and external model runtimes via the Google Gemini API layer.</w:t>
      </w:r>
    </w:p>
    <w:tbl>
      <w:tblPr>
        <w:tblStyle w:val="12"/>
        <w:tblW w:w="0" w:type="auto"/>
        <w:jc w:val="center"/>
        <w:tblLayout w:type="fixed"/>
        <w:tblCellMar>
          <w:top w:w="0" w:type="dxa"/>
          <w:left w:w="108" w:type="dxa"/>
          <w:bottom w:w="0" w:type="dxa"/>
          <w:right w:w="108" w:type="dxa"/>
        </w:tblCellMar>
      </w:tblPr>
      <w:tblGrid>
        <w:gridCol w:w="9360"/>
      </w:tblGrid>
      <w:tr w14:paraId="06DF29B5">
        <w:tblPrEx>
          <w:tblCellMar>
            <w:top w:w="0" w:type="dxa"/>
            <w:left w:w="108" w:type="dxa"/>
            <w:bottom w:w="0" w:type="dxa"/>
            <w:right w:w="108" w:type="dxa"/>
          </w:tblCellMar>
        </w:tblPrEx>
        <w:trPr>
          <w:jc w:val="center"/>
        </w:trPr>
        <w:tc>
          <w:tcPr>
            <w:tcW w:w="9360" w:type="dxa"/>
            <w:shd w:val="clear" w:color="auto" w:fill="202124"/>
            <w:tcMar>
              <w:top w:w="140" w:type="dxa"/>
              <w:left w:w="140" w:type="dxa"/>
              <w:bottom w:w="140" w:type="dxa"/>
              <w:right w:w="140" w:type="dxa"/>
            </w:tcMar>
          </w:tcPr>
          <w:p w14:paraId="0C0157E5">
            <w:pPr>
              <w:spacing w:line="240" w:lineRule="auto"/>
            </w:pPr>
            <w:r>
              <w:rPr>
                <w:rFonts w:ascii="Consolas" w:hAnsi="Consolas"/>
                <w:color w:val="34A853"/>
                <w:sz w:val="19"/>
              </w:rPr>
              <w:t>+------------------------+            +----------------------------+</w:t>
            </w:r>
            <w:r>
              <w:rPr>
                <w:rFonts w:ascii="Consolas" w:hAnsi="Consolas"/>
                <w:color w:val="34A853"/>
                <w:sz w:val="19"/>
              </w:rPr>
              <w:br w:type="textWrapping"/>
            </w:r>
            <w:r>
              <w:rPr>
                <w:rFonts w:ascii="Consolas" w:hAnsi="Consolas"/>
                <w:color w:val="34A853"/>
                <w:sz w:val="19"/>
              </w:rPr>
              <w:t>|   [User Interface]     |            |    Document/Video Files    |</w:t>
            </w:r>
            <w:r>
              <w:rPr>
                <w:rFonts w:ascii="Consolas" w:hAnsi="Consolas"/>
                <w:color w:val="34A853"/>
                <w:sz w:val="19"/>
              </w:rPr>
              <w:br w:type="textWrapping"/>
            </w:r>
            <w:r>
              <w:rPr>
                <w:rFonts w:ascii="Consolas" w:hAnsi="Consolas"/>
                <w:color w:val="34A853"/>
                <w:sz w:val="19"/>
              </w:rPr>
              <w:t>| (Learner/Administrator)|            | (PDF, MP4, PPTX, Doc Pools)|</w:t>
            </w:r>
            <w:r>
              <w:rPr>
                <w:rFonts w:ascii="Consolas" w:hAnsi="Consolas"/>
                <w:color w:val="34A853"/>
                <w:sz w:val="19"/>
              </w:rPr>
              <w:br w:type="textWrapping"/>
            </w:r>
            <w:r>
              <w:rPr>
                <w:rFonts w:ascii="Consolas" w:hAnsi="Consolas"/>
                <w:color w:val="34A853"/>
                <w:sz w:val="19"/>
              </w:rPr>
              <w:t>+-----------+------------+            +--------------+-------------+</w:t>
            </w:r>
            <w:r>
              <w:rPr>
                <w:rFonts w:ascii="Consolas" w:hAnsi="Consolas"/>
                <w:color w:val="34A853"/>
                <w:sz w:val="19"/>
              </w:rPr>
              <w:br w:type="textWrapping"/>
            </w:r>
            <w:r>
              <w:rPr>
                <w:rFonts w:ascii="Consolas" w:hAnsi="Consolas"/>
                <w:color w:val="34A853"/>
                <w:sz w:val="19"/>
              </w:rPr>
              <w:t xml:space="preserve">            |                                        |</w:t>
            </w:r>
            <w:r>
              <w:rPr>
                <w:rFonts w:ascii="Consolas" w:hAnsi="Consolas"/>
                <w:color w:val="34A853"/>
                <w:sz w:val="19"/>
              </w:rPr>
              <w:br w:type="textWrapping"/>
            </w:r>
            <w:r>
              <w:rPr>
                <w:rFonts w:ascii="Consolas" w:hAnsi="Consolas"/>
                <w:color w:val="34A853"/>
                <w:sz w:val="19"/>
              </w:rPr>
              <w:t xml:space="preserve">      Query | (Chat Request)           Asset Uploads | (Binary streams)</w:t>
            </w:r>
            <w:r>
              <w:rPr>
                <w:rFonts w:ascii="Consolas" w:hAnsi="Consolas"/>
                <w:color w:val="34A853"/>
                <w:sz w:val="19"/>
              </w:rPr>
              <w:br w:type="textWrapping"/>
            </w:r>
            <w:r>
              <w:rPr>
                <w:rFonts w:ascii="Consolas" w:hAnsi="Consolas"/>
                <w:color w:val="34A853"/>
                <w:sz w:val="19"/>
              </w:rPr>
              <w:t xml:space="preserve">            v                                        v</w:t>
            </w:r>
            <w:r>
              <w:rPr>
                <w:rFonts w:ascii="Consolas" w:hAnsi="Consolas"/>
                <w:color w:val="34A853"/>
                <w:sz w:val="19"/>
              </w:rPr>
              <w:br w:type="textWrapping"/>
            </w:r>
            <w:r>
              <w:rPr>
                <w:rFonts w:ascii="Consolas" w:hAnsi="Consolas"/>
                <w:color w:val="34A853"/>
                <w:sz w:val="19"/>
              </w:rPr>
              <w:t>+-----------+------------+            +--------------+-------------+</w:t>
            </w:r>
            <w:r>
              <w:rPr>
                <w:rFonts w:ascii="Consolas" w:hAnsi="Consolas"/>
                <w:color w:val="34A853"/>
                <w:sz w:val="19"/>
              </w:rPr>
              <w:br w:type="textWrapping"/>
            </w:r>
            <w:r>
              <w:rPr>
                <w:rFonts w:ascii="Consolas" w:hAnsi="Consolas"/>
                <w:color w:val="34A853"/>
                <w:sz w:val="19"/>
              </w:rPr>
              <w:t>|     [Process 1.0]      |            |        [Process 2.0]       |</w:t>
            </w:r>
            <w:r>
              <w:rPr>
                <w:rFonts w:ascii="Consolas" w:hAnsi="Consolas"/>
                <w:color w:val="34A853"/>
                <w:sz w:val="19"/>
              </w:rPr>
              <w:br w:type="textWrapping"/>
            </w:r>
            <w:r>
              <w:rPr>
                <w:rFonts w:ascii="Consolas" w:hAnsi="Consolas"/>
                <w:color w:val="34A853"/>
                <w:sz w:val="19"/>
              </w:rPr>
              <w:t>|   Request Broker &amp;     |            |  Multimodal Ingestion Pipeline</w:t>
            </w:r>
            <w:r>
              <w:rPr>
                <w:rFonts w:ascii="Consolas" w:hAnsi="Consolas"/>
                <w:color w:val="34A853"/>
                <w:sz w:val="19"/>
              </w:rPr>
              <w:br w:type="textWrapping"/>
            </w:r>
            <w:r>
              <w:rPr>
                <w:rFonts w:ascii="Consolas" w:hAnsi="Consolas"/>
                <w:color w:val="34A853"/>
                <w:sz w:val="19"/>
              </w:rPr>
              <w:t>| Auth Gateway Filter    |            |   (Extraction &amp; Chunking)  |</w:t>
            </w:r>
            <w:r>
              <w:rPr>
                <w:rFonts w:ascii="Consolas" w:hAnsi="Consolas"/>
                <w:color w:val="34A853"/>
                <w:sz w:val="19"/>
              </w:rPr>
              <w:br w:type="textWrapping"/>
            </w:r>
            <w:r>
              <w:rPr>
                <w:rFonts w:ascii="Consolas" w:hAnsi="Consolas"/>
                <w:color w:val="34A853"/>
                <w:sz w:val="19"/>
              </w:rPr>
              <w:t>+-----------+------------+            +--------------+-------------+</w:t>
            </w:r>
            <w:r>
              <w:rPr>
                <w:rFonts w:ascii="Consolas" w:hAnsi="Consolas"/>
                <w:color w:val="34A853"/>
                <w:sz w:val="19"/>
              </w:rPr>
              <w:br w:type="textWrapping"/>
            </w:r>
            <w:r>
              <w:rPr>
                <w:rFonts w:ascii="Consolas" w:hAnsi="Consolas"/>
                <w:color w:val="34A853"/>
                <w:sz w:val="19"/>
              </w:rPr>
              <w:t xml:space="preserve">            |                                        |</w:t>
            </w:r>
            <w:r>
              <w:rPr>
                <w:rFonts w:ascii="Consolas" w:hAnsi="Consolas"/>
                <w:color w:val="34A853"/>
                <w:sz w:val="19"/>
              </w:rPr>
              <w:br w:type="textWrapping"/>
            </w:r>
            <w:r>
              <w:rPr>
                <w:rFonts w:ascii="Consolas" w:hAnsi="Consolas"/>
                <w:color w:val="34A853"/>
                <w:sz w:val="19"/>
              </w:rPr>
              <w:t xml:space="preserve">    Cleaned | Queries                      Generated | Embeddings / Chunks</w:t>
            </w:r>
            <w:r>
              <w:rPr>
                <w:rFonts w:ascii="Consolas" w:hAnsi="Consolas"/>
                <w:color w:val="34A853"/>
                <w:sz w:val="19"/>
              </w:rPr>
              <w:br w:type="textWrapping"/>
            </w:r>
            <w:r>
              <w:rPr>
                <w:rFonts w:ascii="Consolas" w:hAnsi="Consolas"/>
                <w:color w:val="34A853"/>
                <w:sz w:val="19"/>
              </w:rPr>
              <w:t xml:space="preserve">    Session | Parameters                             v</w:t>
            </w:r>
            <w:r>
              <w:rPr>
                <w:rFonts w:ascii="Consolas" w:hAnsi="Consolas"/>
                <w:color w:val="34A853"/>
                <w:sz w:val="19"/>
              </w:rPr>
              <w:br w:type="textWrapping"/>
            </w:r>
            <w:r>
              <w:rPr>
                <w:rFonts w:ascii="Consolas" w:hAnsi="Consolas"/>
                <w:color w:val="34A853"/>
                <w:sz w:val="19"/>
              </w:rPr>
              <w:t xml:space="preserve">            v                         +--------------+-------------+</w:t>
            </w:r>
            <w:r>
              <w:rPr>
                <w:rFonts w:ascii="Consolas" w:hAnsi="Consolas"/>
                <w:color w:val="34A853"/>
                <w:sz w:val="19"/>
              </w:rPr>
              <w:br w:type="textWrapping"/>
            </w:r>
            <w:r>
              <w:rPr>
                <w:rFonts w:ascii="Consolas" w:hAnsi="Consolas"/>
                <w:color w:val="34A853"/>
                <w:sz w:val="19"/>
              </w:rPr>
              <w:t>+-----------+------------+            |      [Data Store D2]       |</w:t>
            </w:r>
            <w:r>
              <w:rPr>
                <w:rFonts w:ascii="Consolas" w:hAnsi="Consolas"/>
                <w:color w:val="34A853"/>
                <w:sz w:val="19"/>
              </w:rPr>
              <w:br w:type="textWrapping"/>
            </w:r>
            <w:r>
              <w:rPr>
                <w:rFonts w:ascii="Consolas" w:hAnsi="Consolas"/>
                <w:color w:val="34A853"/>
                <w:sz w:val="19"/>
              </w:rPr>
              <w:t>|     [Process 3.0]      |-----------&gt;|   Vector Database Cluster   |</w:t>
            </w:r>
            <w:r>
              <w:rPr>
                <w:rFonts w:ascii="Consolas" w:hAnsi="Consolas"/>
                <w:color w:val="34A853"/>
                <w:sz w:val="19"/>
              </w:rPr>
              <w:br w:type="textWrapping"/>
            </w:r>
            <w:r>
              <w:rPr>
                <w:rFonts w:ascii="Consolas" w:hAnsi="Consolas"/>
                <w:color w:val="34A853"/>
                <w:sz w:val="19"/>
              </w:rPr>
              <w:t>| RAG Context Engine     | Context    |  (Index, Vector Schemas)    |</w:t>
            </w:r>
            <w:r>
              <w:rPr>
                <w:rFonts w:ascii="Consolas" w:hAnsi="Consolas"/>
                <w:color w:val="34A853"/>
                <w:sz w:val="19"/>
              </w:rPr>
              <w:br w:type="textWrapping"/>
            </w:r>
            <w:r>
              <w:rPr>
                <w:rFonts w:ascii="Consolas" w:hAnsi="Consolas"/>
                <w:color w:val="34A853"/>
                <w:sz w:val="19"/>
              </w:rPr>
              <w:t>| (Semantic Similarity)  |&lt;-----------+----------------------------+</w:t>
            </w:r>
            <w:r>
              <w:rPr>
                <w:rFonts w:ascii="Consolas" w:hAnsi="Consolas"/>
                <w:color w:val="34A853"/>
                <w:sz w:val="19"/>
              </w:rPr>
              <w:br w:type="textWrapping"/>
            </w:r>
            <w:r>
              <w:rPr>
                <w:rFonts w:ascii="Consolas" w:hAnsi="Consolas"/>
                <w:color w:val="34A853"/>
                <w:sz w:val="19"/>
              </w:rPr>
              <w:t>+-----------+------------+</w:t>
            </w:r>
            <w:r>
              <w:rPr>
                <w:rFonts w:ascii="Consolas" w:hAnsi="Consolas"/>
                <w:color w:val="34A853"/>
                <w:sz w:val="19"/>
              </w:rPr>
              <w:br w:type="textWrapping"/>
            </w:r>
            <w:r>
              <w:rPr>
                <w:rFonts w:ascii="Consolas" w:hAnsi="Consolas"/>
                <w:color w:val="34A853"/>
                <w:sz w:val="19"/>
              </w:rPr>
              <w:t xml:space="preserve">            |</w:t>
            </w:r>
            <w:r>
              <w:rPr>
                <w:rFonts w:ascii="Consolas" w:hAnsi="Consolas"/>
                <w:color w:val="34A853"/>
                <w:sz w:val="19"/>
              </w:rPr>
              <w:br w:type="textWrapping"/>
            </w:r>
            <w:r>
              <w:rPr>
                <w:rFonts w:ascii="Consolas" w:hAnsi="Consolas"/>
                <w:color w:val="34A853"/>
                <w:sz w:val="19"/>
              </w:rPr>
              <w:t xml:space="preserve">            | Assembled Context-Rich Prompts</w:t>
            </w:r>
            <w:r>
              <w:rPr>
                <w:rFonts w:ascii="Consolas" w:hAnsi="Consolas"/>
                <w:color w:val="34A853"/>
                <w:sz w:val="19"/>
              </w:rPr>
              <w:br w:type="textWrapping"/>
            </w:r>
            <w:r>
              <w:rPr>
                <w:rFonts w:ascii="Consolas" w:hAnsi="Consolas"/>
                <w:color w:val="34A853"/>
                <w:sz w:val="19"/>
              </w:rPr>
              <w:t xml:space="preserve">            v</w:t>
            </w:r>
            <w:r>
              <w:rPr>
                <w:rFonts w:ascii="Consolas" w:hAnsi="Consolas"/>
                <w:color w:val="34A853"/>
                <w:sz w:val="19"/>
              </w:rPr>
              <w:br w:type="textWrapping"/>
            </w:r>
            <w:r>
              <w:rPr>
                <w:rFonts w:ascii="Consolas" w:hAnsi="Consolas"/>
                <w:color w:val="34A853"/>
                <w:sz w:val="19"/>
              </w:rPr>
              <w:t>+-----------+------------+</w:t>
            </w:r>
            <w:r>
              <w:rPr>
                <w:rFonts w:ascii="Consolas" w:hAnsi="Consolas"/>
                <w:color w:val="34A853"/>
                <w:sz w:val="19"/>
              </w:rPr>
              <w:br w:type="textWrapping"/>
            </w:r>
            <w:r>
              <w:rPr>
                <w:rFonts w:ascii="Consolas" w:hAnsi="Consolas"/>
                <w:color w:val="34A853"/>
                <w:sz w:val="19"/>
              </w:rPr>
              <w:t>|     [Process 4.0]      | &lt;========&gt;  [External Google Gemini API]</w:t>
            </w:r>
            <w:r>
              <w:rPr>
                <w:rFonts w:ascii="Consolas" w:hAnsi="Consolas"/>
                <w:color w:val="34A853"/>
                <w:sz w:val="19"/>
              </w:rPr>
              <w:br w:type="textWrapping"/>
            </w:r>
            <w:r>
              <w:rPr>
                <w:rFonts w:ascii="Consolas" w:hAnsi="Consolas"/>
                <w:color w:val="34A853"/>
                <w:sz w:val="19"/>
              </w:rPr>
              <w:t>| LLM Orchestration Layer|   HTTPS     - Multimodal Inference Engine</w:t>
            </w:r>
            <w:r>
              <w:rPr>
                <w:rFonts w:ascii="Consolas" w:hAnsi="Consolas"/>
                <w:color w:val="34A853"/>
                <w:sz w:val="19"/>
              </w:rPr>
              <w:br w:type="textWrapping"/>
            </w:r>
            <w:r>
              <w:rPr>
                <w:rFonts w:ascii="Consolas" w:hAnsi="Consolas"/>
                <w:color w:val="34A853"/>
                <w:sz w:val="19"/>
              </w:rPr>
              <w:t>| &amp; Safety Guardrails    | Secure Link - Grounded Answer Synthesis</w:t>
            </w:r>
            <w:r>
              <w:rPr>
                <w:rFonts w:ascii="Consolas" w:hAnsi="Consolas"/>
                <w:color w:val="34A853"/>
                <w:sz w:val="19"/>
              </w:rPr>
              <w:br w:type="textWrapping"/>
            </w:r>
            <w:r>
              <w:rPr>
                <w:rFonts w:ascii="Consolas" w:hAnsi="Consolas"/>
                <w:color w:val="34A853"/>
                <w:sz w:val="19"/>
              </w:rPr>
              <w:t>+-----------+------------+</w:t>
            </w:r>
            <w:r>
              <w:rPr>
                <w:rFonts w:ascii="Consolas" w:hAnsi="Consolas"/>
                <w:color w:val="34A853"/>
                <w:sz w:val="19"/>
              </w:rPr>
              <w:br w:type="textWrapping"/>
            </w:r>
            <w:r>
              <w:rPr>
                <w:rFonts w:ascii="Consolas" w:hAnsi="Consolas"/>
                <w:color w:val="34A853"/>
                <w:sz w:val="19"/>
              </w:rPr>
              <w:t xml:space="preserve">            |</w:t>
            </w:r>
            <w:r>
              <w:rPr>
                <w:rFonts w:ascii="Consolas" w:hAnsi="Consolas"/>
                <w:color w:val="34A853"/>
                <w:sz w:val="19"/>
              </w:rPr>
              <w:br w:type="textWrapping"/>
            </w:r>
            <w:r>
              <w:rPr>
                <w:rFonts w:ascii="Consolas" w:hAnsi="Consolas"/>
                <w:color w:val="34A853"/>
                <w:sz w:val="19"/>
              </w:rPr>
              <w:t xml:space="preserve">            | Streaming Validated Cognitive Output</w:t>
            </w:r>
            <w:r>
              <w:rPr>
                <w:rFonts w:ascii="Consolas" w:hAnsi="Consolas"/>
                <w:color w:val="34A853"/>
                <w:sz w:val="19"/>
              </w:rPr>
              <w:br w:type="textWrapping"/>
            </w:r>
            <w:r>
              <w:rPr>
                <w:rFonts w:ascii="Consolas" w:hAnsi="Consolas"/>
                <w:color w:val="34A853"/>
                <w:sz w:val="19"/>
              </w:rPr>
              <w:t xml:space="preserve">            v</w:t>
            </w:r>
            <w:r>
              <w:rPr>
                <w:rFonts w:ascii="Consolas" w:hAnsi="Consolas"/>
                <w:color w:val="34A853"/>
                <w:sz w:val="19"/>
              </w:rPr>
              <w:br w:type="textWrapping"/>
            </w:r>
            <w:r>
              <w:rPr>
                <w:rFonts w:ascii="Consolas" w:hAnsi="Consolas"/>
                <w:color w:val="34A853"/>
                <w:sz w:val="19"/>
              </w:rPr>
              <w:t>+-----------+------------+</w:t>
            </w:r>
            <w:r>
              <w:rPr>
                <w:rFonts w:ascii="Consolas" w:hAnsi="Consolas"/>
                <w:color w:val="34A853"/>
                <w:sz w:val="19"/>
              </w:rPr>
              <w:br w:type="textWrapping"/>
            </w:r>
            <w:r>
              <w:rPr>
                <w:rFonts w:ascii="Consolas" w:hAnsi="Consolas"/>
                <w:color w:val="34A853"/>
                <w:sz w:val="19"/>
              </w:rPr>
              <w:t>|    [User Interface]    |</w:t>
            </w:r>
            <w:r>
              <w:rPr>
                <w:rFonts w:ascii="Consolas" w:hAnsi="Consolas"/>
                <w:color w:val="34A853"/>
                <w:sz w:val="19"/>
              </w:rPr>
              <w:br w:type="textWrapping"/>
            </w:r>
            <w:r>
              <w:rPr>
                <w:rFonts w:ascii="Consolas" w:hAnsi="Consolas"/>
                <w:color w:val="34A853"/>
                <w:sz w:val="19"/>
              </w:rPr>
              <w:t>| (Rendered Chat/Quizzes)|</w:t>
            </w:r>
            <w:r>
              <w:rPr>
                <w:rFonts w:ascii="Consolas" w:hAnsi="Consolas"/>
                <w:color w:val="34A853"/>
                <w:sz w:val="19"/>
              </w:rPr>
              <w:br w:type="textWrapping"/>
            </w:r>
            <w:r>
              <w:rPr>
                <w:rFonts w:ascii="Consolas" w:hAnsi="Consolas"/>
                <w:color w:val="34A853"/>
                <w:sz w:val="19"/>
              </w:rPr>
              <w:t>+------------------------+</w:t>
            </w:r>
          </w:p>
        </w:tc>
      </w:tr>
    </w:tbl>
    <w:p w14:paraId="47DE68F2">
      <w:pPr>
        <w:spacing w:before="240"/>
      </w:pPr>
    </w:p>
    <w:p w14:paraId="6011E23F">
      <w:pPr>
        <w:spacing w:before="480"/>
        <w:jc w:val="center"/>
      </w:pPr>
      <w:r>
        <w:rPr>
          <w:i/>
          <w:color w:val="70757A"/>
          <w:sz w:val="17"/>
        </w:rPr>
        <w:t>This is for informational purposes only. For medical advice or diagnosis, consult a professional. AI responses may include mistakes.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324B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202124"/>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518</Words>
  <Characters>3452</Characters>
  <Lines>0</Lines>
  <Paragraphs>0</Paragraphs>
  <TotalTime>0</TotalTime>
  <ScaleCrop>false</ScaleCrop>
  <LinksUpToDate>false</LinksUpToDate>
  <CharactersWithSpaces>4452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ELCOT</cp:lastModifiedBy>
  <dcterms:modified xsi:type="dcterms:W3CDTF">2026-09-29T14:26:51Z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4683ADC1E51C4B6B92890A965CBEDB8F_13</vt:lpwstr>
  </property>
</Properties>
</file>