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2F43B">
      <w:pPr>
        <w:spacing w:before="720" w:after="120"/>
        <w:jc w:val="center"/>
      </w:pPr>
      <w:bookmarkStart w:id="0" w:name="_GoBack"/>
      <w:bookmarkEnd w:id="0"/>
      <w:r>
        <w:rPr>
          <w:rFonts w:ascii="Calibri" w:hAnsi="Calibri"/>
          <w:b/>
          <w:i w:val="0"/>
          <w:color w:val="1A73E8"/>
          <w:sz w:val="52"/>
        </w:rPr>
        <w:t>EduGenie AI Learning Assistant</w:t>
      </w:r>
    </w:p>
    <w:p w14:paraId="583FE41F">
      <w:pPr>
        <w:spacing w:after="480"/>
        <w:jc w:val="center"/>
      </w:pPr>
      <w:r>
        <w:rPr>
          <w:rFonts w:ascii="Calibri" w:hAnsi="Calibri"/>
          <w:b w:val="0"/>
          <w:i w:val="0"/>
          <w:color w:val="5F6368"/>
          <w:sz w:val="32"/>
        </w:rPr>
        <w:t>Requirement Analysis &amp; Customer Journey Map</w:t>
      </w:r>
      <w:r>
        <w:rPr>
          <w:rFonts w:ascii="Calibri" w:hAnsi="Calibri"/>
          <w:b w:val="0"/>
          <w:i w:val="0"/>
          <w:color w:val="5F6368"/>
          <w:sz w:val="32"/>
        </w:rPr>
        <w:br w:type="textWrapping"/>
      </w:r>
      <w:r>
        <w:rPr>
          <w:rFonts w:ascii="Calibri" w:hAnsi="Calibri"/>
          <w:b w:val="0"/>
          <w:i w:val="0"/>
          <w:color w:val="5F6368"/>
          <w:sz w:val="32"/>
        </w:rPr>
        <w:t>Powered by Google Gemini</w:t>
      </w:r>
    </w:p>
    <w:p w14:paraId="47C89DC0">
      <w:pPr>
        <w:keepNext/>
        <w:spacing w:before="360" w:after="120"/>
      </w:pPr>
      <w:r>
        <w:rPr>
          <w:rFonts w:ascii="Calibri" w:hAnsi="Calibri"/>
          <w:b/>
          <w:i w:val="0"/>
          <w:color w:val="1A73E8"/>
          <w:sz w:val="36"/>
        </w:rPr>
        <w:t>1. Product Vision &amp; Executive Summary</w:t>
      </w:r>
    </w:p>
    <w:p w14:paraId="51154BDB">
      <w:pPr>
        <w:spacing w:after="120" w:line="276" w:lineRule="auto"/>
      </w:pPr>
      <w:r>
        <w:rPr>
          <w:rFonts w:ascii="Calibri" w:hAnsi="Calibri"/>
          <w:b w:val="0"/>
          <w:i w:val="0"/>
          <w:color w:val="202124"/>
          <w:sz w:val="22"/>
        </w:rPr>
        <w:t>EduGenie AI is an advanced, next-generation learning ecosystem engineered to transform raw educational content into highly hyper-personalized, active learning experiences. Powered by Google Gemini's leading multimodal and massive context-window architecture, EduGenie converts textbooks, lecture recordings, research papers, and slide decks into structural learning assets. The ecosystem serves time-poor higher education students and corporate professionals looking to master complex domains rapidly without information overload.</w:t>
      </w:r>
    </w:p>
    <w:p w14:paraId="1DD01B4C">
      <w:pPr>
        <w:keepNext/>
        <w:spacing w:before="360" w:after="120"/>
      </w:pPr>
      <w:r>
        <w:rPr>
          <w:rFonts w:ascii="Calibri" w:hAnsi="Calibri"/>
          <w:b/>
          <w:i w:val="0"/>
          <w:color w:val="1A73E8"/>
          <w:sz w:val="36"/>
        </w:rPr>
        <w:t>2. Functional Requirements (FR)</w:t>
      </w:r>
    </w:p>
    <w:p w14:paraId="177C01CA">
      <w:pPr>
        <w:keepNext/>
        <w:spacing w:before="240" w:after="80"/>
      </w:pPr>
      <w:r>
        <w:rPr>
          <w:rFonts w:ascii="Calibri" w:hAnsi="Calibri"/>
          <w:b/>
          <w:i w:val="0"/>
          <w:color w:val="5F6368"/>
          <w:sz w:val="28"/>
        </w:rPr>
        <w:t>2.1 Multimodal Ingestion &amp; Processing (RAG Engine)</w:t>
      </w:r>
    </w:p>
    <w:p w14:paraId="40455EB6">
      <w:pPr>
        <w:spacing w:after="120" w:line="276" w:lineRule="auto"/>
      </w:pPr>
      <w:r>
        <w:rPr>
          <w:rFonts w:ascii="Calibri" w:hAnsi="Calibri"/>
          <w:b/>
          <w:i w:val="0"/>
          <w:color w:val="202124"/>
          <w:sz w:val="22"/>
        </w:rPr>
        <w:t xml:space="preserve">• FR-1.1 Context Ingestion: </w:t>
      </w:r>
      <w:r>
        <w:rPr>
          <w:rFonts w:ascii="Calibri" w:hAnsi="Calibri"/>
          <w:b w:val="0"/>
          <w:i w:val="0"/>
          <w:color w:val="202124"/>
          <w:sz w:val="22"/>
        </w:rPr>
        <w:t xml:space="preserve"> Support text uploads (.pdf, .docx, .txt), spreadsheets (.xlsx, .csv), presentation decks (.pptx), and media formats (.mp3, .mp4) up to Gemini's native context thresholds.</w:t>
      </w:r>
    </w:p>
    <w:p w14:paraId="12229064">
      <w:pPr>
        <w:spacing w:after="120" w:line="276" w:lineRule="auto"/>
      </w:pPr>
      <w:r>
        <w:rPr>
          <w:rFonts w:ascii="Calibri" w:hAnsi="Calibri"/>
          <w:b/>
          <w:i w:val="0"/>
          <w:color w:val="202124"/>
          <w:sz w:val="22"/>
        </w:rPr>
        <w:t xml:space="preserve">• FR-1.2 Layout-Aware Parsing: </w:t>
      </w:r>
      <w:r>
        <w:rPr>
          <w:rFonts w:ascii="Calibri" w:hAnsi="Calibri"/>
          <w:b w:val="0"/>
          <w:i w:val="0"/>
          <w:color w:val="202124"/>
          <w:sz w:val="22"/>
        </w:rPr>
        <w:t xml:space="preserve"> Leverage structural layout models to isolate text, tables, complex diagrams, charts, and embedded equations, ensuring exact vectorization mapping.</w:t>
      </w:r>
    </w:p>
    <w:p w14:paraId="6CCB2B34">
      <w:pPr>
        <w:keepNext/>
        <w:spacing w:before="240" w:after="80"/>
      </w:pPr>
      <w:r>
        <w:rPr>
          <w:rFonts w:ascii="Calibri" w:hAnsi="Calibri"/>
          <w:b/>
          <w:i w:val="0"/>
          <w:color w:val="5F6368"/>
          <w:sz w:val="28"/>
        </w:rPr>
        <w:t>2.2 AI-Driven Conversational Tutoring</w:t>
      </w:r>
    </w:p>
    <w:p w14:paraId="56FC8F5C">
      <w:pPr>
        <w:spacing w:after="120" w:line="276" w:lineRule="auto"/>
      </w:pPr>
      <w:r>
        <w:rPr>
          <w:rFonts w:ascii="Calibri" w:hAnsi="Calibri"/>
          <w:b/>
          <w:i w:val="0"/>
          <w:color w:val="202124"/>
          <w:sz w:val="22"/>
        </w:rPr>
        <w:t xml:space="preserve">• FR-2.1 Active Socratic Dialogue: </w:t>
      </w:r>
      <w:r>
        <w:rPr>
          <w:rFonts w:ascii="Calibri" w:hAnsi="Calibri"/>
          <w:b w:val="0"/>
          <w:i w:val="0"/>
          <w:color w:val="202124"/>
          <w:sz w:val="22"/>
        </w:rPr>
        <w:t xml:space="preserve"> Conduct automated conversational Socratic diagnostic loops to establish foundational mastery boundaries before launching learning sprints.</w:t>
      </w:r>
    </w:p>
    <w:p w14:paraId="5A58C09D">
      <w:pPr>
        <w:spacing w:after="120" w:line="276" w:lineRule="auto"/>
      </w:pPr>
      <w:r>
        <w:rPr>
          <w:rFonts w:ascii="Calibri" w:hAnsi="Calibri"/>
          <w:b/>
          <w:i w:val="0"/>
          <w:color w:val="202124"/>
          <w:sz w:val="22"/>
        </w:rPr>
        <w:t xml:space="preserve">• FR-2.2 Strict In-Context Grounding: </w:t>
      </w:r>
      <w:r>
        <w:rPr>
          <w:rFonts w:ascii="Calibri" w:hAnsi="Calibri"/>
          <w:b w:val="0"/>
          <w:i w:val="0"/>
          <w:color w:val="202124"/>
          <w:sz w:val="22"/>
        </w:rPr>
        <w:t xml:space="preserve"> Enforce localized citations anchoring every AI claim directly to exact pages, timestamps, or paragraphs within user-provided source data.</w:t>
      </w:r>
    </w:p>
    <w:p w14:paraId="6BE31B90">
      <w:pPr>
        <w:keepNext/>
        <w:spacing w:before="240" w:after="80"/>
      </w:pPr>
      <w:r>
        <w:rPr>
          <w:rFonts w:ascii="Calibri" w:hAnsi="Calibri"/>
          <w:b/>
          <w:i w:val="0"/>
          <w:color w:val="5F6368"/>
          <w:sz w:val="28"/>
        </w:rPr>
        <w:t>2.3 Adaptive Assessment Generation</w:t>
      </w:r>
    </w:p>
    <w:p w14:paraId="39E24622">
      <w:pPr>
        <w:spacing w:after="120" w:line="276" w:lineRule="auto"/>
      </w:pPr>
      <w:r>
        <w:rPr>
          <w:rFonts w:ascii="Calibri" w:hAnsi="Calibri"/>
          <w:b/>
          <w:i w:val="0"/>
          <w:color w:val="202124"/>
          <w:sz w:val="22"/>
        </w:rPr>
        <w:t xml:space="preserve">• FR-3.1 Dynamic Evaluation Assets: </w:t>
      </w:r>
      <w:r>
        <w:rPr>
          <w:rFonts w:ascii="Calibri" w:hAnsi="Calibri"/>
          <w:b w:val="0"/>
          <w:i w:val="0"/>
          <w:color w:val="202124"/>
          <w:sz w:val="22"/>
        </w:rPr>
        <w:t xml:space="preserve"> Synthesize multiple-choice questions (MCQs), multi-step case analytical problems, and flashcards dynamically matched to current taxonomy levels.</w:t>
      </w:r>
    </w:p>
    <w:p w14:paraId="40806BDA">
      <w:pPr>
        <w:spacing w:after="120" w:line="276" w:lineRule="auto"/>
      </w:pPr>
      <w:r>
        <w:rPr>
          <w:rFonts w:ascii="Calibri" w:hAnsi="Calibri"/>
          <w:b/>
          <w:i w:val="0"/>
          <w:color w:val="202124"/>
          <w:sz w:val="22"/>
        </w:rPr>
        <w:t xml:space="preserve">• FR-3.2 Explanatory Feedback Engine: </w:t>
      </w:r>
      <w:r>
        <w:rPr>
          <w:rFonts w:ascii="Calibri" w:hAnsi="Calibri"/>
          <w:b w:val="0"/>
          <w:i w:val="0"/>
          <w:color w:val="202124"/>
          <w:sz w:val="22"/>
        </w:rPr>
        <w:t xml:space="preserve"> Provide instantaneous evaluation of text-based descriptive answers with fine-grained rubric rubrics and clear gap analysis metrics.</w:t>
      </w:r>
    </w:p>
    <w:p w14:paraId="6E2EFBA8">
      <w:pPr>
        <w:keepNext/>
        <w:spacing w:before="360" w:after="120"/>
      </w:pPr>
      <w:r>
        <w:rPr>
          <w:rFonts w:ascii="Calibri" w:hAnsi="Calibri"/>
          <w:b/>
          <w:i w:val="0"/>
          <w:color w:val="1A73E8"/>
          <w:sz w:val="36"/>
        </w:rPr>
        <w:t>3. Non-Functional Requirements (NFR)</w:t>
      </w:r>
    </w:p>
    <w:p w14:paraId="43475E00">
      <w:pPr>
        <w:spacing w:after="120" w:line="276" w:lineRule="auto"/>
      </w:pPr>
      <w:r>
        <w:rPr>
          <w:rFonts w:ascii="Calibri" w:hAnsi="Calibri"/>
          <w:b/>
          <w:i w:val="0"/>
          <w:color w:val="202124"/>
          <w:sz w:val="22"/>
        </w:rPr>
        <w:t xml:space="preserve">• Latency &amp; Throughput: </w:t>
      </w:r>
      <w:r>
        <w:rPr>
          <w:rFonts w:ascii="Calibri" w:hAnsi="Calibri"/>
          <w:b w:val="0"/>
          <w:i w:val="0"/>
          <w:color w:val="202124"/>
          <w:sz w:val="22"/>
        </w:rPr>
        <w:t xml:space="preserve"> Sub-2-second target response latency for text generation via lightweight Gemini streaming APIs; background processing for video transcription and deep semantic indexing.</w:t>
      </w:r>
    </w:p>
    <w:p w14:paraId="216946C1">
      <w:pPr>
        <w:spacing w:after="120" w:line="276" w:lineRule="auto"/>
      </w:pPr>
      <w:r>
        <w:rPr>
          <w:rFonts w:ascii="Calibri" w:hAnsi="Calibri"/>
          <w:b/>
          <w:i w:val="0"/>
          <w:color w:val="202124"/>
          <w:sz w:val="22"/>
        </w:rPr>
        <w:t xml:space="preserve">• Privacy &amp; Compliance: </w:t>
      </w:r>
      <w:r>
        <w:rPr>
          <w:rFonts w:ascii="Calibri" w:hAnsi="Calibri"/>
          <w:b w:val="0"/>
          <w:i w:val="0"/>
          <w:color w:val="202124"/>
          <w:sz w:val="22"/>
        </w:rPr>
        <w:t xml:space="preserve"> Full SOC2 Type II compliance, localized end-to-end data encryption at rest (AES-256) and transit (TLS 1.3). Zero training on proprietary user documents by default.</w:t>
      </w:r>
    </w:p>
    <w:p w14:paraId="5551E454">
      <w:pPr>
        <w:spacing w:after="120" w:line="276" w:lineRule="auto"/>
      </w:pPr>
      <w:r>
        <w:rPr>
          <w:rFonts w:ascii="Calibri" w:hAnsi="Calibri"/>
          <w:b/>
          <w:i w:val="0"/>
          <w:color w:val="202124"/>
          <w:sz w:val="22"/>
        </w:rPr>
        <w:t xml:space="preserve">• Availability &amp; Accessibility: </w:t>
      </w:r>
      <w:r>
        <w:rPr>
          <w:rFonts w:ascii="Calibri" w:hAnsi="Calibri"/>
          <w:b w:val="0"/>
          <w:i w:val="0"/>
          <w:color w:val="202124"/>
          <w:sz w:val="22"/>
        </w:rPr>
        <w:t xml:space="preserve"> High application availability (99.9% uptime target) with standard web accessibility compliance (WCAG 2.1 AA) supporting screen readers and text-to-speech loops.</w:t>
      </w:r>
    </w:p>
    <w:p w14:paraId="50A63AF4">
      <w:pPr>
        <w:keepNext/>
        <w:spacing w:before="360" w:after="120"/>
      </w:pPr>
      <w:r>
        <w:rPr>
          <w:rFonts w:ascii="Calibri" w:hAnsi="Calibri"/>
          <w:b/>
          <w:i w:val="0"/>
          <w:color w:val="1A73E8"/>
          <w:sz w:val="36"/>
        </w:rPr>
        <w:t>4. Customer Journey Map Matrix</w:t>
      </w:r>
    </w:p>
    <w:p w14:paraId="691E26F2">
      <w:pPr>
        <w:spacing w:after="120" w:line="276" w:lineRule="auto"/>
      </w:pPr>
      <w:r>
        <w:rPr>
          <w:rFonts w:ascii="Calibri" w:hAnsi="Calibri"/>
          <w:b w:val="0"/>
          <w:i w:val="0"/>
          <w:color w:val="202124"/>
          <w:sz w:val="22"/>
        </w:rPr>
        <w:t>This matrix tracks a time-crunched user through the five core lifecycle phases of the EduGenie learning ecosystem.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1648"/>
        <w:gridCol w:w="1640"/>
        <w:gridCol w:w="1658"/>
        <w:gridCol w:w="1608"/>
        <w:gridCol w:w="1633"/>
      </w:tblGrid>
      <w:tr w14:paraId="691B1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1A73E2"/>
          </w:tcPr>
          <w:p w14:paraId="4B36DD53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Dimension</w:t>
            </w:r>
          </w:p>
        </w:tc>
        <w:tc>
          <w:tcPr>
            <w:tcW w:w="1728" w:type="dxa"/>
            <w:shd w:val="clear" w:color="auto" w:fill="1A73E2"/>
          </w:tcPr>
          <w:p w14:paraId="6042A8D6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1. Discovery</w:t>
            </w:r>
          </w:p>
        </w:tc>
        <w:tc>
          <w:tcPr>
            <w:tcW w:w="1728" w:type="dxa"/>
            <w:shd w:val="clear" w:color="auto" w:fill="1A73E2"/>
          </w:tcPr>
          <w:p w14:paraId="1507CBA6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2. Onboarding</w:t>
            </w:r>
          </w:p>
        </w:tc>
        <w:tc>
          <w:tcPr>
            <w:tcW w:w="1728" w:type="dxa"/>
            <w:shd w:val="clear" w:color="auto" w:fill="1A73E2"/>
          </w:tcPr>
          <w:p w14:paraId="0EA9FE4D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3. Asset Gen</w:t>
            </w:r>
          </w:p>
        </w:tc>
        <w:tc>
          <w:tcPr>
            <w:tcW w:w="1728" w:type="dxa"/>
            <w:shd w:val="clear" w:color="auto" w:fill="1A73E2"/>
          </w:tcPr>
          <w:p w14:paraId="0475B182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4. Testing</w:t>
            </w:r>
          </w:p>
        </w:tc>
        <w:tc>
          <w:tcPr>
            <w:tcW w:w="1728" w:type="dxa"/>
            <w:shd w:val="clear" w:color="auto" w:fill="1A73E2"/>
          </w:tcPr>
          <w:p w14:paraId="718B0D2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5. Growth</w:t>
            </w:r>
          </w:p>
        </w:tc>
      </w:tr>
      <w:tr w14:paraId="1A890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F1F3F4"/>
          </w:tcPr>
          <w:p w14:paraId="2526F338">
            <w:pPr>
              <w:spacing w:before="60" w:after="60" w:line="252" w:lineRule="auto"/>
            </w:pPr>
            <w:r>
              <w:rPr>
                <w:rFonts w:ascii="Calibri" w:hAnsi="Calibri"/>
                <w:b/>
                <w:i w:val="0"/>
                <w:color w:val="202124"/>
                <w:sz w:val="18"/>
              </w:rPr>
              <w:t>Key Actions</w:t>
            </w:r>
          </w:p>
        </w:tc>
        <w:tc>
          <w:tcPr>
            <w:tcW w:w="1728" w:type="dxa"/>
          </w:tcPr>
          <w:p w14:paraId="76B73E09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Seeks quick, reliable study aids via search engines, social media, or peer recs.</w:t>
            </w:r>
          </w:p>
        </w:tc>
        <w:tc>
          <w:tcPr>
            <w:tcW w:w="1728" w:type="dxa"/>
          </w:tcPr>
          <w:p w14:paraId="50B78964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Signs up via OAuth, steps through onboarding, uploads mixed raw lecture assets.</w:t>
            </w:r>
          </w:p>
        </w:tc>
        <w:tc>
          <w:tcPr>
            <w:tcW w:w="1728" w:type="dxa"/>
          </w:tcPr>
          <w:p w14:paraId="0D4C3454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Explores tailored outlines, reviews visual flashcards, queries AI on hard concepts.</w:t>
            </w:r>
          </w:p>
        </w:tc>
        <w:tc>
          <w:tcPr>
            <w:tcW w:w="1728" w:type="dxa"/>
          </w:tcPr>
          <w:p w14:paraId="1268787E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Takes custom simulated quizzes, reviews step-by-step logic, addresses knowledge gaps.</w:t>
            </w:r>
          </w:p>
        </w:tc>
        <w:tc>
          <w:tcPr>
            <w:tcW w:w="1728" w:type="dxa"/>
          </w:tcPr>
          <w:p w14:paraId="1750E801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Tracks skill progress metrics over time, sets automated recurrent study goals.</w:t>
            </w:r>
          </w:p>
        </w:tc>
      </w:tr>
      <w:tr w14:paraId="2F989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F1F3F4"/>
          </w:tcPr>
          <w:p w14:paraId="65F8A473">
            <w:pPr>
              <w:spacing w:before="60" w:after="60" w:line="252" w:lineRule="auto"/>
            </w:pPr>
            <w:r>
              <w:rPr>
                <w:rFonts w:ascii="Calibri" w:hAnsi="Calibri"/>
                <w:b/>
                <w:i w:val="0"/>
                <w:color w:val="202124"/>
                <w:sz w:val="18"/>
              </w:rPr>
              <w:t>Touchpoints</w:t>
            </w:r>
          </w:p>
        </w:tc>
        <w:tc>
          <w:tcPr>
            <w:tcW w:w="1728" w:type="dxa"/>
          </w:tcPr>
          <w:p w14:paraId="1F025EFA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Marketing landing page, Google Ads, short demo video platforms.</w:t>
            </w:r>
          </w:p>
        </w:tc>
        <w:tc>
          <w:tcPr>
            <w:tcW w:w="1728" w:type="dxa"/>
          </w:tcPr>
          <w:p w14:paraId="3BDD88F4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Web/Mobile app layout, multi-file upload zone, onboarding checklist widget.</w:t>
            </w:r>
          </w:p>
        </w:tc>
        <w:tc>
          <w:tcPr>
            <w:tcW w:w="1728" w:type="dxa"/>
          </w:tcPr>
          <w:p w14:paraId="6875E4E3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Conversational interface layout, split-screen PDF/Note viewer workspace.</w:t>
            </w:r>
          </w:p>
        </w:tc>
        <w:tc>
          <w:tcPr>
            <w:tcW w:w="1728" w:type="dxa"/>
          </w:tcPr>
          <w:p w14:paraId="5C077643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Interactive quiz panel, immediate scoring canvas, grading report view.</w:t>
            </w:r>
          </w:p>
        </w:tc>
        <w:tc>
          <w:tcPr>
            <w:tcW w:w="1728" w:type="dxa"/>
          </w:tcPr>
          <w:p w14:paraId="40BFE1D3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Analytics dashboard panel, weekly progress digest email, mastery leaderboard.</w:t>
            </w:r>
          </w:p>
        </w:tc>
      </w:tr>
      <w:tr w14:paraId="2E192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F1F3F4"/>
          </w:tcPr>
          <w:p w14:paraId="6AED6FC3">
            <w:pPr>
              <w:spacing w:before="60" w:after="60" w:line="252" w:lineRule="auto"/>
            </w:pPr>
            <w:r>
              <w:rPr>
                <w:rFonts w:ascii="Calibri" w:hAnsi="Calibri"/>
                <w:b/>
                <w:i w:val="0"/>
                <w:color w:val="202124"/>
                <w:sz w:val="18"/>
              </w:rPr>
              <w:t>User Mentality</w:t>
            </w:r>
          </w:p>
        </w:tc>
        <w:tc>
          <w:tcPr>
            <w:tcW w:w="1728" w:type="dxa"/>
          </w:tcPr>
          <w:p w14:paraId="06E00A57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Overwhelmed by vast exam materials; highly skeptical of generic web bots.</w:t>
            </w:r>
          </w:p>
        </w:tc>
        <w:tc>
          <w:tcPr>
            <w:tcW w:w="1728" w:type="dxa"/>
          </w:tcPr>
          <w:p w14:paraId="5198893A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Anxious about manual setup time; hyper-protective of proprietary materials.</w:t>
            </w:r>
          </w:p>
        </w:tc>
        <w:tc>
          <w:tcPr>
            <w:tcW w:w="1728" w:type="dxa"/>
          </w:tcPr>
          <w:p w14:paraId="2948ED01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Relieved by quick organization; eager to pinpoint exact test topics fast.</w:t>
            </w:r>
          </w:p>
        </w:tc>
        <w:tc>
          <w:tcPr>
            <w:tcW w:w="1728" w:type="dxa"/>
          </w:tcPr>
          <w:p w14:paraId="681B5673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Nervous about scoring; craves realistic exam validation and plain feedback.</w:t>
            </w:r>
          </w:p>
        </w:tc>
        <w:tc>
          <w:tcPr>
            <w:tcW w:w="1728" w:type="dxa"/>
          </w:tcPr>
          <w:p w14:paraId="077E65C4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Motivated by measurable growth; eager to sustain structural learning habits.</w:t>
            </w:r>
          </w:p>
        </w:tc>
      </w:tr>
      <w:tr w14:paraId="4FEF2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F1F3F4"/>
          </w:tcPr>
          <w:p w14:paraId="44918015">
            <w:pPr>
              <w:spacing w:before="60" w:after="60" w:line="252" w:lineRule="auto"/>
            </w:pPr>
            <w:r>
              <w:rPr>
                <w:rFonts w:ascii="Calibri" w:hAnsi="Calibri"/>
                <w:b/>
                <w:i w:val="0"/>
                <w:color w:val="202124"/>
                <w:sz w:val="18"/>
              </w:rPr>
              <w:t>Pain Points</w:t>
            </w:r>
          </w:p>
        </w:tc>
        <w:tc>
          <w:tcPr>
            <w:tcW w:w="1728" w:type="dxa"/>
          </w:tcPr>
          <w:p w14:paraId="6E3FAFDD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Generic LLMs halluncinate facts and lack localized citations.</w:t>
            </w:r>
          </w:p>
        </w:tc>
        <w:tc>
          <w:tcPr>
            <w:tcW w:w="1728" w:type="dxa"/>
          </w:tcPr>
          <w:p w14:paraId="02266EC6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File upload parsing fails on massive PDFs or complex visual lecture diagrams.</w:t>
            </w:r>
          </w:p>
        </w:tc>
        <w:tc>
          <w:tcPr>
            <w:tcW w:w="1728" w:type="dxa"/>
          </w:tcPr>
          <w:p w14:paraId="7C773681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Sifting through unorganized AI summaries creates cognitive fatigue.</w:t>
            </w:r>
          </w:p>
        </w:tc>
        <w:tc>
          <w:tcPr>
            <w:tcW w:w="1728" w:type="dxa"/>
          </w:tcPr>
          <w:p w14:paraId="0F5570CF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Standard generic tests miss nuanced concepts covered in specialized classes.</w:t>
            </w:r>
          </w:p>
        </w:tc>
        <w:tc>
          <w:tcPr>
            <w:tcW w:w="1728" w:type="dxa"/>
          </w:tcPr>
          <w:p w14:paraId="65EFE5DE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Hard to visualize actual mastery changes or track long-term retention curves.</w:t>
            </w:r>
          </w:p>
        </w:tc>
      </w:tr>
      <w:tr w14:paraId="6BECD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F1F3F4"/>
          </w:tcPr>
          <w:p w14:paraId="4F7D2CF7">
            <w:pPr>
              <w:spacing w:before="60" w:after="60" w:line="252" w:lineRule="auto"/>
            </w:pPr>
            <w:r>
              <w:rPr>
                <w:rFonts w:ascii="Calibri" w:hAnsi="Calibri"/>
                <w:b/>
                <w:i w:val="0"/>
                <w:color w:val="202124"/>
                <w:sz w:val="18"/>
              </w:rPr>
              <w:t>Gemini Capability</w:t>
            </w:r>
          </w:p>
        </w:tc>
        <w:tc>
          <w:tcPr>
            <w:tcW w:w="1728" w:type="dxa"/>
          </w:tcPr>
          <w:p w14:paraId="3206A85E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Grounding architecture limits responses strictly to validated textbook domains.</w:t>
            </w:r>
          </w:p>
        </w:tc>
        <w:tc>
          <w:tcPr>
            <w:tcW w:w="1728" w:type="dxa"/>
          </w:tcPr>
          <w:p w14:paraId="128FD0EC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Multimodal context window ingests text, audio, and visual slides concurrently.</w:t>
            </w:r>
          </w:p>
        </w:tc>
        <w:tc>
          <w:tcPr>
            <w:tcW w:w="1728" w:type="dxa"/>
          </w:tcPr>
          <w:p w14:paraId="1C1FFB65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Gemini extracts cross-asset links to synthesize structured semantic learning paths.</w:t>
            </w:r>
          </w:p>
        </w:tc>
        <w:tc>
          <w:tcPr>
            <w:tcW w:w="1728" w:type="dxa"/>
          </w:tcPr>
          <w:p w14:paraId="6B3F4720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Generates rigorous context-driven MCQs mapped exactly to syllabus specifics.</w:t>
            </w:r>
          </w:p>
        </w:tc>
        <w:tc>
          <w:tcPr>
            <w:tcW w:w="1728" w:type="dxa"/>
          </w:tcPr>
          <w:p w14:paraId="604D778F">
            <w:pPr>
              <w:spacing w:before="60" w:after="6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Performs ongoing behavioral evaluation to map mastery trends across concepts.</w:t>
            </w:r>
          </w:p>
        </w:tc>
      </w:tr>
    </w:tbl>
    <w:p w14:paraId="2751B89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0D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608</Words>
  <Characters>4103</Characters>
  <Lines>0</Lines>
  <Paragraphs>0</Paragraphs>
  <TotalTime>0</TotalTime>
  <ScaleCrop>false</ScaleCrop>
  <LinksUpToDate>false</LinksUpToDate>
  <CharactersWithSpaces>4663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ELCOT</cp:lastModifiedBy>
  <dcterms:modified xsi:type="dcterms:W3CDTF">2026-09-29T14:24:48Z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C23F88EA69D9445E81AC2B6FA7F4D1C4_13</vt:lpwstr>
  </property>
</Properties>
</file>