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A41C3">
      <w:pPr>
        <w:spacing w:before="720" w:after="120"/>
        <w:jc w:val="center"/>
      </w:pPr>
      <w:bookmarkStart w:id="0" w:name="_GoBack"/>
      <w:bookmarkEnd w:id="0"/>
      <w:r>
        <w:rPr>
          <w:rFonts w:ascii="Arial" w:hAnsi="Arial"/>
          <w:b/>
          <w:color w:val="1A73E2"/>
          <w:sz w:val="48"/>
        </w:rPr>
        <w:t>EduGenie: Google Gemini-Powered Learning Assistant</w:t>
      </w:r>
    </w:p>
    <w:p w14:paraId="2AAE30E9">
      <w:pPr>
        <w:spacing w:after="480"/>
        <w:jc w:val="center"/>
      </w:pPr>
      <w:r>
        <w:rPr>
          <w:rFonts w:ascii="Arial" w:hAnsi="Arial"/>
          <w:color w:val="5F6368"/>
          <w:sz w:val="28"/>
        </w:rPr>
        <w:t>Requirement Analysis &amp; Complete Solution Requirements Document</w:t>
      </w:r>
    </w:p>
    <w:p w14:paraId="449B7D22">
      <w:pPr>
        <w:spacing w:after="240"/>
      </w:pPr>
    </w:p>
    <w:p w14:paraId="71A5F9F2">
      <w:pPr>
        <w:keepNext/>
        <w:spacing w:before="360" w:after="120"/>
      </w:pPr>
      <w:r>
        <w:rPr>
          <w:rFonts w:ascii="Arial" w:hAnsi="Arial"/>
          <w:b/>
          <w:color w:val="1A73E2"/>
          <w:sz w:val="36"/>
        </w:rPr>
        <w:t>1. Executive Summary &amp; Product Vision</w:t>
      </w:r>
    </w:p>
    <w:p w14:paraId="0FB51570">
      <w:r>
        <w:rPr>
          <w:color w:val="202124"/>
        </w:rPr>
        <w:t xml:space="preserve">EduGenie is an enterprise-grade AI-powered learning orchestration layer powered by the </w:t>
      </w:r>
      <w:r>
        <w:rPr>
          <w:b/>
        </w:rPr>
        <w:t>Google Gemini Foundation Layer</w:t>
      </w:r>
      <w:r>
        <w:t>. It bridges the gap between massive, unstructured corporate/academic repositories (documents, video lectures, slide decks) and personalized, grounded learning pathways. By utilizing Multimodal Retrieval-Augmented Generation (RAG), EduGenie transforms static media into interactive tutoring experiences, micro-assessments, and automated learning tracks with zero halluncination constraints.</w:t>
      </w:r>
    </w:p>
    <w:p w14:paraId="07AE5F58">
      <w:pPr>
        <w:keepNext/>
        <w:spacing w:before="360" w:after="120"/>
      </w:pPr>
      <w:r>
        <w:rPr>
          <w:rFonts w:ascii="Arial" w:hAnsi="Arial"/>
          <w:b/>
          <w:color w:val="1A73E2"/>
          <w:sz w:val="36"/>
        </w:rPr>
        <w:t>2. Target Audience &amp; Scope Analysis</w:t>
      </w:r>
    </w:p>
    <w:p w14:paraId="2F4E4977">
      <w:pPr>
        <w:spacing w:after="120"/>
      </w:pPr>
      <w:r>
        <w:t>The solution explicitly addresses two primary user segments with specific pain points:</w:t>
      </w:r>
    </w:p>
    <w:p w14:paraId="056ADE39">
      <w:pPr>
        <w:pStyle w:val="23"/>
      </w:pPr>
      <w:r>
        <w:rPr>
          <w:b/>
        </w:rPr>
        <w:t xml:space="preserve">Time-Crunched Higher-Ed Students: </w:t>
      </w:r>
      <w:r>
        <w:t>Requires prompt syntheses of long lectures (PDF/Video), immediate doubt clearance with absolute textual citations, and exam preparation sandboxes.</w:t>
      </w:r>
    </w:p>
    <w:p w14:paraId="71B3ACC7">
      <w:pPr>
        <w:pStyle w:val="23"/>
      </w:pPr>
      <w:r>
        <w:rPr>
          <w:b/>
        </w:rPr>
        <w:t xml:space="preserve">Corporate Professionals upskilling on demand: </w:t>
      </w:r>
      <w:r>
        <w:t>Requires snackable knowledge micro-units extracted from long compliance, engineering, or legal PDFs, combined with adaptive conversational test loops.</w:t>
      </w:r>
    </w:p>
    <w:p w14:paraId="78BF6A89">
      <w:pPr>
        <w:keepNext/>
        <w:spacing w:before="360" w:after="120"/>
      </w:pPr>
      <w:r>
        <w:rPr>
          <w:rFonts w:ascii="Arial" w:hAnsi="Arial"/>
          <w:b/>
          <w:color w:val="1A73E2"/>
          <w:sz w:val="36"/>
        </w:rPr>
        <w:t>3. Functional Solution Requirements (FR)</w:t>
      </w:r>
    </w:p>
    <w:p w14:paraId="003F8D83">
      <w:r>
        <w:t>The table below delineates the strict functional capabilities mapped across technical modules to power the EduGenie workspace.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2A4F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1A73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87050C">
            <w:r>
              <w:rPr>
                <w:b/>
                <w:color w:val="FFFFFF"/>
              </w:rPr>
              <w:t>Req ID</w:t>
            </w:r>
          </w:p>
        </w:tc>
        <w:tc>
          <w:tcPr>
            <w:tcW w:w="2160" w:type="dxa"/>
            <w:shd w:val="clear" w:color="auto" w:fill="1A73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B1B6A">
            <w:r>
              <w:rPr>
                <w:b/>
                <w:color w:val="FFFFFF"/>
              </w:rPr>
              <w:t>Module Name</w:t>
            </w:r>
          </w:p>
        </w:tc>
        <w:tc>
          <w:tcPr>
            <w:tcW w:w="3888" w:type="dxa"/>
            <w:shd w:val="clear" w:color="auto" w:fill="1A73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CE860">
            <w:r>
              <w:rPr>
                <w:b/>
                <w:color w:val="FFFFFF"/>
              </w:rPr>
              <w:t>Functional Requirement Description</w:t>
            </w:r>
          </w:p>
        </w:tc>
        <w:tc>
          <w:tcPr>
            <w:tcW w:w="2160" w:type="dxa"/>
            <w:shd w:val="clear" w:color="auto" w:fill="1A73E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12112">
            <w:r>
              <w:rPr>
                <w:b/>
                <w:color w:val="FFFFFF"/>
              </w:rPr>
              <w:t>Gemini Native Dependency</w:t>
            </w:r>
          </w:p>
        </w:tc>
      </w:tr>
      <w:tr w14:paraId="2C3AD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2CE00">
            <w:r>
              <w:t>FR-1.1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6EE84">
            <w:r>
              <w:t>Multimodal RAG Ingestion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74819">
            <w:r>
              <w:t>System must accept simultaneous batch file uploads including PDF, DOCX, MP4 video streams, and YouTube links up to 500MB per file.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0ED47">
            <w:r>
              <w:t>Gemini 1.5 Pro Native Multimodal Context Window</w:t>
            </w:r>
          </w:p>
        </w:tc>
      </w:tr>
      <w:tr w14:paraId="723A1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80988">
            <w:r>
              <w:t>FR-1.2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57D91">
            <w:r>
              <w:t>Vector Chunking &amp; Storage</w:t>
            </w:r>
          </w:p>
        </w:tc>
        <w:tc>
          <w:tcPr>
            <w:tcW w:w="388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31412">
            <w:r>
              <w:t>Automatic pipeline to parse documents into text/image metadata, generate embeddings, and save vectors in a high-speed Vector DB with precise index mapping.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5A678">
            <w:r>
              <w:t>Gecko/Vertex AI Embedding API</w:t>
            </w:r>
          </w:p>
        </w:tc>
      </w:tr>
      <w:tr w14:paraId="69514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90400">
            <w:r>
              <w:t>FR-2.1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9DC8D">
            <w:r>
              <w:t>Grounded Tutoring Chat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3F02A">
            <w:r>
              <w:t>Provide real-time student chat interface that restricts answers entirely to loaded document boundaries. The engine must provide inline verifiable semantic source anchors.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47399">
            <w:r>
              <w:t>Gemini Grounding &amp; System Instructions Mode</w:t>
            </w:r>
          </w:p>
        </w:tc>
      </w:tr>
      <w:tr w14:paraId="3DDA8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0C1F3">
            <w:r>
              <w:t>FR-3.1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6D3C4">
            <w:r>
              <w:t>Adaptive Assessment Loop</w:t>
            </w:r>
          </w:p>
        </w:tc>
        <w:tc>
          <w:tcPr>
            <w:tcW w:w="388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3AB88">
            <w:r>
              <w:t>Generate dynamic multi-choice and short-answer test structures based entirely on selected source files, matching the user's past skill performance matrix.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501BC">
            <w:r>
              <w:t>Gemini Structured JSON Output Parsing</w:t>
            </w:r>
          </w:p>
        </w:tc>
      </w:tr>
      <w:tr w14:paraId="22D81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736BB">
            <w:r>
              <w:t>FR-3.2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2F69A">
            <w:r>
              <w:t>Automated Grading Engine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F0EE">
            <w:r>
              <w:t>Evaluate student text submissions, scoring accuracy against the source corpus context and providing structural diagnostic feedback detailing conceptual gaps.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8DDD0">
            <w:r>
              <w:t>Gemini Conceptual Reasoning &amp; Evaluation Model</w:t>
            </w:r>
          </w:p>
        </w:tc>
      </w:tr>
    </w:tbl>
    <w:p w14:paraId="493BA57B">
      <w:pPr>
        <w:spacing w:after="240"/>
      </w:pPr>
    </w:p>
    <w:p w14:paraId="1FEF06BC">
      <w:pPr>
        <w:keepNext/>
        <w:spacing w:before="360" w:after="120"/>
      </w:pPr>
      <w:r>
        <w:rPr>
          <w:rFonts w:ascii="Arial" w:hAnsi="Arial"/>
          <w:b/>
          <w:color w:val="1A73E2"/>
          <w:sz w:val="36"/>
        </w:rPr>
        <w:t>4. Non-Functional Solution Requirements (NFR)</w:t>
      </w:r>
    </w:p>
    <w:p w14:paraId="55F45FBC">
      <w:r>
        <w:t>Non-functional specifications guarantee enterprise reliability, lightning-fast execution speed, and comprehensive security controls.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2B16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5F63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4EDBC">
            <w:r>
              <w:rPr>
                <w:b/>
                <w:color w:val="FFFFFF"/>
              </w:rPr>
              <w:t>Metric Category</w:t>
            </w:r>
          </w:p>
        </w:tc>
        <w:tc>
          <w:tcPr>
            <w:tcW w:w="4608" w:type="dxa"/>
            <w:shd w:val="clear" w:color="auto" w:fill="5F63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FB4A8">
            <w:r>
              <w:rPr>
                <w:b/>
                <w:color w:val="FFFFFF"/>
              </w:rPr>
              <w:t>Target Metric Threshold &amp; Metric Specification</w:t>
            </w:r>
          </w:p>
        </w:tc>
        <w:tc>
          <w:tcPr>
            <w:tcW w:w="2592" w:type="dxa"/>
            <w:shd w:val="clear" w:color="auto" w:fill="5F63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23028">
            <w:r>
              <w:rPr>
                <w:b/>
                <w:color w:val="FFFFFF"/>
              </w:rPr>
              <w:t>Compliance &amp; Enforcement Policy</w:t>
            </w:r>
          </w:p>
        </w:tc>
      </w:tr>
      <w:tr w14:paraId="4420E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6792C">
            <w:r>
              <w:t>Performance &amp; Latency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B45CB">
            <w:r>
              <w:t>Chat pipeline first-token latency must remain below 1.5 seconds. Document ingestion &amp; vector rendering must complete under 45 seconds for a standard 100-page book.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72DC8">
            <w:r>
              <w:t>P95 SLA enforcement via API gateways</w:t>
            </w:r>
          </w:p>
        </w:tc>
      </w:tr>
      <w:tr w14:paraId="7C9AE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B9344">
            <w:r>
              <w:t>Data Privacy &amp; Security</w:t>
            </w:r>
          </w:p>
        </w:tc>
        <w:tc>
          <w:tcPr>
            <w:tcW w:w="460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93063">
            <w:r>
              <w:t>All data files sandboxed. Enterprise API model fine-tuning must be strictly disabled. Zero data retention policy for prompt records used outside customer environment.</w:t>
            </w:r>
          </w:p>
        </w:tc>
        <w:tc>
          <w:tcPr>
            <w:tcW w:w="25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45FF8">
            <w:r>
              <w:t>SOC2 Type II, GDPR, and HIPAA compliance protocols</w:t>
            </w:r>
          </w:p>
        </w:tc>
      </w:tr>
      <w:tr w14:paraId="6519E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98BD5">
            <w:r>
              <w:t>System Scalability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8FBB0">
            <w:r>
              <w:t>Architected over cloud serverless infrastructure supporting up to 50,000 concurrent interactive user nodes and 1,000 concurrent video ingestion processes.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E955F">
            <w:r>
              <w:t>Auto-scaling multi-zone nodes</w:t>
            </w:r>
          </w:p>
        </w:tc>
      </w:tr>
      <w:tr w14:paraId="3FA0F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21CDF">
            <w:r>
              <w:t>Accessibility Controls</w:t>
            </w:r>
          </w:p>
        </w:tc>
        <w:tc>
          <w:tcPr>
            <w:tcW w:w="460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56DCB">
            <w:r>
              <w:t>Frontend workspace must maintain total compliance with global accessibility criteria, supporting custom text scalings, text-to-speech toggles, and screen-readers.</w:t>
            </w:r>
          </w:p>
        </w:tc>
        <w:tc>
          <w:tcPr>
            <w:tcW w:w="25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962B6">
            <w:r>
              <w:t>WCAG 2.1 Level AA Certification standards</w:t>
            </w:r>
          </w:p>
        </w:tc>
      </w:tr>
    </w:tbl>
    <w:p w14:paraId="28EBDE21">
      <w:pPr>
        <w:spacing w:after="240"/>
      </w:pPr>
    </w:p>
    <w:p w14:paraId="4D58A89B">
      <w:pPr>
        <w:keepNext/>
        <w:spacing w:before="360" w:after="120"/>
      </w:pPr>
      <w:r>
        <w:rPr>
          <w:rFonts w:ascii="Arial" w:hAnsi="Arial"/>
          <w:b/>
          <w:color w:val="1A73E2"/>
          <w:sz w:val="36"/>
        </w:rPr>
        <w:t>5. Solution Blueprint &amp; User Journey Integration</w:t>
      </w:r>
    </w:p>
    <w:p w14:paraId="34B24006">
      <w:r>
        <w:t>This matrix aligns the core customer touchpoints directly against underlying solution mechanics and target Google Gemini model logic handlers.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B3EF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4285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4FFB8">
            <w:r>
              <w:rPr>
                <w:b/>
                <w:color w:val="FFFFFF"/>
              </w:rPr>
              <w:t>Journey Phase</w:t>
            </w:r>
          </w:p>
        </w:tc>
        <w:tc>
          <w:tcPr>
            <w:tcW w:w="1872" w:type="dxa"/>
            <w:shd w:val="clear" w:color="auto" w:fill="4285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DD0EEF">
            <w:r>
              <w:rPr>
                <w:b/>
                <w:color w:val="FFFFFF"/>
              </w:rPr>
              <w:t>Key User Action</w:t>
            </w:r>
          </w:p>
        </w:tc>
        <w:tc>
          <w:tcPr>
            <w:tcW w:w="1872" w:type="dxa"/>
            <w:shd w:val="clear" w:color="auto" w:fill="4285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8D8CE5">
            <w:r>
              <w:rPr>
                <w:b/>
                <w:color w:val="FFFFFF"/>
              </w:rPr>
              <w:t>Core Solution Touchpoint</w:t>
            </w:r>
          </w:p>
        </w:tc>
        <w:tc>
          <w:tcPr>
            <w:tcW w:w="2016" w:type="dxa"/>
            <w:shd w:val="clear" w:color="auto" w:fill="4285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38F9F">
            <w:r>
              <w:rPr>
                <w:b/>
                <w:color w:val="FFFFFF"/>
              </w:rPr>
              <w:t>Primary Pain Point Mitigated</w:t>
            </w:r>
          </w:p>
        </w:tc>
        <w:tc>
          <w:tcPr>
            <w:tcW w:w="1872" w:type="dxa"/>
            <w:shd w:val="clear" w:color="auto" w:fill="4285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C87041">
            <w:r>
              <w:rPr>
                <w:b/>
                <w:color w:val="FFFFFF"/>
              </w:rPr>
              <w:t>Gemini Orchestration Layer Logic</w:t>
            </w:r>
          </w:p>
        </w:tc>
      </w:tr>
      <w:tr w14:paraId="6A86D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C4E31">
            <w:r>
              <w:t>1. Ingestion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07577">
            <w:r>
              <w:t>Upload multimodal study assets (PDF textbooks, corporate docs, MP4 video leaks).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7C7CA">
            <w:r>
              <w:t>Drag-&amp;-drop files inside the secure Workspace Dashboard asset console.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F9910">
            <w:r>
              <w:t>Manual extraction fatigue; fragmented study sources scattered everywhere.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CA7B8">
            <w:r>
              <w:t>Gemini Multimodal Native Processing maps and contextualizes audio/video timelines instantly.</w:t>
            </w:r>
          </w:p>
        </w:tc>
      </w:tr>
      <w:tr w14:paraId="24EB7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4D4DD">
            <w:r>
              <w:t>2. Deep Chunking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74533">
            <w:r>
              <w:t>Review extracted outlines, semantic keywords, and structural material breakdown summaries.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57F5">
            <w:r>
              <w:t>Interactive structural summary index page generated by the backend engine.</w:t>
            </w:r>
          </w:p>
        </w:tc>
        <w:tc>
          <w:tcPr>
            <w:tcW w:w="201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8775D">
            <w:r>
              <w:t>Information overload; reading dense manuals cover-to-cover takes too long.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34948">
            <w:r>
              <w:t>Structured JSON parsing builds customized reference hierarchies dynamically.</w:t>
            </w:r>
          </w:p>
        </w:tc>
      </w:tr>
      <w:tr w14:paraId="4CC86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7C1AD">
            <w:r>
              <w:t>3. Active Chat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3E49C">
            <w:r>
              <w:t>Query concepts, ask hard technical follow-ups, and click specific reference citation pins.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DF037">
            <w:r>
              <w:t>Grounded Conversational interface featuring multi-column inline citations.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5F36F">
            <w:r>
              <w:t>Hallucinations or generic AI answers that lack enterprise alignment.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6C014">
            <w:r>
              <w:t>Strict prompt guarding forces model inference parameters to stay within document scopes.</w:t>
            </w:r>
          </w:p>
        </w:tc>
      </w:tr>
      <w:tr w14:paraId="2D71B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C2201">
            <w:r>
              <w:t>4. Testing Sandbox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F6A66">
            <w:r>
              <w:t>Take dynamic multi-tier concept tests and view customized skill grading grids.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20FA4">
            <w:r>
              <w:t>Interactive exam generator panel with comprehensive grading diagnostic feedback tabs.</w:t>
            </w:r>
          </w:p>
        </w:tc>
        <w:tc>
          <w:tcPr>
            <w:tcW w:w="201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245A3">
            <w:r>
              <w:t>Anxiety around performance verification; manual tests lack adaptive tracking.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D33CD">
            <w:r>
              <w:t>Gemini reasons over input records to build test suites based on missed concept weights.</w:t>
            </w:r>
          </w:p>
        </w:tc>
      </w:tr>
      <w:tr w14:paraId="6BDDA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5F5B1">
            <w:r>
              <w:t>5. Optimization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E0890">
            <w:r>
              <w:t>View persistent skill growth maps and track weekly learning progress metrics.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23914">
            <w:r>
              <w:t>Analytics dashboard containing predictive knowledge degradation indicators.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0B236">
            <w:r>
              <w:t>Losing track of long-term milestones; fast memory fade over complex compliance structures.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92989">
            <w:r>
              <w:t>Trend analysis monitors behavioral performance metrics to auto-queue review tasks.</w:t>
            </w:r>
          </w:p>
        </w:tc>
      </w:tr>
    </w:tbl>
    <w:p w14:paraId="546E912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4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02124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723</Words>
  <Characters>5002</Characters>
  <Lines>0</Lines>
  <Paragraphs>0</Paragraphs>
  <TotalTime>0</TotalTime>
  <ScaleCrop>false</ScaleCrop>
  <LinksUpToDate>false</LinksUpToDate>
  <CharactersWithSpaces>5642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566A3E009BDF4ED081A8F483CB6A04C7_13</vt:lpwstr>
  </property>
</Properties>
</file>