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9710E">
      <w:pPr>
        <w:spacing w:before="2400"/>
      </w:pPr>
      <w:bookmarkStart w:id="0" w:name="_GoBack"/>
      <w:bookmarkEnd w:id="0"/>
    </w:p>
    <w:p w14:paraId="271AE382">
      <w:pPr>
        <w:spacing w:after="240"/>
      </w:pPr>
      <w:r>
        <w:rPr>
          <w:rFonts w:ascii="Arial" w:hAnsi="Arial"/>
          <w:b/>
          <w:i w:val="0"/>
          <w:color w:val="1A73E2"/>
          <w:sz w:val="52"/>
        </w:rPr>
        <w:t>EduGenie: Google Gemini-Powered Learning Assistant</w:t>
      </w:r>
    </w:p>
    <w:p w14:paraId="1F1AB93B">
      <w:pPr>
        <w:spacing w:after="4000"/>
      </w:pPr>
      <w:r>
        <w:rPr>
          <w:rFonts w:ascii="Arial" w:hAnsi="Arial"/>
          <w:b w:val="0"/>
          <w:i/>
          <w:color w:val="5F6368"/>
          <w:sz w:val="28"/>
        </w:rPr>
        <w:t>Requirement Analysis &amp; Technology Stack Specification</w:t>
      </w:r>
    </w:p>
    <w:p w14:paraId="5DEC003D">
      <w:pPr>
        <w:spacing w:line="312" w:lineRule="auto"/>
      </w:pPr>
      <w:r>
        <w:rPr>
          <w:rFonts w:ascii="Arial" w:hAnsi="Arial"/>
          <w:b/>
          <w:i w:val="0"/>
          <w:color w:val="202124"/>
          <w:sz w:val="20"/>
        </w:rPr>
        <w:t xml:space="preserve">Document Version: </w:t>
      </w:r>
      <w:r>
        <w:rPr>
          <w:rFonts w:ascii="Arial" w:hAnsi="Arial"/>
          <w:b w:val="0"/>
          <w:i w:val="0"/>
          <w:color w:val="202124"/>
          <w:sz w:val="20"/>
        </w:rPr>
        <w:t>1.0.0</w:t>
      </w:r>
      <w:r>
        <w:rPr>
          <w:rFonts w:ascii="Arial" w:hAnsi="Arial"/>
          <w:b w:val="0"/>
          <w:i w:val="0"/>
          <w:color w:val="202124"/>
          <w:sz w:val="20"/>
        </w:rPr>
        <w:br w:type="textWrapping"/>
      </w:r>
      <w:r>
        <w:rPr>
          <w:rFonts w:ascii="Arial" w:hAnsi="Arial"/>
          <w:b/>
          <w:i w:val="0"/>
          <w:color w:val="202124"/>
          <w:sz w:val="20"/>
        </w:rPr>
        <w:t xml:space="preserve">Target Architecture: </w:t>
      </w:r>
      <w:r>
        <w:rPr>
          <w:rFonts w:ascii="Arial" w:hAnsi="Arial"/>
          <w:b w:val="0"/>
          <w:i w:val="0"/>
          <w:color w:val="202124"/>
          <w:sz w:val="20"/>
        </w:rPr>
        <w:t>Google Cloud Platform (GCP) &amp; Vertex AI</w:t>
      </w:r>
      <w:r>
        <w:rPr>
          <w:rFonts w:ascii="Arial" w:hAnsi="Arial"/>
          <w:b w:val="0"/>
          <w:i w:val="0"/>
          <w:color w:val="202124"/>
          <w:sz w:val="20"/>
        </w:rPr>
        <w:br w:type="textWrapping"/>
      </w:r>
      <w:r>
        <w:rPr>
          <w:rFonts w:ascii="Arial" w:hAnsi="Arial"/>
          <w:b/>
          <w:i w:val="0"/>
          <w:color w:val="202124"/>
          <w:sz w:val="20"/>
        </w:rPr>
        <w:t xml:space="preserve">Classification: </w:t>
      </w:r>
      <w:r>
        <w:rPr>
          <w:rFonts w:ascii="Arial" w:hAnsi="Arial"/>
          <w:b w:val="0"/>
          <w:i w:val="0"/>
          <w:color w:val="202124"/>
          <w:sz w:val="20"/>
        </w:rPr>
        <w:t>Technical Specification / Internal Use Only</w:t>
      </w:r>
    </w:p>
    <w:p w14:paraId="549D290C">
      <w:r>
        <w:br w:type="page"/>
      </w:r>
    </w:p>
    <w:p w14:paraId="354DF75D">
      <w:pPr>
        <w:keepNext/>
        <w:spacing w:before="320" w:after="120" w:line="276" w:lineRule="auto"/>
      </w:pPr>
      <w:r>
        <w:rPr>
          <w:rFonts w:ascii="Arial" w:hAnsi="Arial"/>
          <w:b/>
          <w:i w:val="0"/>
          <w:color w:val="1A73E2"/>
          <w:sz w:val="36"/>
        </w:rPr>
        <w:t>1. Executive Summary &amp; Vision</w:t>
      </w:r>
    </w:p>
    <w:p w14:paraId="3DC664D8">
      <w:pPr>
        <w:spacing w:before="0" w:after="120" w:line="276" w:lineRule="auto"/>
      </w:pPr>
      <w:r>
        <w:rPr>
          <w:rFonts w:ascii="Arial" w:hAnsi="Arial"/>
          <w:b w:val="0"/>
          <w:i w:val="0"/>
          <w:color w:val="202124"/>
          <w:sz w:val="21"/>
        </w:rPr>
        <w:t>EduGenie is an intelligent enterprise-grade learning orchestration assistant designed to transform raw, unstructured academic and corporate documentation into highly optimized interactive learning pathways. By utilizing Google Gemini's advanced native multimodal context processing models, EduGenie offers customized contextual indexing, grounded question-answering loops, conversational mock training scenarios, and automated flashcard/assessment creation pipelines.</w:t>
      </w:r>
    </w:p>
    <w:p w14:paraId="25D04428">
      <w:pPr>
        <w:spacing w:before="0" w:after="120" w:line="276" w:lineRule="auto"/>
      </w:pPr>
      <w:r>
        <w:rPr>
          <w:rFonts w:ascii="Arial" w:hAnsi="Arial"/>
          <w:b w:val="0"/>
          <w:i w:val="0"/>
          <w:color w:val="202124"/>
          <w:sz w:val="21"/>
        </w:rPr>
        <w:t>This technical document details the Core Functional Requirements alongside a state-of-the-art production Technology Stack configured explicitly for high-throughput, low-latency, and zero-retention privacy standards inside Google Cloud Platform (GCP).</w:t>
      </w:r>
    </w:p>
    <w:p w14:paraId="10868718">
      <w:pPr>
        <w:keepNext/>
        <w:spacing w:before="320" w:after="120" w:line="276" w:lineRule="auto"/>
      </w:pPr>
      <w:r>
        <w:rPr>
          <w:rFonts w:ascii="Arial" w:hAnsi="Arial"/>
          <w:b/>
          <w:i w:val="0"/>
          <w:color w:val="1A73E2"/>
          <w:sz w:val="36"/>
        </w:rPr>
        <w:t>2. Requirement Analysis Specification</w:t>
      </w:r>
    </w:p>
    <w:p w14:paraId="36CEE2A1">
      <w:pPr>
        <w:spacing w:before="0" w:after="120" w:line="276" w:lineRule="auto"/>
      </w:pPr>
      <w:r>
        <w:rPr>
          <w:rFonts w:ascii="Arial" w:hAnsi="Arial"/>
          <w:b w:val="0"/>
          <w:i w:val="0"/>
          <w:color w:val="202124"/>
          <w:sz w:val="21"/>
        </w:rPr>
        <w:t>The following matrices formalize the core system requirements across operational boundaries.</w:t>
      </w:r>
    </w:p>
    <w:p w14:paraId="4A9785B4">
      <w:pPr>
        <w:keepNext/>
        <w:spacing w:before="240" w:after="80" w:line="276" w:lineRule="auto"/>
      </w:pPr>
      <w:r>
        <w:rPr>
          <w:rFonts w:ascii="Arial" w:hAnsi="Arial"/>
          <w:b/>
          <w:i w:val="0"/>
          <w:color w:val="5F6368"/>
          <w:sz w:val="28"/>
        </w:rPr>
        <w:t>2.1 Functional Requirements Matrix</w:t>
      </w:r>
    </w:p>
    <w:tbl>
      <w:tblPr>
        <w:tblStyle w:val="12"/>
        <w:tblW w:w="0" w:type="auto"/>
        <w:jc w:val="center"/>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Layout w:type="autofit"/>
        <w:tblCellMar>
          <w:top w:w="0" w:type="dxa"/>
          <w:left w:w="108" w:type="dxa"/>
          <w:bottom w:w="0" w:type="dxa"/>
          <w:right w:w="108" w:type="dxa"/>
        </w:tblCellMar>
      </w:tblPr>
      <w:tblGrid>
        <w:gridCol w:w="1152"/>
        <w:gridCol w:w="2160"/>
        <w:gridCol w:w="3600"/>
        <w:gridCol w:w="2448"/>
      </w:tblGrid>
      <w:tr w14:paraId="0A232947">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152" w:type="dxa"/>
            <w:shd w:val="clear" w:color="auto" w:fill="1A73E2"/>
            <w:tcMar>
              <w:top w:w="140" w:type="dxa"/>
              <w:left w:w="150" w:type="dxa"/>
              <w:bottom w:w="140" w:type="dxa"/>
              <w:right w:w="150" w:type="dxa"/>
            </w:tcMar>
          </w:tcPr>
          <w:p w14:paraId="5F27B9F3">
            <w:pPr>
              <w:jc w:val="left"/>
            </w:pPr>
            <w:r>
              <w:rPr>
                <w:rFonts w:ascii="Arial" w:hAnsi="Arial"/>
                <w:b/>
                <w:i w:val="0"/>
                <w:color w:val="FFFFFF"/>
                <w:sz w:val="20"/>
              </w:rPr>
              <w:t>Req ID</w:t>
            </w:r>
          </w:p>
        </w:tc>
        <w:tc>
          <w:tcPr>
            <w:tcW w:w="2160" w:type="dxa"/>
            <w:shd w:val="clear" w:color="auto" w:fill="1A73E2"/>
            <w:tcMar>
              <w:top w:w="140" w:type="dxa"/>
              <w:left w:w="150" w:type="dxa"/>
              <w:bottom w:w="140" w:type="dxa"/>
              <w:right w:w="150" w:type="dxa"/>
            </w:tcMar>
          </w:tcPr>
          <w:p w14:paraId="15EC8922">
            <w:pPr>
              <w:jc w:val="left"/>
            </w:pPr>
            <w:r>
              <w:rPr>
                <w:rFonts w:ascii="Arial" w:hAnsi="Arial"/>
                <w:b/>
                <w:i w:val="0"/>
                <w:color w:val="FFFFFF"/>
                <w:sz w:val="20"/>
              </w:rPr>
              <w:t>Core Feature</w:t>
            </w:r>
          </w:p>
        </w:tc>
        <w:tc>
          <w:tcPr>
            <w:tcW w:w="3600" w:type="dxa"/>
            <w:shd w:val="clear" w:color="auto" w:fill="1A73E2"/>
            <w:tcMar>
              <w:top w:w="140" w:type="dxa"/>
              <w:left w:w="150" w:type="dxa"/>
              <w:bottom w:w="140" w:type="dxa"/>
              <w:right w:w="150" w:type="dxa"/>
            </w:tcMar>
          </w:tcPr>
          <w:p w14:paraId="258762E8">
            <w:pPr>
              <w:jc w:val="left"/>
            </w:pPr>
            <w:r>
              <w:rPr>
                <w:rFonts w:ascii="Arial" w:hAnsi="Arial"/>
                <w:b/>
                <w:i w:val="0"/>
                <w:color w:val="FFFFFF"/>
                <w:sz w:val="20"/>
              </w:rPr>
              <w:t>Functional Specification</w:t>
            </w:r>
          </w:p>
        </w:tc>
        <w:tc>
          <w:tcPr>
            <w:tcW w:w="2448" w:type="dxa"/>
            <w:shd w:val="clear" w:color="auto" w:fill="1A73E2"/>
            <w:tcMar>
              <w:top w:w="140" w:type="dxa"/>
              <w:left w:w="150" w:type="dxa"/>
              <w:bottom w:w="140" w:type="dxa"/>
              <w:right w:w="150" w:type="dxa"/>
            </w:tcMar>
          </w:tcPr>
          <w:p w14:paraId="2E2CC59C">
            <w:pPr>
              <w:jc w:val="left"/>
            </w:pPr>
            <w:r>
              <w:rPr>
                <w:rFonts w:ascii="Arial" w:hAnsi="Arial"/>
                <w:b/>
                <w:i w:val="0"/>
                <w:color w:val="FFFFFF"/>
                <w:sz w:val="20"/>
              </w:rPr>
              <w:t>Gemini Native Dependency</w:t>
            </w:r>
          </w:p>
        </w:tc>
      </w:tr>
      <w:tr w14:paraId="51034AF7">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14:paraId="46D3FE9B">
            <w:r>
              <w:rPr>
                <w:rFonts w:ascii="Arial" w:hAnsi="Arial"/>
                <w:b w:val="0"/>
                <w:i w:val="0"/>
                <w:color w:val="202124"/>
                <w:sz w:val="19"/>
              </w:rPr>
              <w:t>FR-01</w:t>
            </w:r>
          </w:p>
        </w:tc>
        <w:tc>
          <w:tcPr>
            <w:tcW w:w="2160" w:type="dxa"/>
            <w:tcMar>
              <w:top w:w="100" w:type="dxa"/>
              <w:left w:w="150" w:type="dxa"/>
              <w:bottom w:w="100" w:type="dxa"/>
              <w:right w:w="150" w:type="dxa"/>
            </w:tcMar>
          </w:tcPr>
          <w:p w14:paraId="379EF59F">
            <w:r>
              <w:rPr>
                <w:rFonts w:ascii="Arial" w:hAnsi="Arial"/>
                <w:b w:val="0"/>
                <w:i w:val="0"/>
                <w:color w:val="202124"/>
                <w:sz w:val="19"/>
              </w:rPr>
              <w:t>Multimodal Ingestion</w:t>
            </w:r>
          </w:p>
        </w:tc>
        <w:tc>
          <w:tcPr>
            <w:tcW w:w="3600" w:type="dxa"/>
            <w:tcMar>
              <w:top w:w="100" w:type="dxa"/>
              <w:left w:w="150" w:type="dxa"/>
              <w:bottom w:w="100" w:type="dxa"/>
              <w:right w:w="150" w:type="dxa"/>
            </w:tcMar>
          </w:tcPr>
          <w:p w14:paraId="4868BD9C">
            <w:r>
              <w:rPr>
                <w:rFonts w:ascii="Arial" w:hAnsi="Arial"/>
                <w:b w:val="0"/>
                <w:i w:val="0"/>
                <w:color w:val="202124"/>
                <w:sz w:val="19"/>
              </w:rPr>
              <w:t>System must accept PDF, video lectures, and slide decks, generating vector chunks up to 2M tokens synchronously.</w:t>
            </w:r>
          </w:p>
        </w:tc>
        <w:tc>
          <w:tcPr>
            <w:tcW w:w="2448" w:type="dxa"/>
            <w:tcMar>
              <w:top w:w="100" w:type="dxa"/>
              <w:left w:w="150" w:type="dxa"/>
              <w:bottom w:w="100" w:type="dxa"/>
              <w:right w:w="150" w:type="dxa"/>
            </w:tcMar>
          </w:tcPr>
          <w:p w14:paraId="368C511D">
            <w:r>
              <w:rPr>
                <w:rFonts w:ascii="Arial" w:hAnsi="Arial"/>
                <w:b w:val="0"/>
                <w:i w:val="0"/>
                <w:color w:val="202124"/>
                <w:sz w:val="19"/>
              </w:rPr>
              <w:t>Gemini 1.5 Pro Native Multimodal Context Window</w:t>
            </w:r>
          </w:p>
        </w:tc>
      </w:tr>
      <w:tr w14:paraId="6F96CBA0">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152" w:type="dxa"/>
            <w:shd w:val="clear" w:color="auto" w:fill="F1F3F4"/>
            <w:tcMar>
              <w:top w:w="100" w:type="dxa"/>
              <w:left w:w="150" w:type="dxa"/>
              <w:bottom w:w="100" w:type="dxa"/>
              <w:right w:w="150" w:type="dxa"/>
            </w:tcMar>
          </w:tcPr>
          <w:p w14:paraId="338D77A2">
            <w:r>
              <w:rPr>
                <w:rFonts w:ascii="Arial" w:hAnsi="Arial"/>
                <w:b w:val="0"/>
                <w:i w:val="0"/>
                <w:color w:val="202124"/>
                <w:sz w:val="19"/>
              </w:rPr>
              <w:t>FR-02</w:t>
            </w:r>
          </w:p>
        </w:tc>
        <w:tc>
          <w:tcPr>
            <w:tcW w:w="2160" w:type="dxa"/>
            <w:shd w:val="clear" w:color="auto" w:fill="F1F3F4"/>
            <w:tcMar>
              <w:top w:w="100" w:type="dxa"/>
              <w:left w:w="150" w:type="dxa"/>
              <w:bottom w:w="100" w:type="dxa"/>
              <w:right w:w="150" w:type="dxa"/>
            </w:tcMar>
          </w:tcPr>
          <w:p w14:paraId="23FD26E1">
            <w:r>
              <w:rPr>
                <w:rFonts w:ascii="Arial" w:hAnsi="Arial"/>
                <w:b w:val="0"/>
                <w:i w:val="0"/>
                <w:color w:val="202124"/>
                <w:sz w:val="19"/>
              </w:rPr>
              <w:t>Grounded Chatbot</w:t>
            </w:r>
          </w:p>
        </w:tc>
        <w:tc>
          <w:tcPr>
            <w:tcW w:w="3600" w:type="dxa"/>
            <w:shd w:val="clear" w:color="auto" w:fill="F1F3F4"/>
            <w:tcMar>
              <w:top w:w="100" w:type="dxa"/>
              <w:left w:w="150" w:type="dxa"/>
              <w:bottom w:w="100" w:type="dxa"/>
              <w:right w:w="150" w:type="dxa"/>
            </w:tcMar>
          </w:tcPr>
          <w:p w14:paraId="2D2695C7">
            <w:r>
              <w:rPr>
                <w:rFonts w:ascii="Arial" w:hAnsi="Arial"/>
                <w:b w:val="0"/>
                <w:i w:val="0"/>
                <w:color w:val="202124"/>
                <w:sz w:val="19"/>
              </w:rPr>
              <w:t>Provides contextual tutoring with direct semantic citations. Hallucinations must be mitigated via source boundaries.</w:t>
            </w:r>
          </w:p>
        </w:tc>
        <w:tc>
          <w:tcPr>
            <w:tcW w:w="2448" w:type="dxa"/>
            <w:shd w:val="clear" w:color="auto" w:fill="F1F3F4"/>
            <w:tcMar>
              <w:top w:w="100" w:type="dxa"/>
              <w:left w:w="150" w:type="dxa"/>
              <w:bottom w:w="100" w:type="dxa"/>
              <w:right w:w="150" w:type="dxa"/>
            </w:tcMar>
          </w:tcPr>
          <w:p w14:paraId="5643A3F7">
            <w:r>
              <w:rPr>
                <w:rFonts w:ascii="Arial" w:hAnsi="Arial"/>
                <w:b w:val="0"/>
                <w:i w:val="0"/>
                <w:color w:val="202124"/>
                <w:sz w:val="19"/>
              </w:rPr>
              <w:t>Gemini System Instructions &amp; Grounding via Vertex Search</w:t>
            </w:r>
          </w:p>
        </w:tc>
      </w:tr>
      <w:tr w14:paraId="78BCC9F1">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152" w:type="dxa"/>
            <w:tcMar>
              <w:top w:w="100" w:type="dxa"/>
              <w:left w:w="150" w:type="dxa"/>
              <w:bottom w:w="100" w:type="dxa"/>
              <w:right w:w="150" w:type="dxa"/>
            </w:tcMar>
          </w:tcPr>
          <w:p w14:paraId="1CDFE811">
            <w:r>
              <w:rPr>
                <w:rFonts w:ascii="Arial" w:hAnsi="Arial"/>
                <w:b w:val="0"/>
                <w:i w:val="0"/>
                <w:color w:val="202124"/>
                <w:sz w:val="19"/>
              </w:rPr>
              <w:t>FR-03</w:t>
            </w:r>
          </w:p>
        </w:tc>
        <w:tc>
          <w:tcPr>
            <w:tcW w:w="2160" w:type="dxa"/>
            <w:tcMar>
              <w:top w:w="100" w:type="dxa"/>
              <w:left w:w="150" w:type="dxa"/>
              <w:bottom w:w="100" w:type="dxa"/>
              <w:right w:w="150" w:type="dxa"/>
            </w:tcMar>
          </w:tcPr>
          <w:p w14:paraId="7AC2B69B">
            <w:r>
              <w:rPr>
                <w:rFonts w:ascii="Arial" w:hAnsi="Arial"/>
                <w:b w:val="0"/>
                <w:i w:val="0"/>
                <w:color w:val="202124"/>
                <w:sz w:val="19"/>
              </w:rPr>
              <w:t>Adaptive Testing</w:t>
            </w:r>
          </w:p>
        </w:tc>
        <w:tc>
          <w:tcPr>
            <w:tcW w:w="3600" w:type="dxa"/>
            <w:tcMar>
              <w:top w:w="100" w:type="dxa"/>
              <w:left w:w="150" w:type="dxa"/>
              <w:bottom w:w="100" w:type="dxa"/>
              <w:right w:w="150" w:type="dxa"/>
            </w:tcMar>
          </w:tcPr>
          <w:p w14:paraId="4B3EFBD0">
            <w:r>
              <w:rPr>
                <w:rFonts w:ascii="Arial" w:hAnsi="Arial"/>
                <w:b w:val="0"/>
                <w:i w:val="0"/>
                <w:color w:val="202124"/>
                <w:sz w:val="19"/>
              </w:rPr>
              <w:t>Generates personalized multi-format exams (MCQ, short text) mapped strictly against the user's uploaded corpus.</w:t>
            </w:r>
          </w:p>
        </w:tc>
        <w:tc>
          <w:tcPr>
            <w:tcW w:w="2448" w:type="dxa"/>
            <w:tcMar>
              <w:top w:w="100" w:type="dxa"/>
              <w:left w:w="150" w:type="dxa"/>
              <w:bottom w:w="100" w:type="dxa"/>
              <w:right w:w="150" w:type="dxa"/>
            </w:tcMar>
          </w:tcPr>
          <w:p w14:paraId="2CCF9B98">
            <w:r>
              <w:rPr>
                <w:rFonts w:ascii="Arial" w:hAnsi="Arial"/>
                <w:b w:val="0"/>
                <w:i w:val="0"/>
                <w:color w:val="202124"/>
                <w:sz w:val="19"/>
              </w:rPr>
              <w:t>Gemini Structured JSON Outputs (JSON Schema compliance)</w:t>
            </w:r>
          </w:p>
        </w:tc>
      </w:tr>
      <w:tr w14:paraId="48231CE4">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152" w:type="dxa"/>
            <w:shd w:val="clear" w:color="auto" w:fill="F1F3F4"/>
            <w:tcMar>
              <w:top w:w="100" w:type="dxa"/>
              <w:left w:w="150" w:type="dxa"/>
              <w:bottom w:w="100" w:type="dxa"/>
              <w:right w:w="150" w:type="dxa"/>
            </w:tcMar>
          </w:tcPr>
          <w:p w14:paraId="0FE3575E">
            <w:r>
              <w:rPr>
                <w:rFonts w:ascii="Arial" w:hAnsi="Arial"/>
                <w:b w:val="0"/>
                <w:i w:val="0"/>
                <w:color w:val="202124"/>
                <w:sz w:val="19"/>
              </w:rPr>
              <w:t>FR-04</w:t>
            </w:r>
          </w:p>
        </w:tc>
        <w:tc>
          <w:tcPr>
            <w:tcW w:w="2160" w:type="dxa"/>
            <w:shd w:val="clear" w:color="auto" w:fill="F1F3F4"/>
            <w:tcMar>
              <w:top w:w="100" w:type="dxa"/>
              <w:left w:w="150" w:type="dxa"/>
              <w:bottom w:w="100" w:type="dxa"/>
              <w:right w:w="150" w:type="dxa"/>
            </w:tcMar>
          </w:tcPr>
          <w:p w14:paraId="1F085850">
            <w:r>
              <w:rPr>
                <w:rFonts w:ascii="Arial" w:hAnsi="Arial"/>
                <w:b w:val="0"/>
                <w:i w:val="0"/>
                <w:color w:val="202124"/>
                <w:sz w:val="19"/>
              </w:rPr>
              <w:t>Automated Assets</w:t>
            </w:r>
          </w:p>
        </w:tc>
        <w:tc>
          <w:tcPr>
            <w:tcW w:w="3600" w:type="dxa"/>
            <w:shd w:val="clear" w:color="auto" w:fill="F1F3F4"/>
            <w:tcMar>
              <w:top w:w="100" w:type="dxa"/>
              <w:left w:w="150" w:type="dxa"/>
              <w:bottom w:w="100" w:type="dxa"/>
              <w:right w:w="150" w:type="dxa"/>
            </w:tcMar>
          </w:tcPr>
          <w:p w14:paraId="2DC57A32">
            <w:r>
              <w:rPr>
                <w:rFonts w:ascii="Arial" w:hAnsi="Arial"/>
                <w:b w:val="0"/>
                <w:i w:val="0"/>
                <w:color w:val="202124"/>
                <w:sz w:val="19"/>
              </w:rPr>
              <w:t>Extracts core definitions and synthesizes spaced-repetition flashcards and dynamic cheat sheets within 3 seconds.</w:t>
            </w:r>
          </w:p>
        </w:tc>
        <w:tc>
          <w:tcPr>
            <w:tcW w:w="2448" w:type="dxa"/>
            <w:shd w:val="clear" w:color="auto" w:fill="F1F3F4"/>
            <w:tcMar>
              <w:top w:w="100" w:type="dxa"/>
              <w:left w:w="150" w:type="dxa"/>
              <w:bottom w:w="100" w:type="dxa"/>
              <w:right w:w="150" w:type="dxa"/>
            </w:tcMar>
          </w:tcPr>
          <w:p w14:paraId="3FAC1659">
            <w:r>
              <w:rPr>
                <w:rFonts w:ascii="Arial" w:hAnsi="Arial"/>
                <w:b w:val="0"/>
                <w:i w:val="0"/>
                <w:color w:val="202124"/>
                <w:sz w:val="19"/>
              </w:rPr>
              <w:t>Gemini High-Throughput Contextual Summarization Loops</w:t>
            </w:r>
          </w:p>
        </w:tc>
      </w:tr>
    </w:tbl>
    <w:p w14:paraId="308F249E">
      <w:pPr>
        <w:spacing w:before="0" w:after="120" w:line="276" w:lineRule="auto"/>
      </w:pPr>
    </w:p>
    <w:p w14:paraId="5B869E77">
      <w:pPr>
        <w:keepNext/>
        <w:spacing w:before="240" w:after="80" w:line="276" w:lineRule="auto"/>
      </w:pPr>
      <w:r>
        <w:rPr>
          <w:rFonts w:ascii="Arial" w:hAnsi="Arial"/>
          <w:b/>
          <w:i w:val="0"/>
          <w:color w:val="5F6368"/>
          <w:sz w:val="28"/>
        </w:rPr>
        <w:t>2.2 Non-Functional Requirements Matrix</w:t>
      </w:r>
    </w:p>
    <w:tbl>
      <w:tblPr>
        <w:tblStyle w:val="12"/>
        <w:tblW w:w="0" w:type="auto"/>
        <w:jc w:val="center"/>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Layout w:type="autofit"/>
        <w:tblCellMar>
          <w:top w:w="0" w:type="dxa"/>
          <w:left w:w="108" w:type="dxa"/>
          <w:bottom w:w="0" w:type="dxa"/>
          <w:right w:w="108" w:type="dxa"/>
        </w:tblCellMar>
      </w:tblPr>
      <w:tblGrid>
        <w:gridCol w:w="1440"/>
        <w:gridCol w:w="2592"/>
        <w:gridCol w:w="5328"/>
      </w:tblGrid>
      <w:tr w14:paraId="403B7212">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440" w:type="dxa"/>
            <w:shd w:val="clear" w:color="auto" w:fill="1A73E2"/>
            <w:tcMar>
              <w:top w:w="140" w:type="dxa"/>
              <w:left w:w="150" w:type="dxa"/>
              <w:bottom w:w="140" w:type="dxa"/>
              <w:right w:w="150" w:type="dxa"/>
            </w:tcMar>
          </w:tcPr>
          <w:p w14:paraId="4A665413">
            <w:r>
              <w:rPr>
                <w:rFonts w:ascii="Arial" w:hAnsi="Arial"/>
                <w:b/>
                <w:i w:val="0"/>
                <w:color w:val="FFFFFF"/>
                <w:sz w:val="20"/>
              </w:rPr>
              <w:t>Req ID</w:t>
            </w:r>
          </w:p>
        </w:tc>
        <w:tc>
          <w:tcPr>
            <w:tcW w:w="2592" w:type="dxa"/>
            <w:shd w:val="clear" w:color="auto" w:fill="1A73E2"/>
            <w:tcMar>
              <w:top w:w="140" w:type="dxa"/>
              <w:left w:w="150" w:type="dxa"/>
              <w:bottom w:w="140" w:type="dxa"/>
              <w:right w:w="150" w:type="dxa"/>
            </w:tcMar>
          </w:tcPr>
          <w:p w14:paraId="7979BB4B">
            <w:r>
              <w:rPr>
                <w:rFonts w:ascii="Arial" w:hAnsi="Arial"/>
                <w:b/>
                <w:i w:val="0"/>
                <w:color w:val="FFFFFF"/>
                <w:sz w:val="20"/>
              </w:rPr>
              <w:t>Metric / Category</w:t>
            </w:r>
          </w:p>
        </w:tc>
        <w:tc>
          <w:tcPr>
            <w:tcW w:w="5328" w:type="dxa"/>
            <w:shd w:val="clear" w:color="auto" w:fill="1A73E2"/>
            <w:tcMar>
              <w:top w:w="140" w:type="dxa"/>
              <w:left w:w="150" w:type="dxa"/>
              <w:bottom w:w="140" w:type="dxa"/>
              <w:right w:w="150" w:type="dxa"/>
            </w:tcMar>
          </w:tcPr>
          <w:p w14:paraId="4E44707B">
            <w:r>
              <w:rPr>
                <w:rFonts w:ascii="Arial" w:hAnsi="Arial"/>
                <w:b/>
                <w:i w:val="0"/>
                <w:color w:val="FFFFFF"/>
                <w:sz w:val="20"/>
              </w:rPr>
              <w:t>Target Engineering Boundary &amp; SLA Compliance</w:t>
            </w:r>
          </w:p>
        </w:tc>
      </w:tr>
      <w:tr w14:paraId="0E95901D">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440" w:type="dxa"/>
            <w:tcMar>
              <w:top w:w="100" w:type="dxa"/>
              <w:left w:w="150" w:type="dxa"/>
              <w:bottom w:w="100" w:type="dxa"/>
              <w:right w:w="150" w:type="dxa"/>
            </w:tcMar>
          </w:tcPr>
          <w:p w14:paraId="5A42C8A3">
            <w:r>
              <w:rPr>
                <w:rFonts w:ascii="Arial" w:hAnsi="Arial"/>
                <w:b w:val="0"/>
                <w:i w:val="0"/>
                <w:color w:val="202124"/>
                <w:sz w:val="19"/>
              </w:rPr>
              <w:t>NFR-01</w:t>
            </w:r>
          </w:p>
        </w:tc>
        <w:tc>
          <w:tcPr>
            <w:tcW w:w="2592" w:type="dxa"/>
            <w:tcMar>
              <w:top w:w="100" w:type="dxa"/>
              <w:left w:w="150" w:type="dxa"/>
              <w:bottom w:w="100" w:type="dxa"/>
              <w:right w:w="150" w:type="dxa"/>
            </w:tcMar>
          </w:tcPr>
          <w:p w14:paraId="12F1158F">
            <w:r>
              <w:rPr>
                <w:rFonts w:ascii="Arial" w:hAnsi="Arial"/>
                <w:b w:val="0"/>
                <w:i w:val="0"/>
                <w:color w:val="202124"/>
                <w:sz w:val="19"/>
              </w:rPr>
              <w:t>Execution Latency</w:t>
            </w:r>
          </w:p>
        </w:tc>
        <w:tc>
          <w:tcPr>
            <w:tcW w:w="5328" w:type="dxa"/>
            <w:tcMar>
              <w:top w:w="100" w:type="dxa"/>
              <w:left w:w="150" w:type="dxa"/>
              <w:bottom w:w="100" w:type="dxa"/>
              <w:right w:w="150" w:type="dxa"/>
            </w:tcMar>
          </w:tcPr>
          <w:p w14:paraId="310E2F12">
            <w:r>
              <w:rPr>
                <w:rFonts w:ascii="Arial" w:hAnsi="Arial"/>
                <w:b w:val="0"/>
                <w:i w:val="0"/>
                <w:color w:val="202124"/>
                <w:sz w:val="19"/>
              </w:rPr>
              <w:t>First-token responsiveness for chat assistant under 1.5 seconds. Background heavy processing completed under 15 seconds.</w:t>
            </w:r>
          </w:p>
        </w:tc>
      </w:tr>
      <w:tr w14:paraId="1811F1AD">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440" w:type="dxa"/>
            <w:shd w:val="clear" w:color="auto" w:fill="F1F3F4"/>
            <w:tcMar>
              <w:top w:w="100" w:type="dxa"/>
              <w:left w:w="150" w:type="dxa"/>
              <w:bottom w:w="100" w:type="dxa"/>
              <w:right w:w="150" w:type="dxa"/>
            </w:tcMar>
          </w:tcPr>
          <w:p w14:paraId="6C9573BA">
            <w:r>
              <w:rPr>
                <w:rFonts w:ascii="Arial" w:hAnsi="Arial"/>
                <w:b w:val="0"/>
                <w:i w:val="0"/>
                <w:color w:val="202124"/>
                <w:sz w:val="19"/>
              </w:rPr>
              <w:t>NFR-02</w:t>
            </w:r>
          </w:p>
        </w:tc>
        <w:tc>
          <w:tcPr>
            <w:tcW w:w="2592" w:type="dxa"/>
            <w:shd w:val="clear" w:color="auto" w:fill="F1F3F4"/>
            <w:tcMar>
              <w:top w:w="100" w:type="dxa"/>
              <w:left w:w="150" w:type="dxa"/>
              <w:bottom w:w="100" w:type="dxa"/>
              <w:right w:w="150" w:type="dxa"/>
            </w:tcMar>
          </w:tcPr>
          <w:p w14:paraId="3D714F29">
            <w:r>
              <w:rPr>
                <w:rFonts w:ascii="Arial" w:hAnsi="Arial"/>
                <w:b w:val="0"/>
                <w:i w:val="0"/>
                <w:color w:val="202124"/>
                <w:sz w:val="19"/>
              </w:rPr>
              <w:t>Data Privacy &amp; InfoSec</w:t>
            </w:r>
          </w:p>
        </w:tc>
        <w:tc>
          <w:tcPr>
            <w:tcW w:w="5328" w:type="dxa"/>
            <w:shd w:val="clear" w:color="auto" w:fill="F1F3F4"/>
            <w:tcMar>
              <w:top w:w="100" w:type="dxa"/>
              <w:left w:w="150" w:type="dxa"/>
              <w:bottom w:w="100" w:type="dxa"/>
              <w:right w:w="150" w:type="dxa"/>
            </w:tcMar>
          </w:tcPr>
          <w:p w14:paraId="687C0CC0">
            <w:r>
              <w:rPr>
                <w:rFonts w:ascii="Arial" w:hAnsi="Arial"/>
                <w:b w:val="0"/>
                <w:i w:val="0"/>
                <w:color w:val="202124"/>
                <w:sz w:val="19"/>
              </w:rPr>
              <w:t>Strict zero-retention processing. User data cannot be utilized for public model training. Compliant with GDPR and SOC2 Type II standard policies.</w:t>
            </w:r>
          </w:p>
        </w:tc>
      </w:tr>
      <w:tr w14:paraId="303A4612">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440" w:type="dxa"/>
            <w:tcMar>
              <w:top w:w="100" w:type="dxa"/>
              <w:left w:w="150" w:type="dxa"/>
              <w:bottom w:w="100" w:type="dxa"/>
              <w:right w:w="150" w:type="dxa"/>
            </w:tcMar>
          </w:tcPr>
          <w:p w14:paraId="79E49161">
            <w:r>
              <w:rPr>
                <w:rFonts w:ascii="Arial" w:hAnsi="Arial"/>
                <w:b w:val="0"/>
                <w:i w:val="0"/>
                <w:color w:val="202124"/>
                <w:sz w:val="19"/>
              </w:rPr>
              <w:t>NFR-03</w:t>
            </w:r>
          </w:p>
        </w:tc>
        <w:tc>
          <w:tcPr>
            <w:tcW w:w="2592" w:type="dxa"/>
            <w:tcMar>
              <w:top w:w="100" w:type="dxa"/>
              <w:left w:w="150" w:type="dxa"/>
              <w:bottom w:w="100" w:type="dxa"/>
              <w:right w:w="150" w:type="dxa"/>
            </w:tcMar>
          </w:tcPr>
          <w:p w14:paraId="18748F85">
            <w:r>
              <w:rPr>
                <w:rFonts w:ascii="Arial" w:hAnsi="Arial"/>
                <w:b w:val="0"/>
                <w:i w:val="0"/>
                <w:color w:val="202124"/>
                <w:sz w:val="19"/>
              </w:rPr>
              <w:t>System Scalability</w:t>
            </w:r>
          </w:p>
        </w:tc>
        <w:tc>
          <w:tcPr>
            <w:tcW w:w="5328" w:type="dxa"/>
            <w:tcMar>
              <w:top w:w="100" w:type="dxa"/>
              <w:left w:w="150" w:type="dxa"/>
              <w:bottom w:w="100" w:type="dxa"/>
              <w:right w:w="150" w:type="dxa"/>
            </w:tcMar>
          </w:tcPr>
          <w:p w14:paraId="48A75C94">
            <w:r>
              <w:rPr>
                <w:rFonts w:ascii="Arial" w:hAnsi="Arial"/>
                <w:b w:val="0"/>
                <w:i w:val="0"/>
                <w:color w:val="202124"/>
                <w:sz w:val="19"/>
              </w:rPr>
              <w:t>Microservices must auto-scale horizontally to support 25,000 concurrent sessions utilizing native container scaling limits.</w:t>
            </w:r>
          </w:p>
        </w:tc>
      </w:tr>
      <w:tr w14:paraId="5AE858D9">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1440" w:type="dxa"/>
            <w:shd w:val="clear" w:color="auto" w:fill="F1F3F4"/>
            <w:tcMar>
              <w:top w:w="100" w:type="dxa"/>
              <w:left w:w="150" w:type="dxa"/>
              <w:bottom w:w="100" w:type="dxa"/>
              <w:right w:w="150" w:type="dxa"/>
            </w:tcMar>
          </w:tcPr>
          <w:p w14:paraId="4EB88DB1">
            <w:r>
              <w:rPr>
                <w:rFonts w:ascii="Arial" w:hAnsi="Arial"/>
                <w:b w:val="0"/>
                <w:i w:val="0"/>
                <w:color w:val="202124"/>
                <w:sz w:val="19"/>
              </w:rPr>
              <w:t>NFR-04</w:t>
            </w:r>
          </w:p>
        </w:tc>
        <w:tc>
          <w:tcPr>
            <w:tcW w:w="2592" w:type="dxa"/>
            <w:shd w:val="clear" w:color="auto" w:fill="F1F3F4"/>
            <w:tcMar>
              <w:top w:w="100" w:type="dxa"/>
              <w:left w:w="150" w:type="dxa"/>
              <w:bottom w:w="100" w:type="dxa"/>
              <w:right w:w="150" w:type="dxa"/>
            </w:tcMar>
          </w:tcPr>
          <w:p w14:paraId="3BB625C5">
            <w:r>
              <w:rPr>
                <w:rFonts w:ascii="Arial" w:hAnsi="Arial"/>
                <w:b w:val="0"/>
                <w:i w:val="0"/>
                <w:color w:val="202124"/>
                <w:sz w:val="19"/>
              </w:rPr>
              <w:t>Accessibility Limits</w:t>
            </w:r>
          </w:p>
        </w:tc>
        <w:tc>
          <w:tcPr>
            <w:tcW w:w="5328" w:type="dxa"/>
            <w:shd w:val="clear" w:color="auto" w:fill="F1F3F4"/>
            <w:tcMar>
              <w:top w:w="100" w:type="dxa"/>
              <w:left w:w="150" w:type="dxa"/>
              <w:bottom w:w="100" w:type="dxa"/>
              <w:right w:w="150" w:type="dxa"/>
            </w:tcMar>
          </w:tcPr>
          <w:p w14:paraId="25F4D551">
            <w:r>
              <w:rPr>
                <w:rFonts w:ascii="Arial" w:hAnsi="Arial"/>
                <w:b w:val="0"/>
                <w:i w:val="0"/>
                <w:color w:val="202124"/>
                <w:sz w:val="19"/>
              </w:rPr>
              <w:t>User interface components must satisfy absolute WCAG 2.1 Level AA benchmarks including full screen-reader compliance.</w:t>
            </w:r>
          </w:p>
        </w:tc>
      </w:tr>
    </w:tbl>
    <w:p w14:paraId="7F10F224">
      <w:r>
        <w:br w:type="page"/>
      </w:r>
    </w:p>
    <w:p w14:paraId="1BC24CD0">
      <w:pPr>
        <w:keepNext/>
        <w:spacing w:before="320" w:after="120" w:line="276" w:lineRule="auto"/>
      </w:pPr>
      <w:r>
        <w:rPr>
          <w:rFonts w:ascii="Arial" w:hAnsi="Arial"/>
          <w:b/>
          <w:i w:val="0"/>
          <w:color w:val="1A73E2"/>
          <w:sz w:val="36"/>
        </w:rPr>
        <w:t>3. Comprehensive Technology Stack Specification</w:t>
      </w:r>
    </w:p>
    <w:p w14:paraId="5A6D4E80">
      <w:pPr>
        <w:spacing w:before="0" w:after="120" w:line="276" w:lineRule="auto"/>
      </w:pPr>
      <w:r>
        <w:rPr>
          <w:rFonts w:ascii="Arial" w:hAnsi="Arial"/>
          <w:b w:val="0"/>
          <w:i w:val="0"/>
          <w:color w:val="202124"/>
          <w:sz w:val="21"/>
        </w:rPr>
        <w:t>The EduGenie software architecture uses a scalable, modern microservices runtime tightly linked with Google Cloud Platform and Vertex AI APIs. This ensures high throughput for massive data ingestion while guaranteeing secure enterprise-grade separation.</w:t>
      </w:r>
    </w:p>
    <w:p w14:paraId="5A9CF098">
      <w:pPr>
        <w:keepNext/>
        <w:spacing w:before="240" w:after="80" w:line="276" w:lineRule="auto"/>
      </w:pPr>
      <w:r>
        <w:rPr>
          <w:rFonts w:ascii="Arial" w:hAnsi="Arial"/>
          <w:b/>
          <w:i w:val="0"/>
          <w:color w:val="5F6368"/>
          <w:sz w:val="28"/>
        </w:rPr>
        <w:t>3.1 Component Architecture Table</w:t>
      </w:r>
    </w:p>
    <w:tbl>
      <w:tblPr>
        <w:tblStyle w:val="12"/>
        <w:tblW w:w="0" w:type="auto"/>
        <w:jc w:val="center"/>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Layout w:type="autofit"/>
        <w:tblCellMar>
          <w:top w:w="0" w:type="dxa"/>
          <w:left w:w="108" w:type="dxa"/>
          <w:bottom w:w="0" w:type="dxa"/>
          <w:right w:w="108" w:type="dxa"/>
        </w:tblCellMar>
      </w:tblPr>
      <w:tblGrid>
        <w:gridCol w:w="2160"/>
        <w:gridCol w:w="2880"/>
        <w:gridCol w:w="4320"/>
      </w:tblGrid>
      <w:tr w14:paraId="0F0DFABB">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shd w:val="clear" w:color="auto" w:fill="1A73E2"/>
            <w:tcMar>
              <w:top w:w="140" w:type="dxa"/>
              <w:left w:w="150" w:type="dxa"/>
              <w:bottom w:w="140" w:type="dxa"/>
              <w:right w:w="150" w:type="dxa"/>
            </w:tcMar>
          </w:tcPr>
          <w:p w14:paraId="4F5BBF30">
            <w:r>
              <w:rPr>
                <w:rFonts w:ascii="Arial" w:hAnsi="Arial"/>
                <w:b/>
                <w:i w:val="0"/>
                <w:color w:val="FFFFFF"/>
                <w:sz w:val="20"/>
              </w:rPr>
              <w:t>Layer</w:t>
            </w:r>
          </w:p>
        </w:tc>
        <w:tc>
          <w:tcPr>
            <w:tcW w:w="2880" w:type="dxa"/>
            <w:shd w:val="clear" w:color="auto" w:fill="1A73E2"/>
            <w:tcMar>
              <w:top w:w="140" w:type="dxa"/>
              <w:left w:w="150" w:type="dxa"/>
              <w:bottom w:w="140" w:type="dxa"/>
              <w:right w:w="150" w:type="dxa"/>
            </w:tcMar>
          </w:tcPr>
          <w:p w14:paraId="74FD9BCF">
            <w:r>
              <w:rPr>
                <w:rFonts w:ascii="Arial" w:hAnsi="Arial"/>
                <w:b/>
                <w:i w:val="0"/>
                <w:color w:val="FFFFFF"/>
                <w:sz w:val="20"/>
              </w:rPr>
              <w:t>Selected Technology Component</w:t>
            </w:r>
          </w:p>
        </w:tc>
        <w:tc>
          <w:tcPr>
            <w:tcW w:w="4320" w:type="dxa"/>
            <w:shd w:val="clear" w:color="auto" w:fill="1A73E2"/>
            <w:tcMar>
              <w:top w:w="140" w:type="dxa"/>
              <w:left w:w="150" w:type="dxa"/>
              <w:bottom w:w="140" w:type="dxa"/>
              <w:right w:w="150" w:type="dxa"/>
            </w:tcMar>
          </w:tcPr>
          <w:p w14:paraId="1CF2A861">
            <w:r>
              <w:rPr>
                <w:rFonts w:ascii="Arial" w:hAnsi="Arial"/>
                <w:b/>
                <w:i w:val="0"/>
                <w:color w:val="FFFFFF"/>
                <w:sz w:val="20"/>
              </w:rPr>
              <w:t>Architectural Rationale &amp; Selection Criteria</w:t>
            </w:r>
          </w:p>
        </w:tc>
      </w:tr>
      <w:tr w14:paraId="0ADEE41E">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14:paraId="6DA8520D">
            <w:r>
              <w:rPr>
                <w:rFonts w:ascii="Arial" w:hAnsi="Arial"/>
                <w:b w:val="0"/>
                <w:i w:val="0"/>
                <w:color w:val="202124"/>
                <w:sz w:val="19"/>
              </w:rPr>
              <w:t>Core AI Layer</w:t>
            </w:r>
          </w:p>
        </w:tc>
        <w:tc>
          <w:tcPr>
            <w:tcW w:w="2880" w:type="dxa"/>
            <w:tcMar>
              <w:top w:w="100" w:type="dxa"/>
              <w:left w:w="150" w:type="dxa"/>
              <w:bottom w:w="100" w:type="dxa"/>
              <w:right w:w="150" w:type="dxa"/>
            </w:tcMar>
          </w:tcPr>
          <w:p w14:paraId="76701562">
            <w:r>
              <w:rPr>
                <w:rFonts w:ascii="Arial" w:hAnsi="Arial"/>
                <w:b w:val="0"/>
                <w:i w:val="0"/>
                <w:color w:val="202124"/>
                <w:sz w:val="19"/>
              </w:rPr>
              <w:t>Google Vertex AI</w:t>
            </w:r>
            <w:r>
              <w:rPr>
                <w:rFonts w:ascii="Arial" w:hAnsi="Arial"/>
                <w:b w:val="0"/>
                <w:i w:val="0"/>
                <w:color w:val="202124"/>
                <w:sz w:val="19"/>
              </w:rPr>
              <w:br w:type="textWrapping"/>
            </w:r>
            <w:r>
              <w:rPr>
                <w:rFonts w:ascii="Arial" w:hAnsi="Arial"/>
                <w:b w:val="0"/>
                <w:i w:val="0"/>
                <w:color w:val="202124"/>
                <w:sz w:val="19"/>
              </w:rPr>
              <w:t>(Gemini 1.5 Pro / Flash)</w:t>
            </w:r>
          </w:p>
        </w:tc>
        <w:tc>
          <w:tcPr>
            <w:tcW w:w="4320" w:type="dxa"/>
            <w:tcMar>
              <w:top w:w="100" w:type="dxa"/>
              <w:left w:w="150" w:type="dxa"/>
              <w:bottom w:w="100" w:type="dxa"/>
              <w:right w:w="150" w:type="dxa"/>
            </w:tcMar>
          </w:tcPr>
          <w:p w14:paraId="01AB9595">
            <w:r>
              <w:rPr>
                <w:rFonts w:ascii="Arial" w:hAnsi="Arial"/>
                <w:b w:val="0"/>
                <w:i w:val="0"/>
                <w:color w:val="202124"/>
                <w:sz w:val="19"/>
              </w:rPr>
              <w:t>Enables deep native multimodal token handling, huge context scaling windows (up to 2M tokens), structured JSON engine mapping, and rapid inference pipelines.</w:t>
            </w:r>
          </w:p>
        </w:tc>
      </w:tr>
      <w:tr w14:paraId="353C5CFA">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shd w:val="clear" w:color="auto" w:fill="F1F3F4"/>
            <w:tcMar>
              <w:top w:w="100" w:type="dxa"/>
              <w:left w:w="150" w:type="dxa"/>
              <w:bottom w:w="100" w:type="dxa"/>
              <w:right w:w="150" w:type="dxa"/>
            </w:tcMar>
          </w:tcPr>
          <w:p w14:paraId="31F338A2">
            <w:r>
              <w:rPr>
                <w:rFonts w:ascii="Arial" w:hAnsi="Arial"/>
                <w:b w:val="0"/>
                <w:i w:val="0"/>
                <w:color w:val="202124"/>
                <w:sz w:val="19"/>
              </w:rPr>
              <w:t>Vector Storage &amp; RAG</w:t>
            </w:r>
          </w:p>
        </w:tc>
        <w:tc>
          <w:tcPr>
            <w:tcW w:w="2880" w:type="dxa"/>
            <w:shd w:val="clear" w:color="auto" w:fill="F1F3F4"/>
            <w:tcMar>
              <w:top w:w="100" w:type="dxa"/>
              <w:left w:w="150" w:type="dxa"/>
              <w:bottom w:w="100" w:type="dxa"/>
              <w:right w:w="150" w:type="dxa"/>
            </w:tcMar>
          </w:tcPr>
          <w:p w14:paraId="4812B9E9">
            <w:r>
              <w:rPr>
                <w:rFonts w:ascii="Arial" w:hAnsi="Arial"/>
                <w:b w:val="0"/>
                <w:i w:val="0"/>
                <w:color w:val="202124"/>
                <w:sz w:val="19"/>
              </w:rPr>
              <w:t xml:space="preserve">Pinecone Enterprise / </w:t>
            </w:r>
            <w:r>
              <w:rPr>
                <w:rFonts w:ascii="Arial" w:hAnsi="Arial"/>
                <w:b w:val="0"/>
                <w:i w:val="0"/>
                <w:color w:val="202124"/>
                <w:sz w:val="19"/>
              </w:rPr>
              <w:br w:type="textWrapping"/>
            </w:r>
            <w:r>
              <w:rPr>
                <w:rFonts w:ascii="Arial" w:hAnsi="Arial"/>
                <w:b w:val="0"/>
                <w:i w:val="0"/>
                <w:color w:val="202124"/>
                <w:sz w:val="19"/>
              </w:rPr>
              <w:t>Google Vertex Vector Search</w:t>
            </w:r>
          </w:p>
        </w:tc>
        <w:tc>
          <w:tcPr>
            <w:tcW w:w="4320" w:type="dxa"/>
            <w:shd w:val="clear" w:color="auto" w:fill="F1F3F4"/>
            <w:tcMar>
              <w:top w:w="100" w:type="dxa"/>
              <w:left w:w="150" w:type="dxa"/>
              <w:bottom w:w="100" w:type="dxa"/>
              <w:right w:w="150" w:type="dxa"/>
            </w:tcMar>
          </w:tcPr>
          <w:p w14:paraId="76F41F61">
            <w:r>
              <w:rPr>
                <w:rFonts w:ascii="Arial" w:hAnsi="Arial"/>
                <w:b w:val="0"/>
                <w:i w:val="0"/>
                <w:color w:val="202124"/>
                <w:sz w:val="19"/>
              </w:rPr>
              <w:t>Handles low-latency semantic lookup execution and persistent metadata matching. Supports high-dimensional scaling for textbook text arrays.</w:t>
            </w:r>
          </w:p>
        </w:tc>
      </w:tr>
      <w:tr w14:paraId="53278052">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14:paraId="550F5E3B">
            <w:r>
              <w:rPr>
                <w:rFonts w:ascii="Arial" w:hAnsi="Arial"/>
                <w:b w:val="0"/>
                <w:i w:val="0"/>
                <w:color w:val="202124"/>
                <w:sz w:val="19"/>
              </w:rPr>
              <w:t>Application Frontend</w:t>
            </w:r>
          </w:p>
        </w:tc>
        <w:tc>
          <w:tcPr>
            <w:tcW w:w="2880" w:type="dxa"/>
            <w:tcMar>
              <w:top w:w="100" w:type="dxa"/>
              <w:left w:w="150" w:type="dxa"/>
              <w:bottom w:w="100" w:type="dxa"/>
              <w:right w:w="150" w:type="dxa"/>
            </w:tcMar>
          </w:tcPr>
          <w:p w14:paraId="7A2F60F3">
            <w:r>
              <w:rPr>
                <w:rFonts w:ascii="Arial" w:hAnsi="Arial"/>
                <w:b w:val="0"/>
                <w:i w:val="0"/>
                <w:color w:val="202124"/>
                <w:sz w:val="19"/>
              </w:rPr>
              <w:t xml:space="preserve">Next.js 14 / TypeScript / </w:t>
            </w:r>
            <w:r>
              <w:rPr>
                <w:rFonts w:ascii="Arial" w:hAnsi="Arial"/>
                <w:b w:val="0"/>
                <w:i w:val="0"/>
                <w:color w:val="202124"/>
                <w:sz w:val="19"/>
              </w:rPr>
              <w:br w:type="textWrapping"/>
            </w:r>
            <w:r>
              <w:rPr>
                <w:rFonts w:ascii="Arial" w:hAnsi="Arial"/>
                <w:b w:val="0"/>
                <w:i w:val="0"/>
                <w:color w:val="202124"/>
                <w:sz w:val="19"/>
              </w:rPr>
              <w:t>Tailwind CSS</w:t>
            </w:r>
          </w:p>
        </w:tc>
        <w:tc>
          <w:tcPr>
            <w:tcW w:w="4320" w:type="dxa"/>
            <w:tcMar>
              <w:top w:w="100" w:type="dxa"/>
              <w:left w:w="150" w:type="dxa"/>
              <w:bottom w:w="100" w:type="dxa"/>
              <w:right w:w="150" w:type="dxa"/>
            </w:tcMar>
          </w:tcPr>
          <w:p w14:paraId="5CB99CD6">
            <w:r>
              <w:rPr>
                <w:rFonts w:ascii="Arial" w:hAnsi="Arial"/>
                <w:b w:val="0"/>
                <w:i w:val="0"/>
                <w:color w:val="202124"/>
                <w:sz w:val="19"/>
              </w:rPr>
              <w:t>Provides fast server-side rendering (SSR), reliable type safety across critical interfaces, state management, and clear interfaces.</w:t>
            </w:r>
          </w:p>
        </w:tc>
      </w:tr>
      <w:tr w14:paraId="39CACBBB">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shd w:val="clear" w:color="auto" w:fill="F1F3F4"/>
            <w:tcMar>
              <w:top w:w="100" w:type="dxa"/>
              <w:left w:w="150" w:type="dxa"/>
              <w:bottom w:w="100" w:type="dxa"/>
              <w:right w:w="150" w:type="dxa"/>
            </w:tcMar>
          </w:tcPr>
          <w:p w14:paraId="30848215">
            <w:r>
              <w:rPr>
                <w:rFonts w:ascii="Arial" w:hAnsi="Arial"/>
                <w:b w:val="0"/>
                <w:i w:val="0"/>
                <w:color w:val="202124"/>
                <w:sz w:val="19"/>
              </w:rPr>
              <w:t>Backend API Layer</w:t>
            </w:r>
          </w:p>
        </w:tc>
        <w:tc>
          <w:tcPr>
            <w:tcW w:w="2880" w:type="dxa"/>
            <w:shd w:val="clear" w:color="auto" w:fill="F1F3F4"/>
            <w:tcMar>
              <w:top w:w="100" w:type="dxa"/>
              <w:left w:w="150" w:type="dxa"/>
              <w:bottom w:w="100" w:type="dxa"/>
              <w:right w:w="150" w:type="dxa"/>
            </w:tcMar>
          </w:tcPr>
          <w:p w14:paraId="5D36A8F8">
            <w:r>
              <w:rPr>
                <w:rFonts w:ascii="Arial" w:hAnsi="Arial"/>
                <w:b w:val="0"/>
                <w:i w:val="0"/>
                <w:color w:val="202124"/>
                <w:sz w:val="19"/>
              </w:rPr>
              <w:t xml:space="preserve">FastAPI (Python 3.11) / </w:t>
            </w:r>
            <w:r>
              <w:rPr>
                <w:rFonts w:ascii="Arial" w:hAnsi="Arial"/>
                <w:b w:val="0"/>
                <w:i w:val="0"/>
                <w:color w:val="202124"/>
                <w:sz w:val="19"/>
              </w:rPr>
              <w:br w:type="textWrapping"/>
            </w:r>
            <w:r>
              <w:rPr>
                <w:rFonts w:ascii="Arial" w:hAnsi="Arial"/>
                <w:b w:val="0"/>
                <w:i w:val="0"/>
                <w:color w:val="202124"/>
                <w:sz w:val="19"/>
              </w:rPr>
              <w:t>LangChain Core</w:t>
            </w:r>
          </w:p>
        </w:tc>
        <w:tc>
          <w:tcPr>
            <w:tcW w:w="4320" w:type="dxa"/>
            <w:shd w:val="clear" w:color="auto" w:fill="F1F3F4"/>
            <w:tcMar>
              <w:top w:w="100" w:type="dxa"/>
              <w:left w:w="150" w:type="dxa"/>
              <w:bottom w:w="100" w:type="dxa"/>
              <w:right w:w="150" w:type="dxa"/>
            </w:tcMar>
          </w:tcPr>
          <w:p w14:paraId="5F74FD1C">
            <w:r>
              <w:rPr>
                <w:rFonts w:ascii="Arial" w:hAnsi="Arial"/>
                <w:b w:val="0"/>
                <w:i w:val="0"/>
                <w:color w:val="202124"/>
                <w:sz w:val="19"/>
              </w:rPr>
              <w:t>Asynchronous handling of WebSockets streams for generative LLM outputs, clean integration frameworks, and high structural execution speed.</w:t>
            </w:r>
          </w:p>
        </w:tc>
      </w:tr>
      <w:tr w14:paraId="114FAD18">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14:paraId="6C7EA808">
            <w:r>
              <w:rPr>
                <w:rFonts w:ascii="Arial" w:hAnsi="Arial"/>
                <w:b w:val="0"/>
                <w:i w:val="0"/>
                <w:color w:val="202124"/>
                <w:sz w:val="19"/>
              </w:rPr>
              <w:t>Caching &amp; Broker Layer</w:t>
            </w:r>
          </w:p>
        </w:tc>
        <w:tc>
          <w:tcPr>
            <w:tcW w:w="2880" w:type="dxa"/>
            <w:tcMar>
              <w:top w:w="100" w:type="dxa"/>
              <w:left w:w="150" w:type="dxa"/>
              <w:bottom w:w="100" w:type="dxa"/>
              <w:right w:w="150" w:type="dxa"/>
            </w:tcMar>
          </w:tcPr>
          <w:p w14:paraId="53FD01D2">
            <w:r>
              <w:rPr>
                <w:rFonts w:ascii="Arial" w:hAnsi="Arial"/>
                <w:b w:val="0"/>
                <w:i w:val="0"/>
                <w:color w:val="202124"/>
                <w:sz w:val="19"/>
              </w:rPr>
              <w:t>Redis Enterprise Cloud</w:t>
            </w:r>
          </w:p>
        </w:tc>
        <w:tc>
          <w:tcPr>
            <w:tcW w:w="4320" w:type="dxa"/>
            <w:tcMar>
              <w:top w:w="100" w:type="dxa"/>
              <w:left w:w="150" w:type="dxa"/>
              <w:bottom w:w="100" w:type="dxa"/>
              <w:right w:w="150" w:type="dxa"/>
            </w:tcMar>
          </w:tcPr>
          <w:p w14:paraId="2C9F49FE">
            <w:r>
              <w:rPr>
                <w:rFonts w:ascii="Arial" w:hAnsi="Arial"/>
                <w:b w:val="0"/>
                <w:i w:val="0"/>
                <w:color w:val="202124"/>
                <w:sz w:val="19"/>
              </w:rPr>
              <w:t>Handles conversational state caching, session tokens, rate-limiting layers, and acts as an atomic cache to minimize redundant LLM queries.</w:t>
            </w:r>
          </w:p>
        </w:tc>
      </w:tr>
      <w:tr w14:paraId="60EC6950">
        <w:tblPrEx>
          <w:tblBorders>
            <w:top w:val="single" w:color="DACDC0" w:sz="4" w:space="0"/>
            <w:left w:val="none" w:color="auto" w:sz="0" w:space="0"/>
            <w:bottom w:val="single" w:color="DACDC0" w:sz="6" w:space="0"/>
            <w:right w:val="none" w:color="auto" w:sz="0" w:space="0"/>
            <w:insideH w:val="single" w:color="DACDC0" w:sz="4" w:space="0"/>
            <w:insideV w:val="none" w:color="auto" w:sz="0" w:space="0"/>
          </w:tblBorders>
          <w:tblCellMar>
            <w:top w:w="0" w:type="dxa"/>
            <w:left w:w="108" w:type="dxa"/>
            <w:bottom w:w="0" w:type="dxa"/>
            <w:right w:w="108" w:type="dxa"/>
          </w:tblCellMar>
        </w:tblPrEx>
        <w:trPr>
          <w:jc w:val="center"/>
        </w:trPr>
        <w:tc>
          <w:tcPr>
            <w:tcW w:w="2160" w:type="dxa"/>
            <w:shd w:val="clear" w:color="auto" w:fill="F1F3F4"/>
            <w:tcMar>
              <w:top w:w="100" w:type="dxa"/>
              <w:left w:w="150" w:type="dxa"/>
              <w:bottom w:w="100" w:type="dxa"/>
              <w:right w:w="150" w:type="dxa"/>
            </w:tcMar>
          </w:tcPr>
          <w:p w14:paraId="7454670D">
            <w:r>
              <w:rPr>
                <w:rFonts w:ascii="Arial" w:hAnsi="Arial"/>
                <w:b w:val="0"/>
                <w:i w:val="0"/>
                <w:color w:val="202124"/>
                <w:sz w:val="19"/>
              </w:rPr>
              <w:t>Cloud Infrastructure</w:t>
            </w:r>
          </w:p>
        </w:tc>
        <w:tc>
          <w:tcPr>
            <w:tcW w:w="2880" w:type="dxa"/>
            <w:shd w:val="clear" w:color="auto" w:fill="F1F3F4"/>
            <w:tcMar>
              <w:top w:w="100" w:type="dxa"/>
              <w:left w:w="150" w:type="dxa"/>
              <w:bottom w:w="100" w:type="dxa"/>
              <w:right w:w="150" w:type="dxa"/>
            </w:tcMar>
          </w:tcPr>
          <w:p w14:paraId="2791BB0B">
            <w:r>
              <w:rPr>
                <w:rFonts w:ascii="Arial" w:hAnsi="Arial"/>
                <w:b w:val="0"/>
                <w:i w:val="0"/>
                <w:color w:val="202124"/>
                <w:sz w:val="19"/>
              </w:rPr>
              <w:t>Google Cloud Platform (GCP) /</w:t>
            </w:r>
            <w:r>
              <w:rPr>
                <w:rFonts w:ascii="Arial" w:hAnsi="Arial"/>
                <w:b w:val="0"/>
                <w:i w:val="0"/>
                <w:color w:val="202124"/>
                <w:sz w:val="19"/>
              </w:rPr>
              <w:br w:type="textWrapping"/>
            </w:r>
            <w:r>
              <w:rPr>
                <w:rFonts w:ascii="Arial" w:hAnsi="Arial"/>
                <w:b w:val="0"/>
                <w:i w:val="0"/>
                <w:color w:val="202124"/>
                <w:sz w:val="19"/>
              </w:rPr>
              <w:t>Google Kubernetes Engine (GKE)</w:t>
            </w:r>
          </w:p>
        </w:tc>
        <w:tc>
          <w:tcPr>
            <w:tcW w:w="4320" w:type="dxa"/>
            <w:shd w:val="clear" w:color="auto" w:fill="F1F3F4"/>
            <w:tcMar>
              <w:top w:w="100" w:type="dxa"/>
              <w:left w:w="150" w:type="dxa"/>
              <w:bottom w:w="100" w:type="dxa"/>
              <w:right w:w="150" w:type="dxa"/>
            </w:tcMar>
          </w:tcPr>
          <w:p w14:paraId="76D782A8">
            <w:r>
              <w:rPr>
                <w:rFonts w:ascii="Arial" w:hAnsi="Arial"/>
                <w:b w:val="0"/>
                <w:i w:val="0"/>
                <w:color w:val="202124"/>
                <w:sz w:val="19"/>
              </w:rPr>
              <w:t>Provides full Docker orchestration via autoscaling nodes, secure secret management, integrated logging via Cloud Logging, and global IAM boundaries.</w:t>
            </w:r>
          </w:p>
        </w:tc>
      </w:tr>
    </w:tbl>
    <w:p w14:paraId="19D234C5">
      <w:pPr>
        <w:spacing w:before="0" w:after="120" w:line="276" w:lineRule="auto"/>
      </w:pPr>
    </w:p>
    <w:p w14:paraId="3437ED00">
      <w:pPr>
        <w:keepNext/>
        <w:spacing w:before="240" w:after="80" w:line="276" w:lineRule="auto"/>
      </w:pPr>
      <w:r>
        <w:rPr>
          <w:rFonts w:ascii="Arial" w:hAnsi="Arial"/>
          <w:b/>
          <w:i w:val="0"/>
          <w:color w:val="5F6368"/>
          <w:sz w:val="28"/>
        </w:rPr>
        <w:t>3.2 Infrastructure and DevOps Lifecycle</w:t>
      </w:r>
    </w:p>
    <w:p w14:paraId="22DD6B48">
      <w:pPr>
        <w:spacing w:before="0" w:after="120" w:line="276" w:lineRule="auto"/>
      </w:pPr>
      <w:r>
        <w:rPr>
          <w:rFonts w:ascii="Arial" w:hAnsi="Arial"/>
          <w:b w:val="0"/>
          <w:i w:val="0"/>
          <w:color w:val="202124"/>
          <w:sz w:val="21"/>
        </w:rPr>
        <w:t>To maintain modern enterprise compliance across all deployed zones, the infrastructure stack utilizes specific operational systems:</w:t>
      </w:r>
    </w:p>
    <w:p w14:paraId="6D252B41">
      <w:pPr>
        <w:pStyle w:val="23"/>
        <w:spacing w:before="0" w:after="120" w:line="276" w:lineRule="auto"/>
      </w:pPr>
      <w:r>
        <w:rPr>
          <w:rFonts w:ascii="Arial" w:hAnsi="Arial"/>
          <w:b w:val="0"/>
          <w:i w:val="0"/>
          <w:color w:val="202124"/>
          <w:sz w:val="21"/>
        </w:rPr>
        <w:t>Infrastructure as Code (IaC): Terraform scripts manage all IAM profiles, Vertex endpoints, and GKE nodes to ensure environment parity.</w:t>
      </w:r>
    </w:p>
    <w:p w14:paraId="46A1D33F">
      <w:pPr>
        <w:pStyle w:val="23"/>
        <w:spacing w:before="0" w:after="120" w:line="276" w:lineRule="auto"/>
      </w:pPr>
      <w:r>
        <w:rPr>
          <w:rFonts w:ascii="Arial" w:hAnsi="Arial"/>
          <w:b w:val="0"/>
          <w:i w:val="0"/>
          <w:color w:val="202124"/>
          <w:sz w:val="21"/>
        </w:rPr>
        <w:t>Continuous Integration / Continuous Deployment (CI/CD): GitHub Actions build automated Docker files and test them before deploying to production.</w:t>
      </w:r>
    </w:p>
    <w:p w14:paraId="2D433CEC">
      <w:pPr>
        <w:pStyle w:val="23"/>
        <w:spacing w:before="0" w:after="120" w:line="276" w:lineRule="auto"/>
      </w:pPr>
      <w:r>
        <w:rPr>
          <w:rFonts w:ascii="Arial" w:hAnsi="Arial"/>
          <w:b w:val="0"/>
          <w:i w:val="0"/>
          <w:color w:val="202124"/>
          <w:sz w:val="21"/>
        </w:rPr>
        <w:t>Telemetry and Observability: Google Cloud Monitoring maps latency, token consumption patterns, error states, and endpoint availability real-time.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866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627</Words>
  <Characters>4346</Characters>
  <Lines>0</Lines>
  <Paragraphs>0</Paragraphs>
  <TotalTime>0</TotalTime>
  <ScaleCrop>false</ScaleCrop>
  <LinksUpToDate>false</LinksUpToDate>
  <CharactersWithSpaces>4895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12737DCA4D324DCB9A62B9F3864187C9_13</vt:lpwstr>
  </property>
</Properties>
</file>