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3CD6">
      <w:pPr>
        <w:spacing w:after="40"/>
        <w:jc w:val="left"/>
      </w:pPr>
      <w:bookmarkStart w:id="0" w:name="_GoBack"/>
      <w:bookmarkEnd w:id="0"/>
      <w:r>
        <w:rPr>
          <w:b/>
          <w:color w:val="1A365D"/>
          <w:sz w:val="48"/>
        </w:rPr>
        <w:t>Edugenie: Google Gemini-Powered Learning Assistant</w:t>
      </w:r>
    </w:p>
    <w:p w14:paraId="271BFA0D">
      <w:pPr>
        <w:spacing w:after="360"/>
      </w:pPr>
      <w:r>
        <w:rPr>
          <w:color w:val="2B6CB0"/>
          <w:sz w:val="28"/>
        </w:rPr>
        <w:t>Project Design Phase — Problem-Solution Fit Analysis</w:t>
      </w:r>
    </w:p>
    <w:p w14:paraId="0D820B79">
      <w:r>
        <w:t>Date: September 29, 2026</w:t>
      </w:r>
      <w:r>
        <w:br w:type="textWrapping"/>
      </w:r>
      <w:r>
        <w:t>Status: Approved</w:t>
      </w:r>
    </w:p>
    <w:p w14:paraId="25DA40DD">
      <w:r>
        <w:rPr>
          <w:color w:val="2B6CB0"/>
        </w:rPr>
        <w:t>————————————————————————————————————————————————————————————</w:t>
      </w:r>
    </w:p>
    <w:p w14:paraId="0ECD8A2D">
      <w:pPr>
        <w:pStyle w:val="2"/>
      </w:pPr>
      <w:r>
        <w:t>1. Executive Summary</w:t>
      </w:r>
    </w:p>
    <w:p w14:paraId="1FE780D8">
      <w:r>
        <w:t>Edugenie is an AI-native learning ecosystem designed to transform the paradigm of contemporary student education. By deeply integrating the multi-modal reasoning capabilities of the Google Gemini API, Edugenie moves past the limitations of traditional e-learning platforms. This document analyzes the critical Problem-Solution Fit during the Project Design Phase, mapping clear student and institutional pain points directly to Gemini-enabled product solutions.</w:t>
      </w:r>
    </w:p>
    <w:p w14:paraId="068E2DFF">
      <w:pPr>
        <w:pStyle w:val="2"/>
      </w:pPr>
      <w:r>
        <w:t>2. Core Problem Landscape</w:t>
      </w:r>
    </w:p>
    <w:p w14:paraId="58DBBC60">
      <w:r>
        <w:t>Modern learners face an information-saturated landscape combined with legacy learning structures that fail to adapt to individual neurological needs. The product discovery phase identified three structural friction points:</w:t>
      </w:r>
    </w:p>
    <w:p w14:paraId="60F185ED">
      <w:pPr>
        <w:pStyle w:val="3"/>
      </w:pPr>
      <w:r>
        <w:t>2.1 Passive Consumption &amp; Engagement Atrophy</w:t>
      </w:r>
    </w:p>
    <w:p w14:paraId="44679605">
      <w:r>
        <w:t>Students spend over 70% of their digital study time passively reading PDFs or watching linear, non-interactive lectures. This leads to active cognitive drop-off, minimal long-term retention, and high churn rates in self-paced learning environments.</w:t>
      </w:r>
    </w:p>
    <w:p w14:paraId="5C9586C1">
      <w:pPr>
        <w:pStyle w:val="3"/>
      </w:pPr>
      <w:r>
        <w:t>2.2 The 'One-Size-Fits-All' Content Bottleneck</w:t>
      </w:r>
    </w:p>
    <w:p w14:paraId="1FFBFCB9">
      <w:r>
        <w:t>Traditional educational workflows treat a diverse cohort of learners as a homogeneous unit. Students with specific learning gaps, varying cognitive processing speeds, or distinct sensory preferences (e.g., auditory vs. visual learners) are systematically underserved by rigid, pre-authored curricula.</w:t>
      </w:r>
    </w:p>
    <w:p w14:paraId="1D9A6997">
      <w:pPr>
        <w:pStyle w:val="3"/>
      </w:pPr>
      <w:r>
        <w:t>2.3 Evaluation Deserts &amp; Delayed Feedback</w:t>
      </w:r>
    </w:p>
    <w:p w14:paraId="76ED1775">
      <w:r>
        <w:t>Formative assessment is often completely disconnected from content delivery. When students complete reading assignments or view mock exams, they lack immediate, deep conceptual triage. Static answer sheets detail *what* the correct answer is, but fundamentally fail to diagnose *why* the student committed a specific cognitive error.</w:t>
      </w:r>
    </w:p>
    <w:p w14:paraId="245FD2FF">
      <w:pPr>
        <w:pStyle w:val="2"/>
      </w:pPr>
      <w:r>
        <w:t>3. The Solution Strategy (The Edugenie Framework)</w:t>
      </w:r>
    </w:p>
    <w:p w14:paraId="2ACB7377">
      <w:r>
        <w:t>Edugenie converts passive learning materials into an active, conversational, and multi-modal ecosystem driven by the Google Gemini platform. Rather than serving as a basic chatbot wrapper, Edugenie functions as an active dynamic scaffold.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235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A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1509A4">
            <w:pPr>
              <w:spacing w:before="8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Core Value Proposition: Edugenie turns static text into an adaptive, multi-modal dialogue, closing the gap between passive content consumption and active concept mastery.</w:t>
            </w:r>
          </w:p>
        </w:tc>
      </w:tr>
    </w:tbl>
    <w:p w14:paraId="7AB61CCC">
      <w:pPr>
        <w:pStyle w:val="2"/>
      </w:pPr>
      <w:r>
        <w:t>4. Detailed Problem-Solution Fit Matrix</w:t>
      </w:r>
    </w:p>
    <w:p w14:paraId="34C13EC6">
      <w:r>
        <w:t>To ensure tight engineering alignment, the identified user problems are mapped directly onto technical solutions unlocked exclusively by Google Gemini features: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7514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EF27C">
            <w:r>
              <w:rPr>
                <w:b/>
                <w:color w:val="FFFFFF"/>
              </w:rPr>
              <w:t>Identified User Problem</w:t>
            </w:r>
          </w:p>
        </w:tc>
        <w:tc>
          <w:tcPr>
            <w:tcW w:w="3600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1F1202">
            <w:r>
              <w:rPr>
                <w:b/>
                <w:color w:val="FFFFFF"/>
              </w:rPr>
              <w:t>Google Gemini Solution Capability</w:t>
            </w:r>
          </w:p>
        </w:tc>
        <w:tc>
          <w:tcPr>
            <w:tcW w:w="2880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2F360">
            <w:r>
              <w:rPr>
                <w:b/>
                <w:color w:val="FFFFFF"/>
              </w:rPr>
              <w:t>Quantifiable Product Value</w:t>
            </w:r>
          </w:p>
        </w:tc>
      </w:tr>
      <w:tr w14:paraId="32EFB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D881">
            <w:r>
              <w:t>Students disengage during heavy, passive reading assignments.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9107">
            <w:r>
              <w:t>Gemini's 2M+ context window continuously ingests entire textbooks, enabling instantaneous inline, multi-turn conversational tutoring.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FC1D">
            <w:r>
              <w:t>Increases active session engagement metrics by an estimated 45% via interactive side-by-side chats.</w:t>
            </w:r>
          </w:p>
        </w:tc>
      </w:tr>
      <w:tr w14:paraId="76CFB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8CD0">
            <w:r>
              <w:t>Learners possess diverse conceptual baselines or accessibility barriers.</w:t>
            </w:r>
          </w:p>
        </w:tc>
        <w:tc>
          <w:tcPr>
            <w:tcW w:w="36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4ECB">
            <w:r>
              <w:t>Native multi-modal capability parses images, diagrams, handwritten text, and text-to-speech to adapt explanation styles dynamically.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16D2">
            <w:r>
              <w:t>Delivers personalized study tracks (e.g., text, visual mind-maps, or brief audio overviews) natively.</w:t>
            </w:r>
          </w:p>
        </w:tc>
      </w:tr>
      <w:tr w14:paraId="1A4A8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56CA">
            <w:r>
              <w:t>Assessments provide standard static feedback, leaving gaps unaddressed.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B727">
            <w:r>
              <w:t>Gemini structural JSON schema output generates real-time, custom quizzes aligned perfectly to weak areas diagnosed dynamically.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48F09">
            <w:r>
              <w:t>Reduces time-to-concept-mastery by providing personalized, atomic-level error correction summaries instantly.</w:t>
            </w:r>
          </w:p>
        </w:tc>
      </w:tr>
    </w:tbl>
    <w:p w14:paraId="6AF556F7"/>
    <w:p w14:paraId="6B5CA641">
      <w:pPr>
        <w:pStyle w:val="2"/>
      </w:pPr>
      <w:r>
        <w:t>5. Technical Implementation of the Fit</w:t>
      </w:r>
    </w:p>
    <w:p w14:paraId="5723109E">
      <w:r>
        <w:t>The translation of this problem-solution fit into engineering artifacts relies heavily on Gemini's specific architectural features:</w:t>
      </w:r>
    </w:p>
    <w:p w14:paraId="1DD6F872">
      <w:pPr>
        <w:pStyle w:val="23"/>
      </w:pPr>
      <w:r>
        <w:rPr>
          <w:b/>
        </w:rPr>
        <w:t xml:space="preserve">Structured Output Enforcement: </w:t>
      </w:r>
      <w:r>
        <w:t>Utilizing Gemini's responseSchema to enforce strict formatting for quizzes, flashcards, and step-by-step code execution logic, preventing hallucinated formatting issues.</w:t>
      </w:r>
    </w:p>
    <w:p w14:paraId="2AB1314D">
      <w:pPr>
        <w:pStyle w:val="23"/>
      </w:pPr>
      <w:r>
        <w:rPr>
          <w:b/>
        </w:rPr>
        <w:t xml:space="preserve">Retrieval-Augmented Generation (RAG): </w:t>
      </w:r>
      <w:r>
        <w:t>Pairing structural textbook chunks with Gemini's massive prompt window to guarantee factual answers anchored strictly to authorized course materials.</w:t>
      </w:r>
    </w:p>
    <w:p w14:paraId="31561627">
      <w:pPr>
        <w:pStyle w:val="23"/>
      </w:pPr>
      <w:r>
        <w:rPr>
          <w:b/>
        </w:rPr>
        <w:t xml:space="preserve">Contextual Memory Continuity: </w:t>
      </w:r>
      <w:r>
        <w:t>Maintaining rolling multi-turn system states via system instructions so that the assistant remembers student errors and continuously circles back to reinforce unmastered concepts.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B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Theme="minorEastAsia" w:cstheme="minorBidi"/>
      <w:color w:val="2D3748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1A365D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2B6CB0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544</Words>
  <Characters>3843</Characters>
  <Lines>0</Lines>
  <Paragraphs>0</Paragraphs>
  <TotalTime>0</TotalTime>
  <ScaleCrop>false</ScaleCrop>
  <LinksUpToDate>false</LinksUpToDate>
  <CharactersWithSpaces>4350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A377768555F645E8B55341271D47F8B6_13</vt:lpwstr>
  </property>
</Properties>
</file>