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0E36C3">
      <w:pPr>
        <w:spacing w:before="0" w:after="80"/>
        <w:jc w:val="left"/>
      </w:pPr>
      <w:bookmarkStart w:id="0" w:name="_GoBack"/>
      <w:bookmarkEnd w:id="0"/>
      <w:r>
        <w:rPr>
          <w:rFonts w:ascii="Arial" w:hAnsi="Arial"/>
          <w:b/>
          <w:color w:val="1A365D"/>
          <w:sz w:val="48"/>
        </w:rPr>
        <w:t>EDUGENIE SYSTEM DESIGN: PROPOSED SOLUTION</w:t>
      </w:r>
    </w:p>
    <w:p w14:paraId="78B2B3A0">
      <w:pPr>
        <w:spacing w:after="480"/>
      </w:pPr>
      <w:r>
        <w:rPr>
          <w:i/>
          <w:color w:val="2B6CB0"/>
          <w:sz w:val="26"/>
        </w:rPr>
        <w:t>Google Gemini-Powered Multi-Modal Learning Architecture &amp; System Implementation</w:t>
      </w:r>
    </w:p>
    <w:p w14:paraId="7DB3B817">
      <w:pPr>
        <w:spacing w:before="360" w:after="120"/>
      </w:pPr>
      <w:r>
        <w:rPr>
          <w:b/>
          <w:color w:val="1A365D"/>
          <w:sz w:val="32"/>
        </w:rPr>
        <w:t>1. Executive Summary</w:t>
      </w:r>
    </w:p>
    <w:p w14:paraId="291F29C1">
      <w:pPr>
        <w:spacing w:after="240" w:line="276" w:lineRule="auto"/>
      </w:pPr>
      <w:r>
        <w:t>Edugenie is an enterprise-grade, multi-modal cognitive scaffolding platform engineered to solve the historical inefficiencies of passive learning systems. By natively embedding the Google Gemini API, the platform transforms unstructured reading materials, live video feeds, and complex document repositories into highly interactive, real-time contextual learning environments. This technical specification document details the core solution architecture, processing pipelines, multi-modal interface strategies, and architectural safeguards planned for the implementation phase.</w:t>
      </w:r>
    </w:p>
    <w:p w14:paraId="25DEF1C7">
      <w:pPr>
        <w:spacing w:before="360" w:after="120"/>
      </w:pPr>
      <w:r>
        <w:rPr>
          <w:b/>
          <w:color w:val="1A365D"/>
          <w:sz w:val="32"/>
        </w:rPr>
        <w:t>2. System Architecture &amp; Integration Model</w:t>
      </w:r>
    </w:p>
    <w:p w14:paraId="519BBF71">
      <w:pPr>
        <w:spacing w:after="160"/>
      </w:pPr>
      <w:r>
        <w:t>The Edugenie technical ecosystem separates responsibilities across a decoupled, asynchronous multi-tier stack designed to handle long-running generative tasks, heavy ingestion vectors, and concurrent low-latency streaming interactions:</w:t>
      </w:r>
    </w:p>
    <w:p w14:paraId="154F0549">
      <w:pPr>
        <w:pStyle w:val="23"/>
        <w:spacing w:after="80"/>
      </w:pPr>
      <w:r>
        <w:rPr>
          <w:b/>
          <w:color w:val="2B6CB0"/>
        </w:rPr>
        <w:t>Presentation Tier:</w:t>
      </w:r>
      <w:r>
        <w:t xml:space="preserve"> Built on a fully responsive Streamlit application wrapper integrated with custom WebRTC layers to facilitate bi-directional voice and video interaction loops.</w:t>
      </w:r>
    </w:p>
    <w:p w14:paraId="73EB5732">
      <w:pPr>
        <w:pStyle w:val="23"/>
        <w:spacing w:after="80"/>
      </w:pPr>
      <w:r>
        <w:rPr>
          <w:b/>
          <w:color w:val="2B6CB0"/>
        </w:rPr>
        <w:t>Orchestration &amp; Application Engine:</w:t>
      </w:r>
      <w:r>
        <w:t xml:space="preserve"> Driven by a Python FastAPI engine hosting decoupled asynchronous workers (Celery/Redis background task queues) managing high-volume file extractions and long-lived RAG ingest sessions.</w:t>
      </w:r>
    </w:p>
    <w:p w14:paraId="0DDB3CC7">
      <w:pPr>
        <w:pStyle w:val="23"/>
        <w:spacing w:after="80"/>
      </w:pPr>
      <w:r>
        <w:rPr>
          <w:b/>
          <w:color w:val="2B6CB0"/>
        </w:rPr>
        <w:t>AI &amp; Cognitive Engine:</w:t>
      </w:r>
      <w:r>
        <w:t xml:space="preserve"> Powered exclusively by the Google Gemini API tier. The application utilizes Gemini 1.5 Flash for low-latency operational cycles (chat loops, basic parsing) and Gemini 1.5 Pro for multi-modal analysis, context-heavy code reasoning, and schema-strict structured output calculations.</w:t>
      </w:r>
    </w:p>
    <w:p w14:paraId="339D361F">
      <w:pPr>
        <w:pStyle w:val="23"/>
        <w:spacing w:after="80"/>
      </w:pPr>
      <w:r>
        <w:rPr>
          <w:b/>
          <w:color w:val="2B6CB0"/>
        </w:rPr>
        <w:t>Data &amp; Vector Storage Layer:</w:t>
      </w:r>
      <w:r>
        <w:t xml:space="preserve"> Persistent object stores manage analytical metadata, file buffers, and vector embeddings using Firebase Cloud Firestore alongside an integrated vector indexing tier (e.g., Pinecone or ChromaDB) for high-dimensional semantic indexing.</w:t>
      </w:r>
    </w:p>
    <w:p w14:paraId="52D074CF">
      <w:pPr>
        <w:spacing w:before="360" w:after="120"/>
      </w:pPr>
      <w:r>
        <w:rPr>
          <w:b/>
          <w:color w:val="1A365D"/>
          <w:sz w:val="32"/>
        </w:rPr>
        <w:t>3. Proposed Technical Solutions Matrix</w:t>
      </w:r>
    </w:p>
    <w:tbl>
      <w:tblPr>
        <w:tblStyle w:val="12"/>
        <w:tblW w:w="0" w:type="auto"/>
        <w:jc w:val="center"/>
        <w:tblLayout w:type="autofit"/>
        <w:tblCellMar>
          <w:top w:w="0" w:type="dxa"/>
          <w:left w:w="108" w:type="dxa"/>
          <w:bottom w:w="0" w:type="dxa"/>
          <w:right w:w="108" w:type="dxa"/>
        </w:tblCellMar>
      </w:tblPr>
      <w:tblGrid>
        <w:gridCol w:w="2592"/>
        <w:gridCol w:w="3888"/>
        <w:gridCol w:w="2880"/>
      </w:tblGrid>
      <w:tr w14:paraId="7800B463">
        <w:trPr>
          <w:jc w:val="center"/>
        </w:trPr>
        <w:tc>
          <w:tcPr>
            <w:tcW w:w="2592" w:type="dxa"/>
            <w:shd w:val="clear" w:color="auto" w:fill="1A365D"/>
            <w:tcMar>
              <w:top w:w="120" w:type="dxa"/>
              <w:left w:w="150" w:type="dxa"/>
              <w:bottom w:w="120" w:type="dxa"/>
              <w:right w:w="150" w:type="dxa"/>
            </w:tcMar>
          </w:tcPr>
          <w:p w14:paraId="4B449EB5">
            <w:pPr>
              <w:jc w:val="center"/>
            </w:pPr>
            <w:r>
              <w:rPr>
                <w:b/>
                <w:color w:val="FFFFFF"/>
                <w:sz w:val="20"/>
              </w:rPr>
              <w:t>Module &amp; Objective</w:t>
            </w:r>
          </w:p>
        </w:tc>
        <w:tc>
          <w:tcPr>
            <w:tcW w:w="3888" w:type="dxa"/>
            <w:shd w:val="clear" w:color="auto" w:fill="1A365D"/>
            <w:tcMar>
              <w:top w:w="120" w:type="dxa"/>
              <w:left w:w="150" w:type="dxa"/>
              <w:bottom w:w="120" w:type="dxa"/>
              <w:right w:w="150" w:type="dxa"/>
            </w:tcMar>
          </w:tcPr>
          <w:p w14:paraId="4F29EF95">
            <w:pPr>
              <w:jc w:val="center"/>
            </w:pPr>
            <w:r>
              <w:rPr>
                <w:b/>
                <w:color w:val="FFFFFF"/>
                <w:sz w:val="20"/>
              </w:rPr>
              <w:t>Technical Strategy &amp; Gemini Integration</w:t>
            </w:r>
          </w:p>
        </w:tc>
        <w:tc>
          <w:tcPr>
            <w:tcW w:w="2880" w:type="dxa"/>
            <w:shd w:val="clear" w:color="auto" w:fill="1A365D"/>
            <w:tcMar>
              <w:top w:w="120" w:type="dxa"/>
              <w:left w:w="150" w:type="dxa"/>
              <w:bottom w:w="120" w:type="dxa"/>
              <w:right w:w="150" w:type="dxa"/>
            </w:tcMar>
          </w:tcPr>
          <w:p w14:paraId="1F582A8C">
            <w:pPr>
              <w:jc w:val="center"/>
            </w:pPr>
            <w:r>
              <w:rPr>
                <w:b/>
                <w:color w:val="FFFFFF"/>
                <w:sz w:val="20"/>
              </w:rPr>
              <w:t>Business &amp; Operational Impact</w:t>
            </w:r>
          </w:p>
        </w:tc>
      </w:tr>
      <w:tr w14:paraId="55DEBEBA">
        <w:tblPrEx>
          <w:tblCellMar>
            <w:top w:w="0" w:type="dxa"/>
            <w:left w:w="108" w:type="dxa"/>
            <w:bottom w:w="0" w:type="dxa"/>
            <w:right w:w="108" w:type="dxa"/>
          </w:tblCellMar>
        </w:tblPrEx>
        <w:trPr>
          <w:jc w:val="center"/>
        </w:trPr>
        <w:tc>
          <w:tcPr>
            <w:tcW w:w="2592" w:type="dxa"/>
            <w:tcMar>
              <w:top w:w="100" w:type="dxa"/>
              <w:left w:w="150" w:type="dxa"/>
              <w:bottom w:w="100" w:type="dxa"/>
              <w:right w:w="150" w:type="dxa"/>
            </w:tcMar>
          </w:tcPr>
          <w:p w14:paraId="06EF0D05">
            <w:pPr>
              <w:jc w:val="left"/>
            </w:pPr>
            <w:r>
              <w:rPr>
                <w:sz w:val="19"/>
              </w:rPr>
              <w:t>Contextual Multi-Modal Ingestion</w:t>
            </w:r>
          </w:p>
        </w:tc>
        <w:tc>
          <w:tcPr>
            <w:tcW w:w="3888" w:type="dxa"/>
            <w:tcMar>
              <w:top w:w="100" w:type="dxa"/>
              <w:left w:w="150" w:type="dxa"/>
              <w:bottom w:w="100" w:type="dxa"/>
              <w:right w:w="150" w:type="dxa"/>
            </w:tcMar>
          </w:tcPr>
          <w:p w14:paraId="28EB810D">
            <w:pPr>
              <w:jc w:val="left"/>
            </w:pPr>
            <w:r>
              <w:rPr>
                <w:sz w:val="19"/>
              </w:rPr>
              <w:t>Leverages Gemini's 2-million native token context window to perform zero-loss analysis on massive textbooks, full lecture streams (up to 1 hour of video), or complete codebases directly without premature chunking heuristics.</w:t>
            </w:r>
          </w:p>
        </w:tc>
        <w:tc>
          <w:tcPr>
            <w:tcW w:w="2880" w:type="dxa"/>
            <w:tcMar>
              <w:top w:w="100" w:type="dxa"/>
              <w:left w:w="150" w:type="dxa"/>
              <w:bottom w:w="100" w:type="dxa"/>
              <w:right w:w="150" w:type="dxa"/>
            </w:tcMar>
          </w:tcPr>
          <w:p w14:paraId="5693C937">
            <w:pPr>
              <w:jc w:val="left"/>
            </w:pPr>
            <w:r>
              <w:rPr>
                <w:sz w:val="19"/>
              </w:rPr>
              <w:t>Enables end-to-end material context extraction, eliminating user-side document splitting and offering uncompromised comprehension depth.</w:t>
            </w:r>
          </w:p>
        </w:tc>
      </w:tr>
      <w:tr w14:paraId="3D044A87">
        <w:tblPrEx>
          <w:tblCellMar>
            <w:top w:w="0" w:type="dxa"/>
            <w:left w:w="108" w:type="dxa"/>
            <w:bottom w:w="0" w:type="dxa"/>
            <w:right w:w="108" w:type="dxa"/>
          </w:tblCellMar>
        </w:tblPrEx>
        <w:trPr>
          <w:jc w:val="center"/>
        </w:trPr>
        <w:tc>
          <w:tcPr>
            <w:tcW w:w="2592" w:type="dxa"/>
            <w:shd w:val="clear" w:color="auto" w:fill="F7FAFC"/>
            <w:tcMar>
              <w:top w:w="100" w:type="dxa"/>
              <w:left w:w="150" w:type="dxa"/>
              <w:bottom w:w="100" w:type="dxa"/>
              <w:right w:w="150" w:type="dxa"/>
            </w:tcMar>
          </w:tcPr>
          <w:p w14:paraId="241B1745">
            <w:pPr>
              <w:jc w:val="left"/>
            </w:pPr>
            <w:r>
              <w:rPr>
                <w:sz w:val="19"/>
              </w:rPr>
              <w:t>Dynamic Evaluative Scaffolding</w:t>
            </w:r>
          </w:p>
        </w:tc>
        <w:tc>
          <w:tcPr>
            <w:tcW w:w="3888" w:type="dxa"/>
            <w:shd w:val="clear" w:color="auto" w:fill="F7FAFC"/>
            <w:tcMar>
              <w:top w:w="100" w:type="dxa"/>
              <w:left w:w="150" w:type="dxa"/>
              <w:bottom w:w="100" w:type="dxa"/>
              <w:right w:w="150" w:type="dxa"/>
            </w:tcMar>
          </w:tcPr>
          <w:p w14:paraId="7CE6FB4B">
            <w:pPr>
              <w:jc w:val="left"/>
            </w:pPr>
            <w:r>
              <w:rPr>
                <w:sz w:val="19"/>
              </w:rPr>
              <w:t>Implements rigid `responseSchema` configurations using Pydantic schemas within the Gemini API call to enforce strict JSON structure mapping back to Bloom's Revised Taxonomy levels.</w:t>
            </w:r>
          </w:p>
        </w:tc>
        <w:tc>
          <w:tcPr>
            <w:tcW w:w="2880" w:type="dxa"/>
            <w:shd w:val="clear" w:color="auto" w:fill="F7FAFC"/>
            <w:tcMar>
              <w:top w:w="100" w:type="dxa"/>
              <w:left w:w="150" w:type="dxa"/>
              <w:bottom w:w="100" w:type="dxa"/>
              <w:right w:w="150" w:type="dxa"/>
            </w:tcMar>
          </w:tcPr>
          <w:p w14:paraId="6B07A1D3">
            <w:pPr>
              <w:jc w:val="left"/>
            </w:pPr>
            <w:r>
              <w:rPr>
                <w:sz w:val="19"/>
              </w:rPr>
              <w:t>Guarantees crash-proof interface rendering by transforming unstructured content into highly verified, deterministic evaluation questions.</w:t>
            </w:r>
          </w:p>
        </w:tc>
      </w:tr>
      <w:tr w14:paraId="409F2263">
        <w:tblPrEx>
          <w:tblCellMar>
            <w:top w:w="0" w:type="dxa"/>
            <w:left w:w="108" w:type="dxa"/>
            <w:bottom w:w="0" w:type="dxa"/>
            <w:right w:w="108" w:type="dxa"/>
          </w:tblCellMar>
        </w:tblPrEx>
        <w:trPr>
          <w:jc w:val="center"/>
        </w:trPr>
        <w:tc>
          <w:tcPr>
            <w:tcW w:w="2592" w:type="dxa"/>
            <w:tcMar>
              <w:top w:w="100" w:type="dxa"/>
              <w:left w:w="150" w:type="dxa"/>
              <w:bottom w:w="100" w:type="dxa"/>
              <w:right w:w="150" w:type="dxa"/>
            </w:tcMar>
          </w:tcPr>
          <w:p w14:paraId="28CA8A5A">
            <w:pPr>
              <w:jc w:val="left"/>
            </w:pPr>
            <w:r>
              <w:rPr>
                <w:sz w:val="19"/>
              </w:rPr>
              <w:t>Asynchronous Audio &amp; Visual Overviews</w:t>
            </w:r>
          </w:p>
        </w:tc>
        <w:tc>
          <w:tcPr>
            <w:tcW w:w="3888" w:type="dxa"/>
            <w:tcMar>
              <w:top w:w="100" w:type="dxa"/>
              <w:left w:w="150" w:type="dxa"/>
              <w:bottom w:w="100" w:type="dxa"/>
              <w:right w:w="150" w:type="dxa"/>
            </w:tcMar>
          </w:tcPr>
          <w:p w14:paraId="33F6180F">
            <w:pPr>
              <w:jc w:val="left"/>
            </w:pPr>
            <w:r>
              <w:rPr>
                <w:sz w:val="19"/>
              </w:rPr>
              <w:t>Utilizes native audio file processing pipelines coupled with Gemini text-to-speech features or structured audio-script synthesis to compose dynamic verbal summaries on-demand.</w:t>
            </w:r>
          </w:p>
        </w:tc>
        <w:tc>
          <w:tcPr>
            <w:tcW w:w="2880" w:type="dxa"/>
            <w:tcMar>
              <w:top w:w="100" w:type="dxa"/>
              <w:left w:w="150" w:type="dxa"/>
              <w:bottom w:w="100" w:type="dxa"/>
              <w:right w:w="150" w:type="dxa"/>
            </w:tcMar>
          </w:tcPr>
          <w:p w14:paraId="30A51F45">
            <w:pPr>
              <w:jc w:val="left"/>
            </w:pPr>
            <w:r>
              <w:rPr>
                <w:sz w:val="19"/>
              </w:rPr>
              <w:t>Increases accessibility compliance and provides personalized micro-learning paths for multi-modal audio learners on the move.</w:t>
            </w:r>
          </w:p>
        </w:tc>
      </w:tr>
    </w:tbl>
    <w:p w14:paraId="213B084A">
      <w:pPr>
        <w:spacing w:after="240"/>
      </w:pPr>
    </w:p>
    <w:p w14:paraId="342F2083">
      <w:pPr>
        <w:spacing w:before="360" w:after="120"/>
      </w:pPr>
      <w:r>
        <w:rPr>
          <w:b/>
          <w:color w:val="1A365D"/>
          <w:sz w:val="32"/>
        </w:rPr>
        <w:t>4. Data Pipeline &amp; RAG Workflow Execution</w:t>
      </w:r>
    </w:p>
    <w:p w14:paraId="3AF0A057">
      <w:pPr>
        <w:spacing w:after="120"/>
      </w:pPr>
      <w:r>
        <w:t>The platform standardizes processing via a structural retrieval, extraction, and synthesis lifecycle:</w:t>
      </w:r>
    </w:p>
    <w:p w14:paraId="2316AB5E">
      <w:pPr>
        <w:pStyle w:val="23"/>
        <w:spacing w:after="80"/>
      </w:pPr>
      <w:r>
        <w:rPr>
          <w:b/>
        </w:rPr>
        <w:t xml:space="preserve">Step 1: Document Upload &amp; Ingestion Pipeline – </w:t>
      </w:r>
      <w:r>
        <w:t>The client pushes assets (PDFs, MP4 recordings, PPTX lecture sheets) into Firebase Cloud Storage. A background trigger calls FastAPI to initialize safe file processing buffers.</w:t>
      </w:r>
    </w:p>
    <w:p w14:paraId="19813E05">
      <w:pPr>
        <w:pStyle w:val="23"/>
        <w:spacing w:after="80"/>
      </w:pPr>
      <w:r>
        <w:rPr>
          <w:b/>
        </w:rPr>
        <w:t xml:space="preserve">Step 2: Semantic Chunking &amp; Vector Tokenization – </w:t>
      </w:r>
      <w:r>
        <w:t>Documents exceeding the real-time context limit are passed through advanced semantic layouts that respect section boundaries, embedded images, and formulas before being tokenized via Gemini embeddings endpoints.</w:t>
      </w:r>
    </w:p>
    <w:p w14:paraId="43996927">
      <w:pPr>
        <w:pStyle w:val="23"/>
        <w:spacing w:after="80"/>
      </w:pPr>
      <w:r>
        <w:rPr>
          <w:b/>
        </w:rPr>
        <w:t xml:space="preserve">Step 3: Intent Analysis &amp; Prompt Execution – </w:t>
      </w:r>
      <w:r>
        <w:t>When a student requests a feature (e.g., 'Generate custom exam'), an internal prompt broker queries the vector base, appends the target system context, applies strict structural instructions, and fires a request to Gemini 1.5 Pro.</w:t>
      </w:r>
    </w:p>
    <w:p w14:paraId="54B3FA6C">
      <w:pPr>
        <w:pStyle w:val="23"/>
        <w:spacing w:after="80"/>
      </w:pPr>
      <w:r>
        <w:rPr>
          <w:b/>
        </w:rPr>
        <w:t xml:space="preserve">Step 4: Schema Enforcement &amp; Final Rendering – </w:t>
      </w:r>
      <w:r>
        <w:t>The raw JSON response from Gemini is mapped directly into application-layer models, validating semantic safety, before instantly updating the active user session UI.</w:t>
      </w:r>
    </w:p>
    <w:p w14:paraId="4612F7F2">
      <w:pPr>
        <w:spacing w:before="360" w:after="120"/>
      </w:pPr>
      <w:r>
        <w:rPr>
          <w:b/>
          <w:color w:val="1A365D"/>
          <w:sz w:val="32"/>
        </w:rPr>
        <w:t>5. Privacy, Security &amp; Structural Guardrails</w:t>
      </w:r>
    </w:p>
    <w:p w14:paraId="4A9052AE">
      <w:pPr>
        <w:spacing w:after="160"/>
      </w:pPr>
      <w:r>
        <w:t>To meet absolute educational integrity and safety regulations, Edugenie explicitly institutes three independent guardrail boundaries:</w:t>
      </w:r>
    </w:p>
    <w:p w14:paraId="2619F632">
      <w:pPr>
        <w:pStyle w:val="23"/>
        <w:spacing w:after="80"/>
      </w:pPr>
      <w:r>
        <w:rPr>
          <w:b/>
          <w:color w:val="2B6CB0"/>
        </w:rPr>
        <w:t>Zero-Data Leaks:</w:t>
      </w:r>
      <w:r>
        <w:t xml:space="preserve"> The implementation configures enterprise API integrations to ensure that none of the ingested tenant educational materials, prompts, or history sessions are ever processed for public foundational model retraining cycles.</w:t>
      </w:r>
    </w:p>
    <w:p w14:paraId="2B8C07F4">
      <w:pPr>
        <w:pStyle w:val="23"/>
        <w:spacing w:after="80"/>
      </w:pPr>
      <w:r>
        <w:rPr>
          <w:b/>
          <w:color w:val="2B6CB0"/>
        </w:rPr>
        <w:t>Prompt Injection Defenses &amp; Sandbox Isolations:</w:t>
      </w:r>
      <w:r>
        <w:t xml:space="preserve"> System-level prompts utilize absolute parameter encapsulation techniques. User-supplied inputs are evaluated via an isolated validator layer to strip structural system commands or context escape attempts before processing.</w:t>
      </w:r>
    </w:p>
    <w:p w14:paraId="4ACAF418">
      <w:pPr>
        <w:pStyle w:val="23"/>
        <w:spacing w:after="80"/>
      </w:pPr>
      <w:r>
        <w:rPr>
          <w:b/>
          <w:color w:val="2B6CB0"/>
        </w:rPr>
        <w:t>Contextual Jailbreaks &amp; Hallucination Prevention:</w:t>
      </w:r>
      <w:r>
        <w:t xml:space="preserve"> Grounding prompts require Gemini to continuously output cross-reference text markers linking solutions back to the source ingestion documents, keeping responses completely factual.</w:t>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7910BE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qFormat="1"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qFormat="1" w:unhideWhenUsed="0" w:uiPriority="68" w:semiHidden="0" w:name="Medium Grid 2 Accent 1"/>
    <w:lsdException w:unhideWhenUsed="0" w:uiPriority="69" w:semiHidden="0" w:name="Medium Grid 3 Accent 1"/>
    <w:lsdException w:qFormat="1" w:unhideWhenUsed="0" w:uiPriority="70" w:semiHidden="0" w:name="Dark List Accent 1"/>
    <w:lsdException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unhideWhenUsed="0" w:uiPriority="69" w:semiHidden="0" w:name="Medium Grid 3 Accent 4"/>
    <w:lsdException w:unhideWhenUsed="0" w:uiPriority="70" w:semiHidden="0" w:name="Dark List Accent 4"/>
    <w:lsdException w:qFormat="1" w:unhideWhenUsed="0" w:uiPriority="71" w:semiHidden="0" w:name="Colorful Shading Accent 4"/>
    <w:lsdException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qFormat="1"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qFormat="1" w:unhideWhenUsed="0" w:uiPriority="70" w:semiHidden="0" w:name="Dark List Accent 5"/>
    <w:lsdException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Arial" w:hAnsi="Arial" w:eastAsiaTheme="minorEastAsia" w:cstheme="minorBidi"/>
      <w:color w:val="2D3748"/>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660</Words>
  <Characters>4557</Characters>
  <Lines>0</Lines>
  <Paragraphs>0</Paragraphs>
  <TotalTime>0</TotalTime>
  <ScaleCrop>false</ScaleCrop>
  <LinksUpToDate>false</LinksUpToDate>
  <CharactersWithSpaces>5183</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ELCOT</cp:lastModifiedBy>
  <dcterms:modified xsi:type="dcterms:W3CDTF">2026-09-29T14:38:31Z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F219F852A1A14A8BBCB0B203A97E392C_13</vt:lpwstr>
  </property>
</Properties>
</file>