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CC0BE9">
      <w:pPr>
        <w:jc w:val="center"/>
      </w:pPr>
      <w:r>
        <w:rPr>
          <w:rFonts w:ascii="Calibri" w:hAnsi="Calibri"/>
          <w:b/>
          <w:color w:val="1B363D"/>
          <w:sz w:val="44"/>
        </w:rPr>
        <w:t>PROJECT DEVELOPMENT PHASE: TECHNICAL SPECIFICATION</w:t>
      </w:r>
      <w:r>
        <w:rPr>
          <w:rFonts w:ascii="Calibri" w:hAnsi="Calibri"/>
          <w:b/>
          <w:color w:val="1B363D"/>
          <w:sz w:val="44"/>
        </w:rPr>
        <w:br w:type="textWrapping"/>
      </w:r>
    </w:p>
    <w:p w14:paraId="2A03578F">
      <w:pPr>
        <w:jc w:val="center"/>
      </w:pPr>
      <w:r>
        <w:rPr>
          <w:rFonts w:ascii="Calibri" w:hAnsi="Calibri"/>
          <w:i/>
          <w:color w:val="1E293B"/>
          <w:sz w:val="24"/>
        </w:rPr>
        <w:t xml:space="preserve">EduGenie </w:t>
      </w:r>
      <w:r>
        <w:rPr>
          <w:rFonts w:hint="default" w:ascii="Calibri" w:hAnsi="Calibri"/>
          <w:i/>
          <w:color w:val="1E293B"/>
          <w:sz w:val="24"/>
          <w:lang w:val="en-IN"/>
        </w:rPr>
        <w:t>:</w:t>
      </w:r>
      <w:r>
        <w:rPr>
          <w:rFonts w:ascii="Calibri" w:hAnsi="Calibri"/>
          <w:i/>
          <w:color w:val="1E293B"/>
          <w:sz w:val="24"/>
        </w:rPr>
        <w:t>Google Gemini-Powered Learning Assistant</w:t>
      </w:r>
      <w:bookmarkStart w:id="0" w:name="_GoBack"/>
      <w:bookmarkEnd w:id="0"/>
    </w:p>
    <w:p w14:paraId="3901CC56"/>
    <w:p w14:paraId="7AC0D368">
      <w:pPr>
        <w:pStyle w:val="2"/>
        <w:pBdr>
          <w:bottom w:val="single" w:color="1B363D" w:sz="12" w:space="4"/>
        </w:pBdr>
      </w:pPr>
      <w:r>
        <w:rPr>
          <w:rFonts w:ascii="Calibri" w:hAnsi="Calibri"/>
          <w:b/>
          <w:color w:val="1B363D"/>
          <w:sz w:val="32"/>
        </w:rPr>
        <w:t>1. CODE-LAYOUT AND READABILITY</w:t>
      </w:r>
    </w:p>
    <w:p w14:paraId="720362FA"/>
    <w:p w14:paraId="317BF0CF">
      <w:pPr>
        <w:pStyle w:val="3"/>
      </w:pPr>
      <w:r>
        <w:rPr>
          <w:rFonts w:ascii="Calibri" w:hAnsi="Calibri"/>
          <w:b/>
          <w:color w:val="0D9488"/>
          <w:sz w:val="26"/>
        </w:rPr>
        <w:t>1.1 Project Directory Architecture</w:t>
      </w:r>
    </w:p>
    <w:p w14:paraId="455B00FB">
      <w:r>
        <w:rPr>
          <w:rFonts w:ascii="Calibri" w:hAnsi="Calibri"/>
          <w:color w:val="1E293B"/>
          <w:sz w:val="22"/>
        </w:rPr>
        <w:t>The EduGenie project follows a modular, clean separation of concerns layout engineered for scalability, fast debugging, and easy deployment on ASGI servers like Uvicorn. The following structure defines the architecture of the application code layout: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192"/>
      </w:tblGrid>
      <w:tr w14:paraId="320C6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4F6F9"/>
          </w:tcPr>
          <w:p w14:paraId="0C5FA935">
            <w:r>
              <w:rPr>
                <w:rFonts w:ascii="Consolas" w:hAnsi="Consolas"/>
                <w:b/>
                <w:color w:val="1B363D"/>
                <w:sz w:val="21"/>
              </w:rPr>
              <w:t>EduGenie/</w:t>
            </w:r>
          </w:p>
        </w:tc>
        <w:tc>
          <w:tcPr>
            <w:tcW w:w="4680" w:type="dxa"/>
            <w:shd w:val="clear" w:color="auto" w:fill="F4F6F9"/>
          </w:tcPr>
          <w:p w14:paraId="3576D1C1">
            <w:r>
              <w:rPr>
                <w:rFonts w:ascii="Calibri" w:hAnsi="Calibri"/>
                <w:color w:val="1E293B"/>
                <w:sz w:val="21"/>
              </w:rPr>
              <w:t>Root project folder configuration container</w:t>
            </w:r>
          </w:p>
        </w:tc>
      </w:tr>
      <w:tr w14:paraId="4F154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B155A2B">
            <w:r>
              <w:rPr>
                <w:rFonts w:ascii="Consolas" w:hAnsi="Consolas"/>
                <w:b w:val="0"/>
                <w:color w:val="1B363D"/>
                <w:sz w:val="21"/>
              </w:rPr>
              <w:t>├── .env</w:t>
            </w:r>
          </w:p>
        </w:tc>
        <w:tc>
          <w:tcPr>
            <w:tcW w:w="4680" w:type="dxa"/>
          </w:tcPr>
          <w:p w14:paraId="6BD8F32F">
            <w:r>
              <w:rPr>
                <w:rFonts w:ascii="Calibri" w:hAnsi="Calibri"/>
                <w:color w:val="1E293B"/>
                <w:sz w:val="21"/>
              </w:rPr>
              <w:t>Private environment configuration details &amp; Gemini API Keys</w:t>
            </w:r>
          </w:p>
        </w:tc>
      </w:tr>
      <w:tr w14:paraId="654647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4F6F9"/>
          </w:tcPr>
          <w:p w14:paraId="5801F208">
            <w:r>
              <w:rPr>
                <w:rFonts w:ascii="Consolas" w:hAnsi="Consolas"/>
                <w:b w:val="0"/>
                <w:color w:val="1B363D"/>
                <w:sz w:val="21"/>
              </w:rPr>
              <w:t>├── .gitignore</w:t>
            </w:r>
          </w:p>
        </w:tc>
        <w:tc>
          <w:tcPr>
            <w:tcW w:w="4680" w:type="dxa"/>
            <w:shd w:val="clear" w:color="auto" w:fill="F4F6F9"/>
          </w:tcPr>
          <w:p w14:paraId="3C708D05">
            <w:r>
              <w:rPr>
                <w:rFonts w:ascii="Calibri" w:hAnsi="Calibri"/>
                <w:color w:val="1E293B"/>
                <w:sz w:val="21"/>
              </w:rPr>
              <w:t>Version control exclusion maps (.env, __pycache__/)</w:t>
            </w:r>
          </w:p>
        </w:tc>
      </w:tr>
      <w:tr w14:paraId="4BF51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0DA80DF">
            <w:r>
              <w:rPr>
                <w:rFonts w:ascii="Consolas" w:hAnsi="Consolas"/>
                <w:b w:val="0"/>
                <w:color w:val="1B363D"/>
                <w:sz w:val="21"/>
              </w:rPr>
              <w:t>├── config.py</w:t>
            </w:r>
          </w:p>
        </w:tc>
        <w:tc>
          <w:tcPr>
            <w:tcW w:w="4680" w:type="dxa"/>
          </w:tcPr>
          <w:p w14:paraId="512EA6B4">
            <w:r>
              <w:rPr>
                <w:rFonts w:ascii="Calibri" w:hAnsi="Calibri"/>
                <w:color w:val="1E293B"/>
                <w:sz w:val="21"/>
              </w:rPr>
              <w:t>Centralized application configurations &amp; engine initialization settings</w:t>
            </w:r>
          </w:p>
        </w:tc>
      </w:tr>
      <w:tr w14:paraId="2BFDF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4F6F9"/>
          </w:tcPr>
          <w:p w14:paraId="68845E53">
            <w:r>
              <w:rPr>
                <w:rFonts w:ascii="Consolas" w:hAnsi="Consolas"/>
                <w:b w:val="0"/>
                <w:color w:val="1B363D"/>
                <w:sz w:val="21"/>
              </w:rPr>
              <w:t>├── main.py</w:t>
            </w:r>
          </w:p>
        </w:tc>
        <w:tc>
          <w:tcPr>
            <w:tcW w:w="4680" w:type="dxa"/>
            <w:shd w:val="clear" w:color="auto" w:fill="F4F6F9"/>
          </w:tcPr>
          <w:p w14:paraId="6BCA255C">
            <w:r>
              <w:rPr>
                <w:rFonts w:ascii="Calibri" w:hAnsi="Calibri"/>
                <w:color w:val="1E293B"/>
                <w:sz w:val="21"/>
              </w:rPr>
              <w:t>FastAPI core backend routing protocols &amp; network client pipelines</w:t>
            </w:r>
          </w:p>
        </w:tc>
      </w:tr>
      <w:tr w14:paraId="2FA3A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1DF2C564">
            <w:r>
              <w:rPr>
                <w:rFonts w:ascii="Consolas" w:hAnsi="Consolas"/>
                <w:b w:val="0"/>
                <w:color w:val="1B363D"/>
                <w:sz w:val="21"/>
              </w:rPr>
              <w:t>├── models.py</w:t>
            </w:r>
          </w:p>
        </w:tc>
        <w:tc>
          <w:tcPr>
            <w:tcW w:w="4680" w:type="dxa"/>
          </w:tcPr>
          <w:p w14:paraId="1C35CB67">
            <w:r>
              <w:rPr>
                <w:rFonts w:ascii="Calibri" w:hAnsi="Calibri"/>
                <w:color w:val="1E293B"/>
                <w:sz w:val="21"/>
              </w:rPr>
              <w:t>Pydantic validation paradigms for strict cross-origin structure types</w:t>
            </w:r>
          </w:p>
        </w:tc>
      </w:tr>
      <w:tr w14:paraId="37977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4F6F9"/>
          </w:tcPr>
          <w:p w14:paraId="50D2C9A4">
            <w:r>
              <w:rPr>
                <w:rFonts w:ascii="Consolas" w:hAnsi="Consolas"/>
                <w:b w:val="0"/>
                <w:color w:val="1B363D"/>
                <w:sz w:val="21"/>
              </w:rPr>
              <w:t>├── requirements.txt</w:t>
            </w:r>
          </w:p>
        </w:tc>
        <w:tc>
          <w:tcPr>
            <w:tcW w:w="4680" w:type="dxa"/>
            <w:shd w:val="clear" w:color="auto" w:fill="F4F6F9"/>
          </w:tcPr>
          <w:p w14:paraId="32918F35">
            <w:r>
              <w:rPr>
                <w:rFonts w:ascii="Calibri" w:hAnsi="Calibri"/>
                <w:color w:val="1E293B"/>
                <w:sz w:val="21"/>
              </w:rPr>
              <w:t>Explicit application tracking system dependency inventory package</w:t>
            </w:r>
          </w:p>
        </w:tc>
      </w:tr>
      <w:tr w14:paraId="4F9EC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</w:tcPr>
          <w:p w14:paraId="487BD843">
            <w:r>
              <w:rPr>
                <w:rFonts w:ascii="Consolas" w:hAnsi="Consolas"/>
                <w:b/>
                <w:color w:val="1B363D"/>
                <w:sz w:val="21"/>
              </w:rPr>
              <w:t>└── templates/index.html</w:t>
            </w:r>
          </w:p>
        </w:tc>
        <w:tc>
          <w:tcPr>
            <w:tcW w:w="4680" w:type="dxa"/>
          </w:tcPr>
          <w:p w14:paraId="72E24D11">
            <w:r>
              <w:rPr>
                <w:rFonts w:ascii="Calibri" w:hAnsi="Calibri"/>
                <w:color w:val="1E293B"/>
                <w:sz w:val="21"/>
              </w:rPr>
              <w:t>Unified Jinja2 responsive interactive student interface hub</w:t>
            </w:r>
          </w:p>
        </w:tc>
      </w:tr>
    </w:tbl>
    <w:p w14:paraId="74E9CDC9"/>
    <w:p w14:paraId="05C94974">
      <w:pPr>
        <w:pStyle w:val="3"/>
      </w:pPr>
      <w:r>
        <w:rPr>
          <w:rFonts w:ascii="Calibri" w:hAnsi="Calibri"/>
          <w:b/>
          <w:color w:val="0D9488"/>
          <w:sz w:val="26"/>
        </w:rPr>
        <w:t>1.2 Readability &amp; Implementation Compliance Standards</w:t>
      </w:r>
    </w:p>
    <w:p w14:paraId="1E0ED380">
      <w:pPr>
        <w:pStyle w:val="23"/>
        <w:spacing w:after="80"/>
      </w:pPr>
      <w:r>
        <w:rPr>
          <w:rFonts w:ascii="Calibri" w:hAnsi="Calibri"/>
          <w:b/>
          <w:color w:val="1B363D"/>
          <w:sz w:val="22"/>
        </w:rPr>
        <w:t xml:space="preserve">PEP 8 Compliance: </w:t>
      </w:r>
      <w:r>
        <w:rPr>
          <w:rFonts w:ascii="Calibri" w:hAnsi="Calibri"/>
          <w:color w:val="1E293B"/>
          <w:sz w:val="22"/>
        </w:rPr>
        <w:t>All backend source modules strictly abide by the official PEP 8 layout wrappers, applying a strict 79-character limitation threshold, standard snake_case operational variables, and explicit padding spacing definitions.</w:t>
      </w:r>
    </w:p>
    <w:p w14:paraId="6B797374">
      <w:pPr>
        <w:pStyle w:val="23"/>
        <w:spacing w:after="80"/>
      </w:pPr>
      <w:r>
        <w:rPr>
          <w:rFonts w:ascii="Calibri" w:hAnsi="Calibri"/>
          <w:b/>
          <w:color w:val="1B363D"/>
          <w:sz w:val="22"/>
        </w:rPr>
        <w:t xml:space="preserve">Asynchronous Architecture: </w:t>
      </w:r>
      <w:r>
        <w:rPr>
          <w:rFonts w:ascii="Calibri" w:hAnsi="Calibri"/>
          <w:color w:val="1E293B"/>
          <w:sz w:val="22"/>
        </w:rPr>
        <w:t>Core networking processing pipelines handle incoming connections via modern Python async and await execution calls, freeing thread pools from experiencing long blocking lags during Gemini API connections.</w:t>
      </w:r>
    </w:p>
    <w:p w14:paraId="70B14AF2">
      <w:pPr>
        <w:pStyle w:val="23"/>
        <w:spacing w:after="80"/>
      </w:pPr>
      <w:r>
        <w:rPr>
          <w:rFonts w:ascii="Calibri" w:hAnsi="Calibri"/>
          <w:b/>
          <w:color w:val="1B363D"/>
          <w:sz w:val="22"/>
        </w:rPr>
        <w:t xml:space="preserve">Strict Parameter Validation: </w:t>
      </w:r>
      <w:r>
        <w:rPr>
          <w:rFonts w:ascii="Calibri" w:hAnsi="Calibri"/>
          <w:color w:val="1E293B"/>
          <w:sz w:val="22"/>
        </w:rPr>
        <w:t>Data routing entities utilize robust Pydantic schemas, enforcing precise operational type hinting checks before data reaches internal models.</w:t>
      </w:r>
    </w:p>
    <w:p w14:paraId="42E9234E">
      <w:pPr>
        <w:pStyle w:val="23"/>
        <w:spacing w:after="80"/>
      </w:pPr>
      <w:r>
        <w:rPr>
          <w:rFonts w:ascii="Calibri" w:hAnsi="Calibri"/>
          <w:b/>
          <w:color w:val="1B363D"/>
          <w:sz w:val="22"/>
        </w:rPr>
        <w:t xml:space="preserve">Self-Documenting Log Layouts: </w:t>
      </w:r>
      <w:r>
        <w:rPr>
          <w:rFonts w:ascii="Calibri" w:hAnsi="Calibri"/>
          <w:color w:val="1E293B"/>
          <w:sz w:val="22"/>
        </w:rPr>
        <w:t>Inline operational comments combined with highly explicit, human-readable function docstrings ensure technical transparent continuity during multi-developer hand-offs.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F7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235</Words>
  <Characters>1713</Characters>
  <Lines>0</Lines>
  <Paragraphs>0</Paragraphs>
  <TotalTime>0</TotalTime>
  <ScaleCrop>false</ScaleCrop>
  <LinksUpToDate>false</LinksUpToDate>
  <CharactersWithSpaces>1921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ELCOT</cp:lastModifiedBy>
  <dcterms:modified xsi:type="dcterms:W3CDTF">2026-09-29T14:59:26Z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4F9C0A1887B3433EA9DD54FAFBD0EEF0_13</vt:lpwstr>
  </property>
</Properties>
</file>