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CB5E3">
      <w:pPr>
        <w:widowControl/>
        <w:autoSpaceDE w:val="0"/>
        <w:autoSpaceDN w:val="0"/>
        <w:spacing w:before="0" w:after="0" w:line="220" w:lineRule="exact"/>
        <w:ind w:left="0" w:right="0"/>
      </w:pPr>
      <w:bookmarkStart w:id="0" w:name="_GoBack"/>
      <w:bookmarkEnd w:id="0"/>
    </w:p>
    <w:p w14:paraId="57D0FA4D">
      <w:pPr>
        <w:widowControl/>
        <w:autoSpaceDE w:val="0"/>
        <w:autoSpaceDN w:val="0"/>
        <w:spacing w:before="0" w:after="0" w:line="220" w:lineRule="exact"/>
        <w:ind w:left="0" w:right="0"/>
      </w:pPr>
    </w:p>
    <w:p w14:paraId="39E988DA">
      <w:pPr>
        <w:widowControl/>
        <w:autoSpaceDE w:val="0"/>
        <w:autoSpaceDN w:val="0"/>
        <w:spacing w:before="0" w:after="0" w:line="220" w:lineRule="exact"/>
        <w:ind w:left="0" w:right="0"/>
      </w:pPr>
    </w:p>
    <w:p w14:paraId="4F697BB4">
      <w:pPr>
        <w:widowControl/>
        <w:autoSpaceDE w:val="0"/>
        <w:autoSpaceDN w:val="0"/>
        <w:spacing w:before="0" w:after="0" w:line="220" w:lineRule="exact"/>
        <w:ind w:left="0" w:right="0"/>
      </w:pPr>
    </w:p>
    <w:p w14:paraId="3B3F476E">
      <w:pPr>
        <w:widowControl/>
        <w:autoSpaceDE w:val="0"/>
        <w:autoSpaceDN w:val="0"/>
        <w:spacing w:before="0" w:after="0" w:line="220" w:lineRule="exact"/>
        <w:ind w:left="0" w:right="0"/>
      </w:pPr>
    </w:p>
    <w:p w14:paraId="5212FFDF">
      <w:pPr>
        <w:widowControl/>
        <w:autoSpaceDE w:val="0"/>
        <w:autoSpaceDN w:val="0"/>
        <w:spacing w:before="108" w:after="0" w:line="220" w:lineRule="exact"/>
        <w:ind w:left="0" w:right="0"/>
      </w:pPr>
    </w:p>
    <w:p w14:paraId="08D6AB02">
      <w:pPr>
        <w:widowControl/>
        <w:autoSpaceDE w:val="0"/>
        <w:autoSpaceDN w:val="0"/>
        <w:spacing w:before="0" w:after="0" w:line="520" w:lineRule="exact"/>
        <w:ind w:left="1320" w:right="2304" w:firstLine="0"/>
        <w:jc w:val="left"/>
      </w:pPr>
      <w:r>
        <w:rPr>
          <w:rFonts w:ascii="Roboto" w:hAnsi="Roboto" w:eastAsia="Roboto"/>
          <w:b/>
          <w:color w:val="0F172A"/>
          <w:spacing w:val="22"/>
          <w:sz w:val="48"/>
        </w:rPr>
        <w:t>EduGenie: Google Gemini-Powered</w:t>
      </w:r>
      <w:r>
        <w:br w:type="textWrapping"/>
      </w:r>
      <w:r>
        <w:rPr>
          <w:rFonts w:ascii="Roboto" w:hAnsi="Roboto" w:eastAsia="Roboto"/>
          <w:b/>
          <w:color w:val="0F172A"/>
          <w:spacing w:val="18"/>
          <w:sz w:val="48"/>
        </w:rPr>
        <w:t>Learning Assistant</w:t>
      </w:r>
    </w:p>
    <w:p w14:paraId="6B8117C0">
      <w:pPr>
        <w:widowControl/>
        <w:autoSpaceDE w:val="0"/>
        <w:autoSpaceDN w:val="0"/>
        <w:spacing w:before="176" w:after="0" w:line="280" w:lineRule="exact"/>
        <w:ind w:left="1320" w:right="3024" w:firstLine="0"/>
        <w:jc w:val="left"/>
      </w:pPr>
      <w:r>
        <w:rPr>
          <w:rFonts w:ascii="Roboto" w:hAnsi="Roboto" w:eastAsia="Roboto"/>
          <w:color w:val="64748B"/>
          <w:spacing w:val="9"/>
          <w:sz w:val="20"/>
        </w:rPr>
        <w:t>PROJECT DEVELOPMENT PHASE: ERROR HANDLING &amp; FAULT TOLERANCE</w:t>
      </w:r>
      <w:r>
        <w:br w:type="textWrapping"/>
      </w:r>
      <w:r>
        <w:rPr>
          <w:rFonts w:ascii="Roboto" w:hAnsi="Roboto" w:eastAsia="Roboto"/>
          <w:color w:val="64748B"/>
          <w:spacing w:val="5"/>
          <w:sz w:val="20"/>
        </w:rPr>
        <w:t>Document Code: EDG-P2-ERR-FT | Team ID: SWTID-2026-3776</w:t>
      </w:r>
    </w:p>
    <w:p w14:paraId="31243123">
      <w:pPr>
        <w:widowControl/>
        <w:autoSpaceDE w:val="0"/>
        <w:autoSpaceDN w:val="0"/>
        <w:spacing w:before="1098" w:after="0" w:line="280" w:lineRule="exact"/>
        <w:ind w:left="1320" w:right="0" w:firstLine="0"/>
        <w:jc w:val="left"/>
      </w:pPr>
      <w:r>
        <w:rPr>
          <w:rFonts w:ascii="Roboto" w:hAnsi="Roboto" w:eastAsia="Roboto"/>
          <w:b/>
          <w:color w:val="1B363D"/>
          <w:spacing w:val="16"/>
          <w:sz w:val="28"/>
        </w:rPr>
        <w:t>4. ERROR HANDLING &amp; FAULT TOLERANCE</w:t>
      </w:r>
    </w:p>
    <w:p w14:paraId="6F27EAC8">
      <w:pPr>
        <w:widowControl/>
        <w:autoSpaceDE w:val="0"/>
        <w:autoSpaceDN w:val="0"/>
        <w:spacing w:before="134" w:after="0" w:line="300" w:lineRule="exact"/>
        <w:ind w:left="1320" w:right="1296" w:firstLine="0"/>
        <w:jc w:val="left"/>
      </w:pPr>
      <w:r>
        <w:rPr>
          <w:rFonts w:ascii="Roboto" w:hAnsi="Roboto" w:eastAsia="Roboto"/>
          <w:color w:val="1E293B"/>
          <w:spacing w:val="0"/>
          <w:sz w:val="21"/>
        </w:rPr>
        <w:t>To ensure uninterrupted academic mentorship, the EduGenie core architecture incorporates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comprehensive exception interception, pipeline redundancy, and validation gates. This framework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prevents backend runtime crashes, secures communication with the upstream Google Gemini</w:t>
      </w:r>
      <w:r>
        <w:br w:type="textWrapping"/>
      </w:r>
      <w:r>
        <w:rPr>
          <w:rFonts w:ascii="Roboto" w:hAnsi="Roboto" w:eastAsia="Roboto"/>
          <w:color w:val="1E293B"/>
          <w:spacing w:val="0"/>
          <w:sz w:val="21"/>
        </w:rPr>
        <w:t>API, and maintains an optimal user experience during unexpected faults.</w:t>
      </w:r>
    </w:p>
    <w:p w14:paraId="089BF5A1">
      <w:pPr>
        <w:widowControl/>
        <w:autoSpaceDE w:val="0"/>
        <w:autoSpaceDN w:val="0"/>
        <w:spacing w:before="386" w:after="0" w:line="280" w:lineRule="exact"/>
        <w:ind w:left="1320" w:right="0" w:firstLine="0"/>
        <w:jc w:val="left"/>
      </w:pPr>
      <w:r>
        <w:rPr>
          <w:rFonts w:ascii="Roboto" w:hAnsi="Roboto" w:eastAsia="Roboto"/>
          <w:b/>
          <w:color w:val="1B363D"/>
          <w:spacing w:val="9"/>
          <w:sz w:val="28"/>
        </w:rPr>
        <w:t>4.1 API Pipeline Exception Interception</w:t>
      </w:r>
    </w:p>
    <w:p w14:paraId="366675EF">
      <w:pPr>
        <w:widowControl/>
        <w:autoSpaceDE w:val="0"/>
        <w:autoSpaceDN w:val="0"/>
        <w:spacing w:before="134" w:after="0" w:line="300" w:lineRule="exact"/>
        <w:ind w:left="1320" w:right="1728" w:firstLine="0"/>
        <w:jc w:val="left"/>
      </w:pPr>
      <w:r>
        <w:rPr>
          <w:rFonts w:ascii="Roboto" w:hAnsi="Roboto" w:eastAsia="Roboto"/>
          <w:color w:val="1E293B"/>
          <w:spacing w:val="-2"/>
          <w:sz w:val="21"/>
        </w:rPr>
        <w:t>All downstream inference flows communicating with the remote LLM environment are</w:t>
      </w:r>
      <w:r>
        <w:br w:type="textWrapping"/>
      </w:r>
      <w:r>
        <w:rPr>
          <w:rFonts w:ascii="Roboto" w:hAnsi="Roboto" w:eastAsia="Roboto"/>
          <w:color w:val="1E293B"/>
          <w:spacing w:val="0"/>
          <w:sz w:val="21"/>
        </w:rPr>
        <w:t xml:space="preserve">encapsulated in defensive </w:t>
      </w:r>
      <w:r>
        <w:rPr>
          <w:rFonts w:ascii="Roboto" w:hAnsi="Roboto" w:eastAsia="Roboto"/>
          <w:b/>
          <w:color w:val="1E293B"/>
          <w:spacing w:val="8"/>
          <w:sz w:val="21"/>
        </w:rPr>
        <w:t>try-except</w:t>
      </w:r>
      <w:r>
        <w:rPr>
          <w:rFonts w:ascii="Roboto" w:hAnsi="Roboto" w:eastAsia="Roboto"/>
          <w:color w:val="1E293B"/>
          <w:spacing w:val="-1"/>
          <w:sz w:val="21"/>
        </w:rPr>
        <w:t xml:space="preserve"> control locks within the unified call_gemini_api handler.</w:t>
      </w:r>
    </w:p>
    <w:p w14:paraId="0EE2F8DF">
      <w:pPr>
        <w:widowControl/>
        <w:autoSpaceDE w:val="0"/>
        <w:autoSpaceDN w:val="0"/>
        <w:spacing w:before="0" w:after="0" w:line="300" w:lineRule="exact"/>
        <w:ind w:left="1320" w:right="1584" w:firstLine="0"/>
        <w:jc w:val="left"/>
      </w:pPr>
      <w:r>
        <w:rPr>
          <w:rFonts w:ascii="Roboto" w:hAnsi="Roboto" w:eastAsia="Roboto"/>
          <w:color w:val="1E293B"/>
          <w:spacing w:val="0"/>
          <w:sz w:val="21"/>
        </w:rPr>
        <w:t>When the upstream gateway reports HTTP statuses distinct from 200 OK (e.g., credential</w:t>
      </w:r>
      <w:r>
        <w:br w:type="textWrapping"/>
      </w:r>
      <w:r>
        <w:rPr>
          <w:rFonts w:ascii="Roboto" w:hAnsi="Roboto" w:eastAsia="Roboto"/>
          <w:color w:val="1E293B"/>
          <w:spacing w:val="0"/>
          <w:sz w:val="21"/>
        </w:rPr>
        <w:t>expiration, rate exhaustion, server-side drops), the backend catches the anomaly immediately.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Rather than risking full framework panic or unhandled stack trace leaks, it raises a structured</w:t>
      </w:r>
      <w:r>
        <w:br w:type="textWrapping"/>
      </w:r>
      <w:r>
        <w:rPr>
          <w:rFonts w:ascii="Roboto" w:hAnsi="Roboto" w:eastAsia="Roboto"/>
          <w:color w:val="1E293B"/>
          <w:spacing w:val="0"/>
          <w:sz w:val="21"/>
        </w:rPr>
        <w:t>FastAPI HTTPException back to the client layout layer, maintaining system stability.</w:t>
      </w:r>
    </w:p>
    <w:p w14:paraId="57540C83">
      <w:pPr>
        <w:widowControl/>
        <w:autoSpaceDE w:val="0"/>
        <w:autoSpaceDN w:val="0"/>
        <w:spacing w:before="386" w:after="0" w:line="280" w:lineRule="exact"/>
        <w:ind w:left="1320" w:right="0" w:firstLine="0"/>
        <w:jc w:val="left"/>
      </w:pPr>
      <w:r>
        <w:rPr>
          <w:rFonts w:ascii="Roboto" w:hAnsi="Roboto" w:eastAsia="Roboto"/>
          <w:b/>
          <w:color w:val="1B363D"/>
          <w:spacing w:val="8"/>
          <w:sz w:val="28"/>
        </w:rPr>
        <w:t>4.2 Network Timeout &amp; Connection Management</w:t>
      </w:r>
    </w:p>
    <w:p w14:paraId="2839BDEB">
      <w:pPr>
        <w:widowControl/>
        <w:autoSpaceDE w:val="0"/>
        <w:autoSpaceDN w:val="0"/>
        <w:spacing w:before="134" w:after="0" w:line="300" w:lineRule="exact"/>
        <w:ind w:left="1320" w:right="1296" w:firstLine="0"/>
        <w:jc w:val="left"/>
      </w:pPr>
      <w:r>
        <w:rPr>
          <w:rFonts w:ascii="Roboto" w:hAnsi="Roboto" w:eastAsia="Roboto"/>
          <w:color w:val="1E293B"/>
          <w:spacing w:val="0"/>
          <w:sz w:val="21"/>
        </w:rPr>
        <w:t>The system network stack relies on an asynchronous HTTP socket pool managed via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 xml:space="preserve">httpx.AsyncClient, setting an absolute </w:t>
      </w:r>
      <w:r>
        <w:rPr>
          <w:rFonts w:ascii="Roboto" w:hAnsi="Roboto" w:eastAsia="Roboto"/>
          <w:b/>
          <w:color w:val="1E293B"/>
          <w:spacing w:val="6"/>
          <w:sz w:val="21"/>
        </w:rPr>
        <w:t>30.0-second network safety threshold</w:t>
      </w:r>
      <w:r>
        <w:rPr>
          <w:rFonts w:ascii="Roboto" w:hAnsi="Roboto" w:eastAsia="Roboto"/>
          <w:color w:val="1E293B"/>
          <w:spacing w:val="-2"/>
          <w:sz w:val="21"/>
        </w:rPr>
        <w:t>. If high traffic load</w:t>
      </w:r>
      <w:r>
        <w:br w:type="textWrapping"/>
      </w:r>
      <w:r>
        <w:rPr>
          <w:rFonts w:ascii="Roboto" w:hAnsi="Roboto" w:eastAsia="Roboto"/>
          <w:color w:val="1E293B"/>
          <w:spacing w:val="0"/>
          <w:sz w:val="21"/>
        </w:rPr>
        <w:t>or remote server drops freeze the response pipeline beyond this limit, the client safely breaks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execution loops. This stops unreturned web payloads from overloading server processes, freeing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up system network sockets for subsequent requests.</w:t>
      </w:r>
    </w:p>
    <w:p w14:paraId="04F0C9ED">
      <w:pPr>
        <w:widowControl/>
        <w:autoSpaceDE w:val="0"/>
        <w:autoSpaceDN w:val="0"/>
        <w:spacing w:before="386" w:after="0" w:line="280" w:lineRule="exact"/>
        <w:ind w:left="1320" w:right="0" w:firstLine="0"/>
        <w:jc w:val="left"/>
      </w:pPr>
      <w:r>
        <w:rPr>
          <w:rFonts w:ascii="Roboto" w:hAnsi="Roboto" w:eastAsia="Roboto"/>
          <w:b/>
          <w:color w:val="1B363D"/>
          <w:spacing w:val="10"/>
          <w:sz w:val="28"/>
        </w:rPr>
        <w:t>4.3 Client-Side Input Boundary Validation</w:t>
      </w:r>
    </w:p>
    <w:p w14:paraId="6626D890">
      <w:pPr>
        <w:widowControl/>
        <w:autoSpaceDE w:val="0"/>
        <w:autoSpaceDN w:val="0"/>
        <w:spacing w:before="134" w:after="0" w:line="300" w:lineRule="exact"/>
        <w:ind w:left="1320" w:right="1584" w:firstLine="0"/>
        <w:jc w:val="left"/>
      </w:pPr>
      <w:r>
        <w:rPr>
          <w:rFonts w:ascii="Roboto" w:hAnsi="Roboto" w:eastAsia="Roboto"/>
          <w:color w:val="1E293B"/>
          <w:spacing w:val="0"/>
          <w:sz w:val="21"/>
        </w:rPr>
        <w:t>To save remote API resource parameters and prevent unnecessary latency, the client interface</w:t>
      </w:r>
      <w:r>
        <w:br w:type="textWrapping"/>
      </w:r>
      <w:r>
        <w:rPr>
          <w:rFonts w:ascii="Roboto" w:hAnsi="Roboto" w:eastAsia="Roboto"/>
          <w:color w:val="1E293B"/>
          <w:spacing w:val="0"/>
          <w:sz w:val="21"/>
        </w:rPr>
        <w:t>features strict preprocessing boundary gates. Before sending a payload over the wire, input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lengths are cleaned and evaluated (if(!inputVal.trim())). If an empty text field is submitted,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processing steps halt immediately and a UI alert prompts the student to provide valid search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content. This prevents empty strings from wasting remote API quotas.</w:t>
      </w:r>
    </w:p>
    <w:p w14:paraId="4A55A317">
      <w:pPr>
        <w:sectPr>
          <w:pgSz w:w="12240" w:h="15840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6B050661">
      <w:pPr>
        <w:widowControl/>
        <w:autoSpaceDE w:val="0"/>
        <w:autoSpaceDN w:val="0"/>
        <w:spacing w:before="0" w:after="0" w:line="220" w:lineRule="exact"/>
        <w:ind w:left="0" w:right="0"/>
      </w:pPr>
    </w:p>
    <w:p w14:paraId="4D20356B">
      <w:pPr>
        <w:widowControl/>
        <w:autoSpaceDE w:val="0"/>
        <w:autoSpaceDN w:val="0"/>
        <w:spacing w:before="0" w:after="0" w:line="220" w:lineRule="exact"/>
        <w:ind w:left="0" w:right="0"/>
      </w:pPr>
    </w:p>
    <w:p w14:paraId="50D42978">
      <w:pPr>
        <w:widowControl/>
        <w:autoSpaceDE w:val="0"/>
        <w:autoSpaceDN w:val="0"/>
        <w:spacing w:before="0" w:after="0" w:line="220" w:lineRule="exact"/>
        <w:ind w:left="0" w:right="0"/>
      </w:pPr>
    </w:p>
    <w:p w14:paraId="43BE5A42">
      <w:pPr>
        <w:widowControl/>
        <w:autoSpaceDE w:val="0"/>
        <w:autoSpaceDN w:val="0"/>
        <w:spacing w:before="0" w:after="0" w:line="220" w:lineRule="exact"/>
        <w:ind w:left="0" w:right="0"/>
      </w:pPr>
    </w:p>
    <w:p w14:paraId="34EE0284">
      <w:pPr>
        <w:widowControl/>
        <w:autoSpaceDE w:val="0"/>
        <w:autoSpaceDN w:val="0"/>
        <w:spacing w:before="0" w:after="0" w:line="220" w:lineRule="exact"/>
        <w:ind w:left="0" w:right="0"/>
      </w:pPr>
    </w:p>
    <w:p w14:paraId="3715EC1E">
      <w:pPr>
        <w:widowControl/>
        <w:autoSpaceDE w:val="0"/>
        <w:autoSpaceDN w:val="0"/>
        <w:spacing w:before="62" w:after="0" w:line="220" w:lineRule="exact"/>
        <w:ind w:left="0" w:right="0"/>
      </w:pPr>
    </w:p>
    <w:p w14:paraId="7B33F506">
      <w:pPr>
        <w:widowControl/>
        <w:autoSpaceDE w:val="0"/>
        <w:autoSpaceDN w:val="0"/>
        <w:spacing w:before="0" w:after="0" w:line="280" w:lineRule="exact"/>
        <w:ind w:left="1320" w:right="0" w:firstLine="0"/>
        <w:jc w:val="left"/>
      </w:pPr>
      <w:r>
        <w:rPr>
          <w:rFonts w:ascii="Roboto" w:hAnsi="Roboto" w:eastAsia="Roboto"/>
          <w:b/>
          <w:color w:val="1B363D"/>
          <w:spacing w:val="7"/>
          <w:sz w:val="28"/>
        </w:rPr>
        <w:t>4.4 Health and Safety Notice</w:t>
      </w:r>
    </w:p>
    <w:p w14:paraId="78FC01CB">
      <w:pPr>
        <w:widowControl/>
        <w:autoSpaceDE w:val="0"/>
        <w:autoSpaceDN w:val="0"/>
        <w:spacing w:before="134" w:after="0" w:line="300" w:lineRule="exact"/>
        <w:ind w:left="1320" w:right="1440" w:firstLine="0"/>
        <w:jc w:val="left"/>
      </w:pPr>
      <w:r>
        <w:rPr>
          <w:rFonts w:ascii="Roboto" w:hAnsi="Roboto" w:eastAsia="Roboto"/>
          <w:color w:val="1E293B"/>
          <w:spacing w:val="0"/>
          <w:sz w:val="21"/>
        </w:rPr>
        <w:t>Because EduGenie interfaces directly with AI pipelines, users are reminded that generative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models can occasionally output inaccurate or unexpected responses. The solution enforces data</w:t>
      </w:r>
      <w:r>
        <w:br w:type="textWrapping"/>
      </w:r>
      <w:r>
        <w:rPr>
          <w:rFonts w:ascii="Roboto" w:hAnsi="Roboto" w:eastAsia="Roboto"/>
          <w:color w:val="1E293B"/>
          <w:spacing w:val="-1"/>
          <w:sz w:val="21"/>
        </w:rPr>
        <w:t>sanity constraints to sanitize structural JSON returns before rendering, while advising students to</w:t>
      </w:r>
      <w:r>
        <w:br w:type="textWrapping"/>
      </w:r>
      <w:r>
        <w:rPr>
          <w:rFonts w:ascii="Roboto" w:hAnsi="Roboto" w:eastAsia="Roboto"/>
          <w:color w:val="1E293B"/>
          <w:spacing w:val="-2"/>
          <w:sz w:val="21"/>
        </w:rPr>
        <w:t>verify critical facts independently.</w:t>
      </w:r>
    </w:p>
    <w:p w14:paraId="4B0EE49C">
      <w:pPr>
        <w:widowControl/>
        <w:autoSpaceDE w:val="0"/>
        <w:autoSpaceDN w:val="0"/>
        <w:spacing w:before="1078" w:after="0" w:line="160" w:lineRule="exact"/>
        <w:ind w:left="1320" w:right="0" w:firstLine="0"/>
        <w:jc w:val="left"/>
      </w:pPr>
      <w:r>
        <w:rPr>
          <w:rFonts w:ascii="Roboto" w:hAnsi="Roboto" w:eastAsia="Roboto"/>
          <w:color w:val="94A3B8"/>
          <w:spacing w:val="-1"/>
          <w:sz w:val="16"/>
        </w:rPr>
        <w:t>* This is for informational purposes only. For medical advice or diagnosis, consult a professional. AI responses may include</w:t>
      </w:r>
    </w:p>
    <w:p w14:paraId="31F70A8A">
      <w:pPr>
        <w:widowControl/>
        <w:autoSpaceDE w:val="0"/>
        <w:autoSpaceDN w:val="0"/>
        <w:spacing w:before="140" w:after="0" w:line="160" w:lineRule="exact"/>
        <w:ind w:left="1320" w:right="0" w:firstLine="0"/>
        <w:jc w:val="left"/>
      </w:pPr>
      <w:r>
        <w:rPr>
          <w:rFonts w:ascii="Roboto" w:hAnsi="Roboto" w:eastAsia="Roboto"/>
          <w:color w:val="94A3B8"/>
          <w:spacing w:val="-2"/>
          <w:sz w:val="16"/>
        </w:rPr>
        <w:t>mistakes.</w:t>
      </w:r>
    </w:p>
    <w:sectPr>
      <w:pgSz w:w="12240" w:h="15840"/>
      <w:pgMar w:top="240" w:right="240" w:bottom="240" w:left="2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47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344</Words>
  <Characters>2216</Characters>
  <Lines>0</Lines>
  <Paragraphs>0</Paragraphs>
  <TotalTime>0</TotalTime>
  <ScaleCrop>false</ScaleCrop>
  <LinksUpToDate>false</LinksUpToDate>
  <CharactersWithSpaces>2525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2026-09-29T15:06:28Z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03F30A49F19A435F9C848C0BCF9E7473_13</vt:lpwstr>
  </property>
</Properties>
</file>